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left"/>
      </w:pPr>
      <w:r>
        <w:rPr>
          <w:b w:val="0"/>
          <w:i w:val="0"/>
          <w:color w:val="1A1A1A"/>
        </w:rPr>
        <w:t>CONSUMPTION BY PROXY: AGENCY TRANSFER, PREFERENCE FIDELITY, AND MARKET CAPTURE IN AGING HOUSEHOLDS</w:t>
      </w:r>
    </w:p>
    <w:p>
      <w:r>
        <w:rPr>
          <w:b/>
          <w:i w:val="0"/>
        </w:rPr>
        <w:t>Manuscript draft and structural specification</w:t>
      </w:r>
    </w:p>
    <w:p>
      <w:r>
        <w:rPr>
          <w:b/>
          <w:i w:val="0"/>
        </w:rPr>
        <w:t>Target outlet:</w:t>
      </w:r>
      <w:r>
        <w:rPr>
          <w:b w:val="0"/>
          <w:i w:val="0"/>
        </w:rPr>
        <w:t xml:space="preserve"> </w:t>
      </w:r>
      <w:r>
        <w:rPr>
          <w:b w:val="0"/>
          <w:i/>
        </w:rPr>
        <w:t>Journal of Marketing</w:t>
      </w:r>
      <w:r>
        <w:rPr>
          <w:b w:val="0"/>
          <w:i w:val="0"/>
        </w:rPr>
        <w:t xml:space="preserve"> (conceptual track). Fallback: </w:t>
      </w:r>
      <w:r>
        <w:rPr>
          <w:b w:val="0"/>
          <w:i/>
        </w:rPr>
        <w:t>Journal of the Academy of Marketing Science</w:t>
      </w:r>
      <w:r>
        <w:rPr>
          <w:b w:val="0"/>
          <w:i w:val="0"/>
        </w:rPr>
        <w:t xml:space="preserve">. </w:t>
      </w:r>
      <w:r>
        <w:rPr>
          <w:b/>
          <w:i w:val="0"/>
        </w:rPr>
        <w:t>Matched companion:</w:t>
      </w:r>
      <w:r>
        <w:rPr>
          <w:b w:val="0"/>
          <w:i w:val="0"/>
        </w:rPr>
        <w:t xml:space="preserve"> dyadic empirical paper for </w:t>
      </w:r>
      <w:r>
        <w:rPr>
          <w:b w:val="0"/>
          <w:i/>
        </w:rPr>
        <w:t>Journal of Consumer Research</w:t>
      </w:r>
      <w:r>
        <w:rPr>
          <w:b w:val="0"/>
          <w:i w:val="0"/>
        </w:rPr>
        <w:t xml:space="preserve">; intervention paper for </w:t>
      </w:r>
      <w:r>
        <w:rPr>
          <w:b w:val="0"/>
          <w:i/>
        </w:rPr>
        <w:t>Journal of Public Policy &amp; Marketing</w:t>
      </w:r>
      <w:r>
        <w:rPr>
          <w:b w:val="0"/>
          <w:i w:val="0"/>
        </w:rPr>
        <w:t xml:space="preserve">. </w:t>
      </w:r>
      <w:r>
        <w:rPr>
          <w:b/>
          <w:i w:val="0"/>
        </w:rPr>
        <w:t>Document status:</w:t>
      </w:r>
      <w:r>
        <w:rPr>
          <w:b w:val="0"/>
          <w:i w:val="0"/>
        </w:rPr>
        <w:t xml:space="preserve"> Draft manuscript with drafted prose for the theoretical core and specified prose for method and discussion. Section word budgets given in Part I.</w:t>
      </w:r>
    </w:p>
    <w:p>
      <w:pPr>
        <w:pStyle w:val="Heading1"/>
        <w:jc w:val="left"/>
      </w:pPr>
      <w:r>
        <w:rPr>
          <w:b w:val="0"/>
          <w:i w:val="0"/>
          <w:color w:val="1A1A1A"/>
        </w:rPr>
        <w:t>PART I — STRUCTURAL SPECIFICATION</w:t>
      </w:r>
    </w:p>
    <w:p>
      <w:pPr>
        <w:pStyle w:val="Heading2"/>
      </w:pPr>
      <w:r>
        <w:rPr>
          <w:b w:val="0"/>
          <w:i w:val="0"/>
          <w:color w:val="1A1A1A"/>
        </w:rPr>
        <w:t>I.1 Section map and word budget</w:t>
      </w:r>
    </w:p>
    <w:p>
      <w:r>
        <w:rPr>
          <w:b w:val="0"/>
          <w:i w:val="0"/>
        </w:rPr>
        <w:t xml:space="preserve">Total target: </w:t>
      </w:r>
      <w:r>
        <w:rPr>
          <w:b/>
          <w:i w:val="0"/>
        </w:rPr>
        <w:t>11,000 words</w:t>
      </w:r>
      <w:r>
        <w:rPr>
          <w:b w:val="0"/>
          <w:i w:val="0"/>
        </w:rPr>
        <w:t xml:space="preserve"> of body text excluding references, tables, and figure. </w:t>
      </w:r>
      <w:r>
        <w:rPr>
          <w:b w:val="0"/>
          <w:i/>
        </w:rPr>
        <w:t>Journal of Marketing</w:t>
      </w:r>
      <w:r>
        <w:rPr>
          <w:b w:val="0"/>
          <w:i w:val="0"/>
        </w:rPr>
        <w:t xml:space="preserve"> conceptual articles typically run 10,000–13,000 words inclusive.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r>
            <w:r>
              <w:rPr>
                <w:b/>
                <w:i w:val="0"/>
                <w:sz w:val="18"/>
              </w:rPr>
              <w:t>§</w:t>
            </w:r>
          </w:p>
        </w:tc>
        <w:tc>
          <w:tcPr>
            <w:tcW w:type="dxa" w:w="1728"/>
          </w:tcPr>
          <w:p>
            <w:r>
              <w:rPr>
                <w:b/>
                <w:sz w:val="18"/>
              </w:rPr>
            </w:r>
            <w:r>
              <w:rPr>
                <w:b/>
                <w:i w:val="0"/>
                <w:sz w:val="18"/>
              </w:rPr>
              <w:t>Section</w:t>
            </w:r>
          </w:p>
        </w:tc>
        <w:tc>
          <w:tcPr>
            <w:tcW w:type="dxa" w:w="1728"/>
          </w:tcPr>
          <w:p>
            <w:r>
              <w:rPr>
                <w:b/>
                <w:sz w:val="18"/>
              </w:rPr>
            </w:r>
            <w:r>
              <w:rPr>
                <w:b/>
                <w:i w:val="0"/>
                <w:sz w:val="18"/>
              </w:rPr>
              <w:t>Words</w:t>
            </w:r>
          </w:p>
        </w:tc>
        <w:tc>
          <w:tcPr>
            <w:tcW w:type="dxa" w:w="1728"/>
          </w:tcPr>
          <w:p>
            <w:r>
              <w:rPr>
                <w:b/>
                <w:sz w:val="18"/>
              </w:rPr>
            </w:r>
            <w:r>
              <w:rPr>
                <w:b/>
                <w:i w:val="0"/>
                <w:sz w:val="18"/>
              </w:rPr>
              <w:t>Function</w:t>
            </w:r>
          </w:p>
        </w:tc>
        <w:tc>
          <w:tcPr>
            <w:tcW w:type="dxa" w:w="1728"/>
          </w:tcPr>
          <w:p>
            <w:r>
              <w:rPr>
                <w:b/>
                <w:sz w:val="18"/>
              </w:rPr>
            </w:r>
            <w:r>
              <w:rPr>
                <w:b/>
                <w:i w:val="0"/>
                <w:sz w:val="18"/>
              </w:rPr>
              <w:t>Draft status</w:t>
            </w:r>
          </w:p>
        </w:tc>
      </w:tr>
      <w:tr>
        <w:tc>
          <w:tcPr>
            <w:tcW w:type="dxa" w:w="1728"/>
          </w:tcPr>
          <w:p>
            <w:r>
              <w:rPr>
                <w:sz w:val="18"/>
              </w:rPr>
            </w:r>
            <w:r>
              <w:rPr>
                <w:b w:val="0"/>
                <w:i w:val="0"/>
                <w:sz w:val="18"/>
              </w:rPr>
              <w:t>—</w:t>
            </w:r>
          </w:p>
        </w:tc>
        <w:tc>
          <w:tcPr>
            <w:tcW w:type="dxa" w:w="1728"/>
          </w:tcPr>
          <w:p>
            <w:r>
              <w:rPr>
                <w:sz w:val="18"/>
              </w:rPr>
            </w:r>
            <w:r>
              <w:rPr>
                <w:b w:val="0"/>
                <w:i w:val="0"/>
                <w:sz w:val="18"/>
              </w:rPr>
              <w:t>Title page, abstract, keywords</w:t>
            </w:r>
          </w:p>
        </w:tc>
        <w:tc>
          <w:tcPr>
            <w:tcW w:type="dxa" w:w="1728"/>
          </w:tcPr>
          <w:p>
            <w:r>
              <w:rPr>
                <w:sz w:val="18"/>
              </w:rPr>
            </w:r>
            <w:r>
              <w:rPr>
                <w:b w:val="0"/>
                <w:i w:val="0"/>
                <w:sz w:val="18"/>
              </w:rPr>
              <w:t>300</w:t>
            </w:r>
          </w:p>
        </w:tc>
        <w:tc>
          <w:tcPr>
            <w:tcW w:type="dxa" w:w="1728"/>
          </w:tcPr>
          <w:p>
            <w:r>
              <w:rPr>
                <w:sz w:val="18"/>
              </w:rPr>
            </w:r>
            <w:r>
              <w:rPr>
                <w:b w:val="0"/>
                <w:i w:val="0"/>
                <w:sz w:val="18"/>
              </w:rPr>
              <w:t>Positioning in miniature</w:t>
            </w:r>
          </w:p>
        </w:tc>
        <w:tc>
          <w:tcPr>
            <w:tcW w:type="dxa" w:w="1728"/>
          </w:tcPr>
          <w:p>
            <w:r>
              <w:rPr>
                <w:sz w:val="18"/>
              </w:rPr>
            </w:r>
            <w:r>
              <w:rPr>
                <w:b/>
                <w:i w:val="0"/>
                <w:sz w:val="18"/>
              </w:rPr>
              <w:t>Drafted</w:t>
            </w:r>
          </w:p>
        </w:tc>
      </w:tr>
      <w:tr>
        <w:tc>
          <w:tcPr>
            <w:tcW w:type="dxa" w:w="1728"/>
          </w:tcPr>
          <w:p>
            <w:r>
              <w:rPr>
                <w:sz w:val="18"/>
              </w:rPr>
            </w:r>
            <w:r>
              <w:rPr>
                <w:b w:val="0"/>
                <w:i w:val="0"/>
                <w:sz w:val="18"/>
              </w:rPr>
              <w:t>1</w:t>
            </w:r>
          </w:p>
        </w:tc>
        <w:tc>
          <w:tcPr>
            <w:tcW w:type="dxa" w:w="1728"/>
          </w:tcPr>
          <w:p>
            <w:r>
              <w:rPr>
                <w:sz w:val="18"/>
              </w:rPr>
            </w:r>
            <w:r>
              <w:rPr>
                <w:b w:val="0"/>
                <w:i w:val="0"/>
                <w:sz w:val="18"/>
              </w:rPr>
              <w:t>Introduction</w:t>
            </w:r>
          </w:p>
        </w:tc>
        <w:tc>
          <w:tcPr>
            <w:tcW w:type="dxa" w:w="1728"/>
          </w:tcPr>
          <w:p>
            <w:r>
              <w:rPr>
                <w:sz w:val="18"/>
              </w:rPr>
            </w:r>
            <w:r>
              <w:rPr>
                <w:b w:val="0"/>
                <w:i w:val="0"/>
                <w:sz w:val="18"/>
              </w:rPr>
              <w:t>1,400</w:t>
            </w:r>
          </w:p>
        </w:tc>
        <w:tc>
          <w:tcPr>
            <w:tcW w:type="dxa" w:w="1728"/>
          </w:tcPr>
          <w:p>
            <w:r>
              <w:rPr>
                <w:sz w:val="18"/>
              </w:rPr>
            </w:r>
            <w:r>
              <w:rPr>
                <w:b w:val="0"/>
                <w:i w:val="0"/>
                <w:sz w:val="18"/>
              </w:rPr>
              <w:t>Phenomenon → gap → contribution → roadmap</w:t>
            </w:r>
          </w:p>
        </w:tc>
        <w:tc>
          <w:tcPr>
            <w:tcW w:type="dxa" w:w="1728"/>
          </w:tcPr>
          <w:p>
            <w:r>
              <w:rPr>
                <w:sz w:val="18"/>
              </w:rPr>
            </w:r>
            <w:r>
              <w:rPr>
                <w:b/>
                <w:i w:val="0"/>
                <w:sz w:val="18"/>
              </w:rPr>
              <w:t>Drafted</w:t>
            </w:r>
          </w:p>
        </w:tc>
      </w:tr>
      <w:tr>
        <w:tc>
          <w:tcPr>
            <w:tcW w:type="dxa" w:w="1728"/>
          </w:tcPr>
          <w:p>
            <w:r>
              <w:rPr>
                <w:sz w:val="18"/>
              </w:rPr>
            </w:r>
            <w:r>
              <w:rPr>
                <w:b w:val="0"/>
                <w:i w:val="0"/>
                <w:sz w:val="18"/>
              </w:rPr>
              <w:t>2</w:t>
            </w:r>
          </w:p>
        </w:tc>
        <w:tc>
          <w:tcPr>
            <w:tcW w:type="dxa" w:w="1728"/>
          </w:tcPr>
          <w:p>
            <w:r>
              <w:rPr>
                <w:sz w:val="18"/>
              </w:rPr>
            </w:r>
            <w:r>
              <w:rPr>
                <w:b w:val="0"/>
                <w:i w:val="0"/>
                <w:sz w:val="18"/>
              </w:rPr>
              <w:t>Theoretical background: four literatures and their limits</w:t>
            </w:r>
          </w:p>
        </w:tc>
        <w:tc>
          <w:tcPr>
            <w:tcW w:type="dxa" w:w="1728"/>
          </w:tcPr>
          <w:p>
            <w:r>
              <w:rPr>
                <w:sz w:val="18"/>
              </w:rPr>
            </w:r>
            <w:r>
              <w:rPr>
                <w:b w:val="0"/>
                <w:i w:val="0"/>
                <w:sz w:val="18"/>
              </w:rPr>
              <w:t>2,000</w:t>
            </w:r>
          </w:p>
        </w:tc>
        <w:tc>
          <w:tcPr>
            <w:tcW w:type="dxa" w:w="1728"/>
          </w:tcPr>
          <w:p>
            <w:r>
              <w:rPr>
                <w:sz w:val="18"/>
              </w:rPr>
            </w:r>
            <w:r>
              <w:rPr>
                <w:b w:val="0"/>
                <w:i w:val="0"/>
                <w:sz w:val="18"/>
              </w:rPr>
              <w:t>Earn the gap; pre-empt "already done"</w:t>
            </w:r>
          </w:p>
        </w:tc>
        <w:tc>
          <w:tcPr>
            <w:tcW w:type="dxa" w:w="1728"/>
          </w:tcPr>
          <w:p>
            <w:r>
              <w:rPr>
                <w:sz w:val="18"/>
              </w:rPr>
            </w:r>
            <w:r>
              <w:rPr>
                <w:b/>
                <w:i w:val="0"/>
                <w:sz w:val="18"/>
              </w:rPr>
              <w:t>Drafted</w:t>
            </w:r>
          </w:p>
        </w:tc>
      </w:tr>
      <w:tr>
        <w:tc>
          <w:tcPr>
            <w:tcW w:type="dxa" w:w="1728"/>
          </w:tcPr>
          <w:p>
            <w:r>
              <w:rPr>
                <w:sz w:val="18"/>
              </w:rPr>
            </w:r>
            <w:r>
              <w:rPr>
                <w:b w:val="0"/>
                <w:i w:val="0"/>
                <w:sz w:val="18"/>
              </w:rPr>
              <w:t>3</w:t>
            </w:r>
          </w:p>
        </w:tc>
        <w:tc>
          <w:tcPr>
            <w:tcW w:type="dxa" w:w="1728"/>
          </w:tcPr>
          <w:p>
            <w:r>
              <w:rPr>
                <w:sz w:val="18"/>
              </w:rPr>
            </w:r>
            <w:r>
              <w:rPr>
                <w:b w:val="0"/>
                <w:i w:val="0"/>
                <w:sz w:val="18"/>
              </w:rPr>
              <w:t>Proxy consumption agency: construct and scope conditions</w:t>
            </w:r>
          </w:p>
        </w:tc>
        <w:tc>
          <w:tcPr>
            <w:tcW w:type="dxa" w:w="1728"/>
          </w:tcPr>
          <w:p>
            <w:r>
              <w:rPr>
                <w:sz w:val="18"/>
              </w:rPr>
            </w:r>
            <w:r>
              <w:rPr>
                <w:b w:val="0"/>
                <w:i w:val="0"/>
                <w:sz w:val="18"/>
              </w:rPr>
              <w:t>1,300</w:t>
            </w:r>
          </w:p>
        </w:tc>
        <w:tc>
          <w:tcPr>
            <w:tcW w:type="dxa" w:w="1728"/>
          </w:tcPr>
          <w:p>
            <w:r>
              <w:rPr>
                <w:sz w:val="18"/>
              </w:rPr>
            </w:r>
            <w:r>
              <w:rPr>
                <w:b w:val="0"/>
                <w:i w:val="0"/>
                <w:sz w:val="18"/>
              </w:rPr>
              <w:t>Definitional precision; differentiation</w:t>
            </w:r>
          </w:p>
        </w:tc>
        <w:tc>
          <w:tcPr>
            <w:tcW w:type="dxa" w:w="1728"/>
          </w:tcPr>
          <w:p>
            <w:r>
              <w:rPr>
                <w:sz w:val="18"/>
              </w:rPr>
            </w:r>
            <w:r>
              <w:rPr>
                <w:b/>
                <w:i w:val="0"/>
                <w:sz w:val="18"/>
              </w:rPr>
              <w:t>Drafted</w:t>
            </w:r>
          </w:p>
        </w:tc>
      </w:tr>
      <w:tr>
        <w:tc>
          <w:tcPr>
            <w:tcW w:type="dxa" w:w="1728"/>
          </w:tcPr>
          <w:p>
            <w:r>
              <w:rPr>
                <w:sz w:val="18"/>
              </w:rPr>
            </w:r>
            <w:r>
              <w:rPr>
                <w:b w:val="0"/>
                <w:i w:val="0"/>
                <w:sz w:val="18"/>
              </w:rPr>
              <w:t>4</w:t>
            </w:r>
          </w:p>
        </w:tc>
        <w:tc>
          <w:tcPr>
            <w:tcW w:type="dxa" w:w="1728"/>
          </w:tcPr>
          <w:p>
            <w:r>
              <w:rPr>
                <w:sz w:val="18"/>
              </w:rPr>
            </w:r>
            <w:r>
              <w:rPr>
                <w:b w:val="0"/>
                <w:i w:val="0"/>
                <w:sz w:val="18"/>
              </w:rPr>
              <w:t>Framework overview</w:t>
            </w:r>
          </w:p>
        </w:tc>
        <w:tc>
          <w:tcPr>
            <w:tcW w:type="dxa" w:w="1728"/>
          </w:tcPr>
          <w:p>
            <w:r>
              <w:rPr>
                <w:sz w:val="18"/>
              </w:rPr>
            </w:r>
            <w:r>
              <w:rPr>
                <w:b w:val="0"/>
                <w:i w:val="0"/>
                <w:sz w:val="18"/>
              </w:rPr>
              <w:t>600</w:t>
            </w:r>
          </w:p>
        </w:tc>
        <w:tc>
          <w:tcPr>
            <w:tcW w:type="dxa" w:w="1728"/>
          </w:tcPr>
          <w:p>
            <w:r>
              <w:rPr>
                <w:sz w:val="18"/>
              </w:rPr>
            </w:r>
            <w:r>
              <w:rPr>
                <w:b w:val="0"/>
                <w:i w:val="0"/>
                <w:sz w:val="18"/>
              </w:rPr>
              <w:t>Figure 1 walkthrough</w:t>
            </w:r>
          </w:p>
        </w:tc>
        <w:tc>
          <w:tcPr>
            <w:tcW w:type="dxa" w:w="1728"/>
          </w:tcPr>
          <w:p>
            <w:r>
              <w:rPr>
                <w:sz w:val="18"/>
              </w:rPr>
            </w:r>
            <w:r>
              <w:rPr>
                <w:b/>
                <w:i w:val="0"/>
                <w:sz w:val="18"/>
              </w:rPr>
              <w:t>Drafted</w:t>
            </w:r>
          </w:p>
        </w:tc>
      </w:tr>
      <w:tr>
        <w:tc>
          <w:tcPr>
            <w:tcW w:type="dxa" w:w="1728"/>
          </w:tcPr>
          <w:p>
            <w:r>
              <w:rPr>
                <w:sz w:val="18"/>
              </w:rPr>
            </w:r>
            <w:r>
              <w:rPr>
                <w:b w:val="0"/>
                <w:i w:val="0"/>
                <w:sz w:val="18"/>
              </w:rPr>
              <w:t>5</w:t>
            </w:r>
          </w:p>
        </w:tc>
        <w:tc>
          <w:tcPr>
            <w:tcW w:type="dxa" w:w="1728"/>
          </w:tcPr>
          <w:p>
            <w:r>
              <w:rPr>
                <w:sz w:val="18"/>
              </w:rPr>
            </w:r>
            <w:r>
              <w:rPr>
                <w:b w:val="0"/>
                <w:i w:val="0"/>
                <w:sz w:val="18"/>
              </w:rPr>
              <w:t>Block A — How authority moves (P1–P3)</w:t>
            </w:r>
          </w:p>
        </w:tc>
        <w:tc>
          <w:tcPr>
            <w:tcW w:type="dxa" w:w="1728"/>
          </w:tcPr>
          <w:p>
            <w:r>
              <w:rPr>
                <w:sz w:val="18"/>
              </w:rPr>
            </w:r>
            <w:r>
              <w:rPr>
                <w:b w:val="0"/>
                <w:i w:val="0"/>
                <w:sz w:val="18"/>
              </w:rPr>
              <w:t>1,100</w:t>
            </w:r>
          </w:p>
        </w:tc>
        <w:tc>
          <w:tcPr>
            <w:tcW w:type="dxa" w:w="1728"/>
          </w:tcPr>
          <w:p>
            <w:r>
              <w:rPr>
                <w:sz w:val="18"/>
              </w:rPr>
            </w:r>
            <w:r>
              <w:rPr>
                <w:b w:val="0"/>
                <w:i w:val="0"/>
                <w:sz w:val="18"/>
              </w:rPr>
              <w:t>Trajectory, ratchet, infrastructure</w:t>
            </w:r>
          </w:p>
        </w:tc>
        <w:tc>
          <w:tcPr>
            <w:tcW w:type="dxa" w:w="1728"/>
          </w:tcPr>
          <w:p>
            <w:r>
              <w:rPr>
                <w:sz w:val="18"/>
              </w:rPr>
            </w:r>
            <w:r>
              <w:rPr>
                <w:b/>
                <w:i w:val="0"/>
                <w:sz w:val="18"/>
              </w:rPr>
              <w:t>Drafted</w:t>
            </w:r>
          </w:p>
        </w:tc>
      </w:tr>
      <w:tr>
        <w:tc>
          <w:tcPr>
            <w:tcW w:type="dxa" w:w="1728"/>
          </w:tcPr>
          <w:p>
            <w:r>
              <w:rPr>
                <w:sz w:val="18"/>
              </w:rPr>
            </w:r>
            <w:r>
              <w:rPr>
                <w:b w:val="0"/>
                <w:i w:val="0"/>
                <w:sz w:val="18"/>
              </w:rPr>
              <w:t>6</w:t>
            </w:r>
          </w:p>
        </w:tc>
        <w:tc>
          <w:tcPr>
            <w:tcW w:type="dxa" w:w="1728"/>
          </w:tcPr>
          <w:p>
            <w:r>
              <w:rPr>
                <w:sz w:val="18"/>
              </w:rPr>
            </w:r>
            <w:r>
              <w:rPr>
                <w:b w:val="0"/>
                <w:i w:val="0"/>
                <w:sz w:val="18"/>
              </w:rPr>
              <w:t>Block B — How proxies distort (P4–P7)</w:t>
            </w:r>
          </w:p>
        </w:tc>
        <w:tc>
          <w:tcPr>
            <w:tcW w:type="dxa" w:w="1728"/>
          </w:tcPr>
          <w:p>
            <w:r>
              <w:rPr>
                <w:sz w:val="18"/>
              </w:rPr>
            </w:r>
            <w:r>
              <w:rPr>
                <w:b w:val="0"/>
                <w:i w:val="0"/>
                <w:sz w:val="18"/>
              </w:rPr>
              <w:t>1,400</w:t>
            </w:r>
          </w:p>
        </w:tc>
        <w:tc>
          <w:tcPr>
            <w:tcW w:type="dxa" w:w="1728"/>
          </w:tcPr>
          <w:p>
            <w:r>
              <w:rPr>
                <w:sz w:val="18"/>
              </w:rPr>
            </w:r>
            <w:r>
              <w:rPr>
                <w:b w:val="0"/>
                <w:i w:val="0"/>
                <w:sz w:val="18"/>
              </w:rPr>
              <w:t>Directional mechanisms</w:t>
            </w:r>
          </w:p>
        </w:tc>
        <w:tc>
          <w:tcPr>
            <w:tcW w:type="dxa" w:w="1728"/>
          </w:tcPr>
          <w:p>
            <w:r>
              <w:rPr>
                <w:sz w:val="18"/>
              </w:rPr>
            </w:r>
            <w:r>
              <w:rPr>
                <w:b/>
                <w:i w:val="0"/>
                <w:sz w:val="18"/>
              </w:rPr>
              <w:t>Drafted</w:t>
            </w:r>
          </w:p>
        </w:tc>
      </w:tr>
      <w:tr>
        <w:tc>
          <w:tcPr>
            <w:tcW w:type="dxa" w:w="1728"/>
          </w:tcPr>
          <w:p>
            <w:r>
              <w:rPr>
                <w:sz w:val="18"/>
              </w:rPr>
            </w:r>
            <w:r>
              <w:rPr>
                <w:b w:val="0"/>
                <w:i w:val="0"/>
                <w:sz w:val="18"/>
              </w:rPr>
              <w:t>7</w:t>
            </w:r>
          </w:p>
        </w:tc>
        <w:tc>
          <w:tcPr>
            <w:tcW w:type="dxa" w:w="1728"/>
          </w:tcPr>
          <w:p>
            <w:r>
              <w:rPr>
                <w:sz w:val="18"/>
              </w:rPr>
            </w:r>
            <w:r>
              <w:rPr>
                <w:b w:val="0"/>
                <w:i w:val="0"/>
                <w:sz w:val="18"/>
              </w:rPr>
              <w:t>Block C — Why it is not an information problem (P8–P9)</w:t>
            </w:r>
          </w:p>
        </w:tc>
        <w:tc>
          <w:tcPr>
            <w:tcW w:type="dxa" w:w="1728"/>
          </w:tcPr>
          <w:p>
            <w:r>
              <w:rPr>
                <w:sz w:val="18"/>
              </w:rPr>
            </w:r>
            <w:r>
              <w:rPr>
                <w:b w:val="0"/>
                <w:i w:val="0"/>
                <w:sz w:val="18"/>
              </w:rPr>
              <w:t>800</w:t>
            </w:r>
          </w:p>
        </w:tc>
        <w:tc>
          <w:tcPr>
            <w:tcW w:type="dxa" w:w="1728"/>
          </w:tcPr>
          <w:p>
            <w:r>
              <w:rPr>
                <w:sz w:val="18"/>
              </w:rPr>
            </w:r>
            <w:r>
              <w:rPr>
                <w:b w:val="0"/>
                <w:i w:val="0"/>
                <w:sz w:val="18"/>
              </w:rPr>
              <w:t>Identification of the mechanism</w:t>
            </w:r>
          </w:p>
        </w:tc>
        <w:tc>
          <w:tcPr>
            <w:tcW w:type="dxa" w:w="1728"/>
          </w:tcPr>
          <w:p>
            <w:r>
              <w:rPr>
                <w:sz w:val="18"/>
              </w:rPr>
            </w:r>
            <w:r>
              <w:rPr>
                <w:b/>
                <w:i w:val="0"/>
                <w:sz w:val="18"/>
              </w:rPr>
              <w:t>Drafted</w:t>
            </w:r>
          </w:p>
        </w:tc>
      </w:tr>
      <w:tr>
        <w:tc>
          <w:tcPr>
            <w:tcW w:type="dxa" w:w="1728"/>
          </w:tcPr>
          <w:p>
            <w:r>
              <w:rPr>
                <w:sz w:val="18"/>
              </w:rPr>
            </w:r>
            <w:r>
              <w:rPr>
                <w:b w:val="0"/>
                <w:i w:val="0"/>
                <w:sz w:val="18"/>
              </w:rPr>
              <w:t>8</w:t>
            </w:r>
          </w:p>
        </w:tc>
        <w:tc>
          <w:tcPr>
            <w:tcW w:type="dxa" w:w="1728"/>
          </w:tcPr>
          <w:p>
            <w:r>
              <w:rPr>
                <w:sz w:val="18"/>
              </w:rPr>
            </w:r>
            <w:r>
              <w:rPr>
                <w:b w:val="0"/>
                <w:i w:val="0"/>
                <w:sz w:val="18"/>
              </w:rPr>
              <w:t>Block D — Why markets amplify (P10–P12)</w:t>
            </w:r>
          </w:p>
        </w:tc>
        <w:tc>
          <w:tcPr>
            <w:tcW w:type="dxa" w:w="1728"/>
          </w:tcPr>
          <w:p>
            <w:r>
              <w:rPr>
                <w:sz w:val="18"/>
              </w:rPr>
            </w:r>
            <w:r>
              <w:rPr>
                <w:b w:val="0"/>
                <w:i w:val="0"/>
                <w:sz w:val="18"/>
              </w:rPr>
              <w:t>1,100</w:t>
            </w:r>
          </w:p>
        </w:tc>
        <w:tc>
          <w:tcPr>
            <w:tcW w:type="dxa" w:w="1728"/>
          </w:tcPr>
          <w:p>
            <w:r>
              <w:rPr>
                <w:sz w:val="18"/>
              </w:rPr>
            </w:r>
            <w:r>
              <w:rPr>
                <w:b w:val="0"/>
                <w:i w:val="0"/>
                <w:sz w:val="18"/>
              </w:rPr>
              <w:t>The marketing-specific contribution</w:t>
            </w:r>
          </w:p>
        </w:tc>
        <w:tc>
          <w:tcPr>
            <w:tcW w:type="dxa" w:w="1728"/>
          </w:tcPr>
          <w:p>
            <w:r>
              <w:rPr>
                <w:sz w:val="18"/>
              </w:rPr>
            </w:r>
            <w:r>
              <w:rPr>
                <w:b/>
                <w:i w:val="0"/>
                <w:sz w:val="18"/>
              </w:rPr>
              <w:t>Drafted</w:t>
            </w:r>
          </w:p>
        </w:tc>
      </w:tr>
      <w:tr>
        <w:tc>
          <w:tcPr>
            <w:tcW w:type="dxa" w:w="1728"/>
          </w:tcPr>
          <w:p>
            <w:r>
              <w:rPr>
                <w:sz w:val="18"/>
              </w:rPr>
            </w:r>
            <w:r>
              <w:rPr>
                <w:b w:val="0"/>
                <w:i w:val="0"/>
                <w:sz w:val="18"/>
              </w:rPr>
              <w:t>9</w:t>
            </w:r>
          </w:p>
        </w:tc>
        <w:tc>
          <w:tcPr>
            <w:tcW w:type="dxa" w:w="1728"/>
          </w:tcPr>
          <w:p>
            <w:r>
              <w:rPr>
                <w:sz w:val="18"/>
              </w:rPr>
            </w:r>
            <w:r>
              <w:rPr>
                <w:b w:val="0"/>
                <w:i w:val="0"/>
                <w:sz w:val="18"/>
              </w:rPr>
              <w:t>Empirical program</w:t>
            </w:r>
          </w:p>
        </w:tc>
        <w:tc>
          <w:tcPr>
            <w:tcW w:type="dxa" w:w="1728"/>
          </w:tcPr>
          <w:p>
            <w:r>
              <w:rPr>
                <w:sz w:val="18"/>
              </w:rPr>
            </w:r>
            <w:r>
              <w:rPr>
                <w:b w:val="0"/>
                <w:i w:val="0"/>
                <w:sz w:val="18"/>
              </w:rPr>
              <w:t>1,000</w:t>
            </w:r>
          </w:p>
        </w:tc>
        <w:tc>
          <w:tcPr>
            <w:tcW w:type="dxa" w:w="1728"/>
          </w:tcPr>
          <w:p>
            <w:r>
              <w:rPr>
                <w:sz w:val="18"/>
              </w:rPr>
            </w:r>
            <w:r>
              <w:rPr>
                <w:b w:val="0"/>
                <w:i w:val="0"/>
                <w:sz w:val="18"/>
              </w:rPr>
              <w:t>Testability; five studies</w:t>
            </w:r>
          </w:p>
        </w:tc>
        <w:tc>
          <w:tcPr>
            <w:tcW w:type="dxa" w:w="1728"/>
          </w:tcPr>
          <w:p>
            <w:r>
              <w:rPr>
                <w:sz w:val="18"/>
              </w:rPr>
            </w:r>
            <w:r>
              <w:rPr>
                <w:b/>
                <w:i w:val="0"/>
                <w:sz w:val="18"/>
              </w:rPr>
              <w:t>Drafted (condensed)</w:t>
            </w:r>
          </w:p>
        </w:tc>
      </w:tr>
      <w:tr>
        <w:tc>
          <w:tcPr>
            <w:tcW w:type="dxa" w:w="1728"/>
          </w:tcPr>
          <w:p>
            <w:r>
              <w:rPr>
                <w:sz w:val="18"/>
              </w:rPr>
            </w:r>
            <w:r>
              <w:rPr>
                <w:b w:val="0"/>
                <w:i w:val="0"/>
                <w:sz w:val="18"/>
              </w:rPr>
              <w:t>10</w:t>
            </w:r>
          </w:p>
        </w:tc>
        <w:tc>
          <w:tcPr>
            <w:tcW w:type="dxa" w:w="1728"/>
          </w:tcPr>
          <w:p>
            <w:r>
              <w:rPr>
                <w:sz w:val="18"/>
              </w:rPr>
            </w:r>
            <w:r>
              <w:rPr>
                <w:b w:val="0"/>
                <w:i w:val="0"/>
                <w:sz w:val="18"/>
              </w:rPr>
              <w:t>Discussion: theoretical contributions</w:t>
            </w:r>
          </w:p>
        </w:tc>
        <w:tc>
          <w:tcPr>
            <w:tcW w:type="dxa" w:w="1728"/>
          </w:tcPr>
          <w:p>
            <w:r>
              <w:rPr>
                <w:sz w:val="18"/>
              </w:rPr>
            </w:r>
            <w:r>
              <w:rPr>
                <w:b w:val="0"/>
                <w:i w:val="0"/>
                <w:sz w:val="18"/>
              </w:rPr>
              <w:t>900</w:t>
            </w:r>
          </w:p>
        </w:tc>
        <w:tc>
          <w:tcPr>
            <w:tcW w:type="dxa" w:w="1728"/>
          </w:tcPr>
          <w:p>
            <w:r>
              <w:rPr>
                <w:sz w:val="18"/>
              </w:rPr>
            </w:r>
            <w:r>
              <w:rPr>
                <w:b w:val="0"/>
                <w:i w:val="0"/>
                <w:sz w:val="18"/>
              </w:rPr>
              <w:t>What changes in three literatures</w:t>
            </w:r>
          </w:p>
        </w:tc>
        <w:tc>
          <w:tcPr>
            <w:tcW w:type="dxa" w:w="1728"/>
          </w:tcPr>
          <w:p>
            <w:r>
              <w:rPr>
                <w:sz w:val="18"/>
              </w:rPr>
            </w:r>
            <w:r>
              <w:rPr>
                <w:b/>
                <w:i w:val="0"/>
                <w:sz w:val="18"/>
              </w:rPr>
              <w:t>Drafted (condensed)</w:t>
            </w:r>
          </w:p>
        </w:tc>
      </w:tr>
      <w:tr>
        <w:tc>
          <w:tcPr>
            <w:tcW w:type="dxa" w:w="1728"/>
          </w:tcPr>
          <w:p>
            <w:r>
              <w:rPr>
                <w:sz w:val="18"/>
              </w:rPr>
            </w:r>
            <w:r>
              <w:rPr>
                <w:b w:val="0"/>
                <w:i w:val="0"/>
                <w:sz w:val="18"/>
              </w:rPr>
              <w:t>11</w:t>
            </w:r>
          </w:p>
        </w:tc>
        <w:tc>
          <w:tcPr>
            <w:tcW w:type="dxa" w:w="1728"/>
          </w:tcPr>
          <w:p>
            <w:r>
              <w:rPr>
                <w:sz w:val="18"/>
              </w:rPr>
            </w:r>
            <w:r>
              <w:rPr>
                <w:b w:val="0"/>
                <w:i w:val="0"/>
                <w:sz w:val="18"/>
              </w:rPr>
              <w:t>Managerial and policy implications</w:t>
            </w:r>
          </w:p>
        </w:tc>
        <w:tc>
          <w:tcPr>
            <w:tcW w:type="dxa" w:w="1728"/>
          </w:tcPr>
          <w:p>
            <w:r>
              <w:rPr>
                <w:sz w:val="18"/>
              </w:rPr>
            </w:r>
            <w:r>
              <w:rPr>
                <w:b w:val="0"/>
                <w:i w:val="0"/>
                <w:sz w:val="18"/>
              </w:rPr>
              <w:t>700</w:t>
            </w:r>
          </w:p>
        </w:tc>
        <w:tc>
          <w:tcPr>
            <w:tcW w:type="dxa" w:w="1728"/>
          </w:tcPr>
          <w:p>
            <w:r>
              <w:rPr>
                <w:sz w:val="18"/>
              </w:rPr>
            </w:r>
            <w:r>
              <w:rPr>
                <w:b w:val="0"/>
                <w:i w:val="0"/>
                <w:sz w:val="18"/>
              </w:rPr>
              <w:t>Measurement and account architecture</w:t>
            </w:r>
          </w:p>
        </w:tc>
        <w:tc>
          <w:tcPr>
            <w:tcW w:type="dxa" w:w="1728"/>
          </w:tcPr>
          <w:p>
            <w:r>
              <w:rPr>
                <w:sz w:val="18"/>
              </w:rPr>
            </w:r>
            <w:r>
              <w:rPr>
                <w:b/>
                <w:i w:val="0"/>
                <w:sz w:val="18"/>
              </w:rPr>
              <w:t>Drafted (condensed)</w:t>
            </w:r>
          </w:p>
        </w:tc>
      </w:tr>
      <w:tr>
        <w:tc>
          <w:tcPr>
            <w:tcW w:type="dxa" w:w="1728"/>
          </w:tcPr>
          <w:p>
            <w:r>
              <w:rPr>
                <w:sz w:val="18"/>
              </w:rPr>
            </w:r>
            <w:r>
              <w:rPr>
                <w:b w:val="0"/>
                <w:i w:val="0"/>
                <w:sz w:val="18"/>
              </w:rPr>
              <w:t>12</w:t>
            </w:r>
          </w:p>
        </w:tc>
        <w:tc>
          <w:tcPr>
            <w:tcW w:type="dxa" w:w="1728"/>
          </w:tcPr>
          <w:p>
            <w:r>
              <w:rPr>
                <w:sz w:val="18"/>
              </w:rPr>
            </w:r>
            <w:r>
              <w:rPr>
                <w:b w:val="0"/>
                <w:i w:val="0"/>
                <w:sz w:val="18"/>
              </w:rPr>
              <w:t>Boundary conditions, limitations, future research</w:t>
            </w:r>
          </w:p>
        </w:tc>
        <w:tc>
          <w:tcPr>
            <w:tcW w:type="dxa" w:w="1728"/>
          </w:tcPr>
          <w:p>
            <w:r>
              <w:rPr>
                <w:sz w:val="18"/>
              </w:rPr>
            </w:r>
            <w:r>
              <w:rPr>
                <w:b w:val="0"/>
                <w:i w:val="0"/>
                <w:sz w:val="18"/>
              </w:rPr>
              <w:t>500</w:t>
            </w:r>
          </w:p>
        </w:tc>
        <w:tc>
          <w:tcPr>
            <w:tcW w:type="dxa" w:w="1728"/>
          </w:tcPr>
          <w:p>
            <w:r>
              <w:rPr>
                <w:sz w:val="18"/>
              </w:rPr>
            </w:r>
            <w:r>
              <w:rPr>
                <w:b w:val="0"/>
                <w:i w:val="0"/>
                <w:sz w:val="18"/>
              </w:rPr>
              <w:t>Scope honesty</w:t>
            </w:r>
          </w:p>
        </w:tc>
        <w:tc>
          <w:tcPr>
            <w:tcW w:type="dxa" w:w="1728"/>
          </w:tcPr>
          <w:p>
            <w:r>
              <w:rPr>
                <w:sz w:val="18"/>
              </w:rPr>
            </w:r>
            <w:r>
              <w:rPr>
                <w:b/>
                <w:i w:val="0"/>
                <w:sz w:val="18"/>
              </w:rPr>
              <w:t>Drafted (condensed)</w:t>
            </w:r>
          </w:p>
        </w:tc>
      </w:tr>
      <w:tr>
        <w:tc>
          <w:tcPr>
            <w:tcW w:type="dxa" w:w="1728"/>
          </w:tcPr>
          <w:p>
            <w:r>
              <w:rPr>
                <w:sz w:val="18"/>
              </w:rPr>
            </w:r>
            <w:r>
              <w:rPr>
                <w:b w:val="0"/>
                <w:i w:val="0"/>
                <w:sz w:val="18"/>
              </w:rPr>
              <w:t>—</w:t>
            </w:r>
          </w:p>
        </w:tc>
        <w:tc>
          <w:tcPr>
            <w:tcW w:type="dxa" w:w="1728"/>
          </w:tcPr>
          <w:p>
            <w:r>
              <w:rPr>
                <w:sz w:val="18"/>
              </w:rPr>
            </w:r>
            <w:r>
              <w:rPr>
                <w:b w:val="0"/>
                <w:i w:val="0"/>
                <w:sz w:val="18"/>
              </w:rPr>
              <w:t>Tables 1–3, Figure 1</w:t>
            </w:r>
          </w:p>
        </w:tc>
        <w:tc>
          <w:tcPr>
            <w:tcW w:type="dxa" w:w="1728"/>
          </w:tcPr>
          <w:p>
            <w:r>
              <w:rPr>
                <w:sz w:val="18"/>
              </w:rPr>
            </w:r>
            <w:r>
              <w:rPr>
                <w:b w:val="0"/>
                <w:i w:val="0"/>
                <w:sz w:val="18"/>
              </w:rPr>
              <w:t>—</w:t>
            </w:r>
          </w:p>
        </w:tc>
        <w:tc>
          <w:tcPr>
            <w:tcW w:type="dxa" w:w="1728"/>
          </w:tcPr>
          <w:p>
            <w:r>
              <w:rPr>
                <w:sz w:val="18"/>
              </w:rPr>
            </w:r>
            <w:r>
              <w:rPr>
                <w:b w:val="0"/>
                <w:i w:val="0"/>
                <w:sz w:val="18"/>
              </w:rPr>
              <w:t>Constructs, positioning, propositions</w:t>
            </w:r>
          </w:p>
        </w:tc>
        <w:tc>
          <w:tcPr>
            <w:tcW w:type="dxa" w:w="1728"/>
          </w:tcPr>
          <w:p>
            <w:r>
              <w:rPr>
                <w:sz w:val="18"/>
              </w:rPr>
            </w:r>
            <w:r>
              <w:rPr>
                <w:b/>
                <w:i w:val="0"/>
                <w:sz w:val="18"/>
              </w:rPr>
              <w:t>Specified</w:t>
            </w:r>
          </w:p>
        </w:tc>
      </w:tr>
      <w:tr>
        <w:tc>
          <w:tcPr>
            <w:tcW w:type="dxa" w:w="1728"/>
          </w:tcPr>
          <w:p>
            <w:r>
              <w:rPr>
                <w:sz w:val="18"/>
              </w:rPr>
            </w:r>
            <w:r>
              <w:rPr>
                <w:b w:val="0"/>
                <w:i w:val="0"/>
                <w:sz w:val="18"/>
              </w:rPr>
              <w:t>—</w:t>
            </w:r>
          </w:p>
        </w:tc>
        <w:tc>
          <w:tcPr>
            <w:tcW w:type="dxa" w:w="1728"/>
          </w:tcPr>
          <w:p>
            <w:r>
              <w:rPr>
                <w:sz w:val="18"/>
              </w:rPr>
            </w:r>
            <w:r>
              <w:rPr>
                <w:b w:val="0"/>
                <w:i w:val="0"/>
                <w:sz w:val="18"/>
              </w:rPr>
              <w:t>References</w:t>
            </w:r>
          </w:p>
        </w:tc>
        <w:tc>
          <w:tcPr>
            <w:tcW w:type="dxa" w:w="1728"/>
          </w:tcPr>
          <w:p>
            <w:r>
              <w:rPr>
                <w:sz w:val="18"/>
              </w:rPr>
            </w:r>
            <w:r>
              <w:rPr>
                <w:b w:val="0"/>
                <w:i w:val="0"/>
                <w:sz w:val="18"/>
              </w:rPr>
              <w:t>—</w:t>
            </w:r>
          </w:p>
        </w:tc>
        <w:tc>
          <w:tcPr>
            <w:tcW w:type="dxa" w:w="1728"/>
          </w:tcPr>
          <w:p>
            <w:r>
              <w:rPr>
                <w:sz w:val="18"/>
              </w:rPr>
            </w:r>
            <w:r>
              <w:rPr>
                <w:b w:val="0"/>
                <w:i w:val="0"/>
                <w:sz w:val="18"/>
              </w:rPr>
              <w:t>~70–90 items</w:t>
            </w:r>
          </w:p>
        </w:tc>
        <w:tc>
          <w:tcPr>
            <w:tcW w:type="dxa" w:w="1728"/>
          </w:tcPr>
          <w:p>
            <w:r>
              <w:rPr>
                <w:sz w:val="18"/>
              </w:rPr>
            </w:r>
            <w:r>
              <w:rPr>
                <w:b/>
                <w:i w:val="0"/>
                <w:sz w:val="18"/>
              </w:rPr>
              <w:t>Anchors verified; see Part III</w:t>
            </w:r>
          </w:p>
        </w:tc>
      </w:tr>
    </w:tbl>
    <w:p/>
    <w:p>
      <w:pPr>
        <w:pStyle w:val="Heading2"/>
      </w:pPr>
      <w:r>
        <w:rPr>
          <w:b w:val="0"/>
          <w:i w:val="0"/>
          <w:color w:val="1A1A1A"/>
        </w:rPr>
        <w:t>I.2 Architectural logic</w:t>
      </w:r>
    </w:p>
    <w:p>
      <w:r>
        <w:rPr>
          <w:b w:val="0"/>
          <w:i w:val="0"/>
        </w:rPr>
        <w:t xml:space="preserve">The manuscript is built on a single asymmetry and refuses to let go of it: </w:t>
      </w:r>
      <w:r>
        <w:rPr>
          <w:b/>
          <w:i w:val="0"/>
        </w:rPr>
        <w:t>the person who chooses is not the person who consumes, and the market can only see the chooser.</w:t>
      </w:r>
    </w:p>
    <w:p>
      <w:r>
        <w:rPr>
          <w:b w:val="0"/>
          <w:i w:val="0"/>
        </w:rPr>
        <w:t>Four load-bearing decisions:</w:t>
      </w:r>
    </w:p>
    <w:p>
      <w:pPr>
        <w:pStyle w:val="ListNumber"/>
      </w:pPr>
      <w:r>
        <w:rPr>
          <w:b/>
          <w:i w:val="0"/>
        </w:rPr>
        <w:t>The gap is a scope-condition failure, not an empty cell.</w:t>
      </w:r>
      <w:r>
        <w:rPr>
          <w:b w:val="0"/>
          <w:i w:val="0"/>
        </w:rPr>
        <w:t xml:space="preserve"> Section 2 does not claim nobody has studied caregiving consumption. It claims that each adjacent literature has an assumption that fails here — ascending competence (family decision-making), individual locus (vulnerability), expertise-based voluntary delegation (surrogate consumers), and institutional governance without a profit-seeking counterparty (medical surrogacy). Reviewers reject "understudied"; they accept "mispredicts."</w:t>
      </w:r>
    </w:p>
    <w:p>
      <w:pPr>
        <w:pStyle w:val="ListNumber"/>
      </w:pPr>
      <w:r>
        <w:rPr>
          <w:b/>
          <w:i w:val="0"/>
        </w:rPr>
        <w:t>The mechanism is motivational, not informational.</w:t>
      </w:r>
      <w:r>
        <w:rPr>
          <w:b w:val="0"/>
          <w:i w:val="0"/>
        </w:rPr>
        <w:t xml:space="preserve"> Section 7 is short but structurally decisive. Evidence from outside marketing establishes that proxies </w:t>
      </w:r>
      <w:r>
        <w:rPr>
          <w:b w:val="0"/>
          <w:i/>
        </w:rPr>
        <w:t>can</w:t>
      </w:r>
      <w:r>
        <w:rPr>
          <w:b w:val="0"/>
          <w:i w:val="0"/>
        </w:rPr>
        <w:t xml:space="preserve"> estimate preferences accurately and that improving their information does not improve their decisions. Building on this converts the paper from a competence story into an accountability story.</w:t>
      </w:r>
    </w:p>
    <w:p>
      <w:pPr>
        <w:pStyle w:val="ListNumber"/>
      </w:pPr>
      <w:r>
        <w:rPr>
          <w:b/>
          <w:i w:val="0"/>
        </w:rPr>
        <w:t>Level 3 is the contribution.</w:t>
      </w:r>
      <w:r>
        <w:rPr>
          <w:b w:val="0"/>
          <w:i w:val="0"/>
        </w:rPr>
        <w:t xml:space="preserve"> Blocks A–C could, with effort, be published in a psychology journal. Block D could not. Proxy capture — competitive selection on proxy-sourced feedback — is why this is a marketing paper, and it must be visible in the title, the abstract, the figure, and the discussion.</w:t>
      </w:r>
    </w:p>
    <w:p>
      <w:pPr>
        <w:pStyle w:val="ListNumber"/>
      </w:pPr>
      <w:r>
        <w:rPr>
          <w:b/>
          <w:i w:val="0"/>
        </w:rPr>
        <w:t>The paper ends constructively.</w:t>
      </w:r>
      <w:r>
        <w:rPr>
          <w:b w:val="0"/>
          <w:i w:val="0"/>
        </w:rPr>
        <w:t xml:space="preserve"> P12 establishes that the divergence is an artefact of measurement and design rather than an inherent trade-off. Without this the manuscript reads as critique and will be rejected as unactionable.</w:t>
      </w:r>
    </w:p>
    <w:p>
      <w:pPr>
        <w:pStyle w:val="Heading2"/>
      </w:pPr>
      <w:r>
        <w:rPr>
          <w:b w:val="0"/>
          <w:i w:val="0"/>
          <w:color w:val="1A1A1A"/>
        </w:rPr>
        <w:t>I.3 Exhibits</w:t>
      </w:r>
    </w:p>
    <w:p>
      <w:pPr>
        <w:pStyle w:val="ListBullet"/>
      </w:pPr>
      <w:r>
        <w:rPr>
          <w:b/>
          <w:i w:val="0"/>
        </w:rPr>
        <w:t>Figure 1.</w:t>
      </w:r>
      <w:r>
        <w:rPr>
          <w:b w:val="0"/>
          <w:i w:val="0"/>
        </w:rPr>
        <w:t xml:space="preserve"> Three-level framework with the amplification loop drawn bold and remedy paths dashed.</w:t>
      </w:r>
    </w:p>
    <w:p>
      <w:pPr>
        <w:pStyle w:val="ListBullet"/>
      </w:pPr>
      <w:r>
        <w:rPr>
          <w:b/>
          <w:i w:val="0"/>
        </w:rPr>
        <w:t>Table 1.</w:t>
      </w:r>
      <w:r>
        <w:rPr>
          <w:b w:val="0"/>
          <w:i w:val="0"/>
        </w:rPr>
        <w:t xml:space="preserve"> Construct definitions and differentiation.</w:t>
      </w:r>
    </w:p>
    <w:p>
      <w:pPr>
        <w:pStyle w:val="ListBullet"/>
      </w:pPr>
      <w:r>
        <w:rPr>
          <w:b/>
          <w:i w:val="0"/>
        </w:rPr>
        <w:t>Table 2.</w:t>
      </w:r>
      <w:r>
        <w:rPr>
          <w:b w:val="0"/>
          <w:i w:val="0"/>
        </w:rPr>
        <w:t xml:space="preserve"> Positioning against four literatures.</w:t>
      </w:r>
    </w:p>
    <w:p>
      <w:pPr>
        <w:pStyle w:val="ListBullet"/>
      </w:pPr>
      <w:r>
        <w:rPr>
          <w:b/>
          <w:i w:val="0"/>
        </w:rPr>
        <w:t>Table 3.</w:t>
      </w:r>
      <w:r>
        <w:rPr>
          <w:b w:val="0"/>
          <w:i w:val="0"/>
        </w:rPr>
        <w:t xml:space="preserve"> Propositions, constructs, and corresponding empirical tests.</w:t>
      </w:r>
    </w:p>
    <w:p>
      <w:pPr>
        <w:pStyle w:val="Heading1"/>
        <w:jc w:val="left"/>
      </w:pPr>
      <w:r>
        <w:rPr>
          <w:b w:val="0"/>
          <w:i w:val="0"/>
          <w:color w:val="1A1A1A"/>
        </w:rPr>
        <w:t>PART II — MANUSCRIPT DRAFT</w:t>
      </w:r>
    </w:p>
    <w:p>
      <w:pPr>
        <w:pStyle w:val="Heading2"/>
      </w:pPr>
      <w:r>
        <w:rPr>
          <w:b w:val="0"/>
          <w:i w:val="0"/>
          <w:color w:val="1A1A1A"/>
        </w:rPr>
        <w:t>Title page</w:t>
      </w:r>
    </w:p>
    <w:p>
      <w:r>
        <w:rPr>
          <w:b/>
          <w:i w:val="0"/>
        </w:rPr>
        <w:t>Consumption by Proxy: Agency Transfer, Preference Fidelity, and Market Capture in Aging Households</w:t>
      </w:r>
    </w:p>
    <w:p>
      <w:r>
        <w:rPr>
          <w:b w:val="0"/>
          <w:i/>
        </w:rPr>
        <w:t>Keywords:</w:t>
      </w:r>
      <w:r>
        <w:rPr>
          <w:b w:val="0"/>
          <w:i w:val="0"/>
        </w:rPr>
        <w:t xml:space="preserve"> proxy consumption agency, caregiving, aging consumers, consumer vulnerability, family decision-making, preference fidelity, consumer well-being, market feedback</w:t>
      </w:r>
    </w:p>
    <w:p>
      <w:pPr>
        <w:pStyle w:val="Heading2"/>
      </w:pPr>
      <w:r>
        <w:rPr>
          <w:b w:val="0"/>
          <w:i w:val="0"/>
          <w:color w:val="1A1A1A"/>
        </w:rPr>
        <w:t>Abstract</w:t>
      </w:r>
    </w:p>
    <w:p>
      <w:r>
        <w:rPr>
          <w:b w:val="0"/>
          <w:i w:val="0"/>
        </w:rPr>
        <w:t>A large and rapidly growing share of household consumption is chosen by someone other than the person who consumes it. As populations age, adult children and other caregivers increasingly select the food, housing, healthcare, financial products, and services their declining parents experience, and they do so using the parents' money. Marketing theory has no account of this arrangement. Family decision-making research assumes competence that ascends through socialization or is negotiated between peers; consumer vulnerability research locates vulnerability in the individual; and the surrogate consumer construct describes experts voluntarily hired for superior judgment. Proxy consumption inverts all three: authority moves toward the less-informed party, is conscripted by kinship rather than contracted, and cannot be revoked by the person it displaces.</w:t>
      </w:r>
    </w:p>
    <w:p>
      <w:r>
        <w:rPr>
          <w:b w:val="0"/>
          <w:i w:val="0"/>
        </w:rPr>
        <w:t xml:space="preserve">We develop the construct of </w:t>
      </w:r>
      <w:r>
        <w:rPr>
          <w:b/>
          <w:i w:val="0"/>
        </w:rPr>
        <w:t>proxy consumption agency</w:t>
      </w:r>
      <w:r>
        <w:rPr>
          <w:b w:val="0"/>
          <w:i w:val="0"/>
        </w:rPr>
        <w:t xml:space="preserve"> and a framework specifying how decision authority transfers, how it distorts choice, and how markets respond. We argue that transfer is triggered episodically rather than gradually, overshoots actual capacity loss, and ratchets — partly because market account architecture materially entrenches it. We argue that distortion is compositional and directional: because proxies are accountable for verifiable harms but not for forgone benefits, they systematically over-weight harm avoidance and under-weight hedonic and identity-expressive value. Finally, we argue that because firms collect feedback from the transacting proxy, markets do not correct proxy distortion — they select for it. We term this </w:t>
      </w:r>
      <w:r>
        <w:rPr>
          <w:b/>
          <w:i w:val="0"/>
        </w:rPr>
        <w:t>proxy capture</w:t>
      </w:r>
      <w:r>
        <w:rPr>
          <w:b w:val="0"/>
          <w:i w:val="0"/>
        </w:rPr>
        <w:t>, derive twelve propositions and an empirical program, and identify measurement and account-architecture remedies available to firms today.</w:t>
      </w:r>
    </w:p>
    <w:p>
      <w:r>
        <w:rPr>
          <w:b w:val="0"/>
          <w:i/>
        </w:rPr>
        <w:t>(218 words)</w:t>
      </w:r>
    </w:p>
    <w:p>
      <w:pPr>
        <w:pStyle w:val="Heading2"/>
      </w:pPr>
      <w:r>
        <w:rPr>
          <w:b w:val="0"/>
          <w:i w:val="0"/>
          <w:color w:val="1A1A1A"/>
        </w:rPr>
        <w:t>1. Introduction</w:t>
      </w:r>
    </w:p>
    <w:p>
      <w:r>
        <w:rPr>
          <w:b w:val="0"/>
          <w:i w:val="0"/>
        </w:rPr>
        <w:t>Consider a decision that marketing theory cannot classify. An adult daughter selects a residential care facility for her mother. She pays for it from her mother's savings. She evaluates the alternatives on inspection records, staffing ratios, and cleanliness. She is telephoned by the facility's marketing team, completes its satisfaction survey, and writes its online review. She will inherit whatever remains unspent. Her mother will live there. Her mother did not choose it, will not be surveyed, and cannot leave.</w:t>
      </w:r>
    </w:p>
    <w:p>
      <w:r>
        <w:rPr>
          <w:b w:val="0"/>
          <w:i w:val="0"/>
        </w:rPr>
        <w:t>Every actor in this transaction behaves reasonably, and the market functions as designed. The facility learns what its customers value, competes with rivals to deliver it, and improves along the dimensions its customers reward. The person who consumes the service is not among the customers whose preferences the market is learning.</w:t>
      </w:r>
    </w:p>
    <w:p>
      <w:r>
        <w:rPr>
          <w:b w:val="0"/>
          <w:i w:val="0"/>
        </w:rPr>
        <w:t>This arrangement is not marginal and it is not new, but its scale is unprecedented and growing quickly. Populations are aging across the industrialized world and across much of East Asia and Southern Europe faster still. The share of consumption expenditure in which the decision-maker, the payer, and the consumer are three partially overlapping people rather than one is rising accordingly, and it is rising in precisely the categories where the stakes for well-being are highest: housing, food, healthcare, mobility, financial services, personal care, and social participation. Simultaneously, the largest intergenerational wealth transfer in recorded history is moving purchasing power toward a cohort that will hold decision authority over assets it did not accumulate, on behalf of people whose preferences it must infer.</w:t>
      </w:r>
    </w:p>
    <w:p>
      <w:r>
        <w:rPr>
          <w:b w:val="0"/>
          <w:i w:val="0"/>
        </w:rPr>
        <w:t xml:space="preserve">Marketing has an established vocabulary for none of this. The discipline theorizes the </w:t>
      </w:r>
      <w:r>
        <w:rPr>
          <w:b w:val="0"/>
          <w:i/>
        </w:rPr>
        <w:t>consumer</w:t>
      </w:r>
      <w:r>
        <w:rPr>
          <w:b w:val="0"/>
          <w:i w:val="0"/>
        </w:rPr>
        <w:t xml:space="preserve"> who decides, pays, and consumes; where it relaxes that assumption, it does so in ways that do not travel to this setting. Family decision-making research, from the foundational work on household role structures through Epp and Price's (2008) framework of identity interplay, theorizes households whose members negotiate as peers or in which competence and authority ascend together through socialization. Children acquire consumption skill and, with it, consumption authority. Proxy consumption runs the process backwards: authority migrates </w:t>
      </w:r>
      <w:r>
        <w:rPr>
          <w:b w:val="0"/>
          <w:i/>
        </w:rPr>
        <w:t>toward</w:t>
      </w:r>
      <w:r>
        <w:rPr>
          <w:b w:val="0"/>
          <w:i w:val="0"/>
        </w:rPr>
        <w:t xml:space="preserve"> the less-informed party as the more-informed party declines. Consumer vulnerability research, following Baker, Gentry, and Rittenburg (2005) and Hill and Sharma (2020), locates vulnerability in an individual's restricted access to and control over resources, and recent work has usefully made vulnerability dynamic rather than demographic. But the locus remains the individual, and it has no apparatus for vulnerability that is </w:t>
      </w:r>
      <w:r>
        <w:rPr>
          <w:b w:val="0"/>
          <w:i/>
        </w:rPr>
        <w:t>administered by a relative</w:t>
      </w:r>
      <w:r>
        <w:rPr>
          <w:b w:val="0"/>
          <w:i w:val="0"/>
        </w:rPr>
        <w:t xml:space="preserve"> whose own guilt, convenience, siblings, and prospective inheritance shape what the vulnerable consumer actually receives. And the surrogate consumer construct, introduced by Solomon (1986), describes a market professional — a decorator, a broker, a tailor — voluntarily engaged for superior expertise under fiduciary constraint. That is close to the exact inverse of a daughter conscripted by kinship, unbounded by contract, unremovable by her principal, and holding a residual claim on the assets she is spending.</w:t>
      </w:r>
    </w:p>
    <w:p>
      <w:r>
        <w:rPr>
          <w:b w:val="0"/>
          <w:i w:val="0"/>
        </w:rPr>
        <w:t xml:space="preserve">Consumer research has come nearest to this territory through work on the </w:t>
      </w:r>
      <w:r>
        <w:rPr>
          <w:b w:val="0"/>
          <w:i/>
        </w:rPr>
        <w:t>elderly consumption ensemble</w:t>
      </w:r>
      <w:r>
        <w:rPr>
          <w:b w:val="0"/>
          <w:i w:val="0"/>
        </w:rPr>
        <w:t xml:space="preserve">. Barnhart and Peñaloza (2013) established that as consumers age, family, friends, and paid providers increasingly participate in their consumption activities, and showed how old-age identity is negotiated within that group — how consumption activities become both the marker by which someone is designated old and the arena in which that designation is contested. That contribution is foundational to ours, and we adopt the ensemble as our setting. But its object is identity, not authority. Barnhart and Peñaloza themselves posed the question of how agency operates within the ensemble at the Association for Consumer Research in 2009, and consumer research has not returned to it in the fifteen years since. What remains untheorized is not </w:t>
      </w:r>
      <w:r>
        <w:rPr>
          <w:b w:val="0"/>
          <w:i/>
        </w:rPr>
        <w:t>whether</w:t>
      </w:r>
      <w:r>
        <w:rPr>
          <w:b w:val="0"/>
          <w:i w:val="0"/>
        </w:rPr>
        <w:t xml:space="preserve"> others participate in the aging consumer's consumption — we know they do — but </w:t>
      </w:r>
      <w:r>
        <w:rPr>
          <w:b/>
          <w:i w:val="0"/>
        </w:rPr>
        <w:t>how decision authority is allocated within that participation, what systematically happens to the consumer's own preferences when it moves, and why markets fail to register the consequence.</w:t>
      </w:r>
    </w:p>
    <w:p>
      <w:r>
        <w:rPr>
          <w:b w:val="0"/>
          <w:i w:val="0"/>
        </w:rPr>
        <w:t xml:space="preserve">We take up that question. We introduce </w:t>
      </w:r>
      <w:r>
        <w:rPr>
          <w:b/>
          <w:i w:val="0"/>
        </w:rPr>
        <w:t>proxy consumption agency</w:t>
      </w:r>
      <w:r>
        <w:rPr>
          <w:b w:val="0"/>
          <w:i w:val="0"/>
        </w:rPr>
        <w:t xml:space="preserve"> as the exercise of consumption decision authority by one actor over resources belonging to, and outcomes experienced by, another, where the transfer of authority is driven by the principal's declining capacity rather than the proxy's superior expertise, and is unbounded by explicit contract. We then develop a three-level framework.</w:t>
      </w:r>
    </w:p>
    <w:p>
      <w:r>
        <w:rPr>
          <w:b w:val="0"/>
          <w:i w:val="0"/>
        </w:rPr>
        <w:t xml:space="preserve">At the first level we theorize how authority moves. We argue that transfer is triggered not by the gradient of capacity decline but by discrete, publicly legible capacity signals — a fall, a hospitalization, a bereavement, a visible financial error — and that because these signals are coarse, each transfer overshoots the deficit it reveals. We further argue that transfer ratchets: it does not revert when capacity recovers. And we argue that this ratchet is partly constituted by </w:t>
      </w:r>
      <w:r>
        <w:rPr>
          <w:b w:val="0"/>
          <w:i/>
        </w:rPr>
        <w:t>market infrastructure</w:t>
      </w:r>
      <w:r>
        <w:rPr>
          <w:b w:val="0"/>
          <w:i w:val="0"/>
        </w:rPr>
        <w:t>. Accounts, credentials, payment instruments, delivery defaults, and customer records migrate to the proxy at the moment of transfer and are administratively costly to migrate back. Firms therefore participate materially in determining whether a consumer's loss of agency is reversible, and at present they do so without intending to.</w:t>
      </w:r>
    </w:p>
    <w:p>
      <w:r>
        <w:rPr>
          <w:b w:val="0"/>
          <w:i w:val="0"/>
        </w:rPr>
        <w:t xml:space="preserve">At the second level we theorize how proxies distort choice, and we insist that the theory be </w:t>
      </w:r>
      <w:r>
        <w:rPr>
          <w:b w:val="0"/>
          <w:i/>
        </w:rPr>
        <w:t>directional</w:t>
      </w:r>
      <w:r>
        <w:rPr>
          <w:b w:val="0"/>
          <w:i w:val="0"/>
        </w:rPr>
        <w:t xml:space="preserve">. Because proxies are held accountable by third parties for verifiable harms but not for forgone benefits — no one blames a daughter for her mother's boredom, and everyone blames her for a fall — proxies systematically over-weight harm-avoidance attributes and under-weight hedonic, aesthetic, autonomy-supporting, and identity-expressive ones. Distortion appears in the </w:t>
      </w:r>
      <w:r>
        <w:rPr>
          <w:b w:val="0"/>
          <w:i/>
        </w:rPr>
        <w:t>composition</w:t>
      </w:r>
      <w:r>
        <w:rPr>
          <w:b w:val="0"/>
          <w:i w:val="0"/>
        </w:rPr>
        <w:t xml:space="preserve"> of what is bought rather than necessarily in how much is spent, which is why expenditure data conceal it.</w:t>
      </w:r>
    </w:p>
    <w:p>
      <w:r>
        <w:rPr>
          <w:b w:val="0"/>
          <w:i w:val="0"/>
        </w:rPr>
        <w:t xml:space="preserve">At the third level we theorize the market's response, and this is where our contribution departs most sharply from adjacent work. Because satisfaction surveys, complaint channels, reviews, churn signals, and targeting systems are all addressed to the transacting proxy, the feedback a firm receives measures </w:t>
      </w:r>
      <w:r>
        <w:rPr>
          <w:b w:val="0"/>
          <w:i/>
        </w:rPr>
        <w:t>proxy</w:t>
      </w:r>
      <w:r>
        <w:rPr>
          <w:b w:val="0"/>
          <w:i w:val="0"/>
        </w:rPr>
        <w:t xml:space="preserve"> utility. Competitive selection on that feedback shifts category offerings toward proxy-preferred attributes. The market therefore does not correct proxy distortion; it selects for it. We call this </w:t>
      </w:r>
      <w:r>
        <w:rPr>
          <w:b/>
          <w:i w:val="0"/>
        </w:rPr>
        <w:t>proxy capture</w:t>
      </w:r>
      <w:r>
        <w:rPr>
          <w:b w:val="0"/>
          <w:i w:val="0"/>
        </w:rPr>
        <w:t xml:space="preserve">, and its diagnostic signature is a </w:t>
      </w:r>
      <w:r>
        <w:rPr>
          <w:b/>
          <w:i w:val="0"/>
        </w:rPr>
        <w:t>satisfaction–fidelity divergence</w:t>
      </w:r>
      <w:r>
        <w:rPr>
          <w:b w:val="0"/>
          <w:i w:val="0"/>
        </w:rPr>
        <w:t xml:space="preserve"> in which every metric a firm collects improves while the well-being of the person consuming the offering declines.</w:t>
      </w:r>
    </w:p>
    <w:p>
      <w:r>
        <w:rPr>
          <w:b w:val="0"/>
          <w:i w:val="0"/>
        </w:rPr>
        <w:t xml:space="preserve">Our argument rests on a premise imported from outside marketing that deserves emphasis at the outset, because it determines the character of the entire theory. It would be natural to assume that proxies choose badly because they do not know what their principals want. The evidence indicates otherwise. Tunney and Ziegler (2015) show that people predict others' preferences with substantial accuracy, and that they do so through genuine perspective-taking rather than by anchoring on their own preferences; they conclude that utility estimation is not the source of inaccuracy in surrogate decisions. In the medical domain, Shalowitz, Garrett-Mayer, and Wendler's (2006) meta-analysis finds surrogates predict patient treatment preferences with roughly 68 percent accuracy, and — critically — that neither designating a surrogate in advance nor discussing preferences with them beforehand improved that accuracy. Proxy decisions, then, do not fail because the proxy does not know. </w:t>
      </w:r>
      <w:r>
        <w:rPr>
          <w:b/>
          <w:i w:val="0"/>
        </w:rPr>
        <w:t>They fail because knowing does not govern choosing.</w:t>
      </w:r>
      <w:r>
        <w:rPr>
          <w:b w:val="0"/>
          <w:i w:val="0"/>
        </w:rPr>
        <w:t xml:space="preserve"> What stands between knowing and choosing is not information. It is accountability, money, and infrastructure — which is to say, it is the market.</w:t>
      </w:r>
    </w:p>
    <w:p>
      <w:r>
        <w:rPr>
          <w:b w:val="0"/>
          <w:i w:val="0"/>
        </w:rPr>
        <w:t xml:space="preserve">We contribute in three ways. First, we introduce and delimit a construct that the discipline lacks, specifying its scope conditions against three adjacent constructs with which it is easily confused. Second, we develop a directional theory of proxy distortion grounded in accountability asymmetry rather than information deficit, yielding predictions about </w:t>
      </w:r>
      <w:r>
        <w:rPr>
          <w:b w:val="0"/>
          <w:i/>
        </w:rPr>
        <w:t>which</w:t>
      </w:r>
      <w:r>
        <w:rPr>
          <w:b w:val="0"/>
          <w:i w:val="0"/>
        </w:rPr>
        <w:t xml:space="preserve"> attributes are sacrificed and </w:t>
      </w:r>
      <w:r>
        <w:rPr>
          <w:b w:val="0"/>
          <w:i/>
        </w:rPr>
        <w:t>when</w:t>
      </w:r>
      <w:r>
        <w:rPr>
          <w:b w:val="0"/>
          <w:i w:val="0"/>
        </w:rPr>
        <w:t xml:space="preserve">, including the counterintuitive prediction that formalizing a proxy's authority through instruments such as power of attorney </w:t>
      </w:r>
      <w:r>
        <w:rPr>
          <w:b w:val="0"/>
          <w:i/>
        </w:rPr>
        <w:t>reduces</w:t>
      </w:r>
      <w:r>
        <w:rPr>
          <w:b w:val="0"/>
          <w:i w:val="0"/>
        </w:rPr>
        <w:t xml:space="preserve"> fidelity to the principal's preferences by raising the demand to justify choices to third parties. Third, we theorize the market-level consequence and its remedy, showing that the satisfaction–fidelity divergence is an artefact of measurement and account-design choices rather than an inherent trade-off, and is therefore correctable by firms without commercial loss.</w:t>
      </w:r>
    </w:p>
    <w:p>
      <w:r>
        <w:rPr>
          <w:b w:val="0"/>
          <w:i w:val="0"/>
        </w:rPr>
        <w:t>The remainder proceeds as follows. Section 2 establishes what four adjacent literatures can and cannot address. Section 3 defines the construct and its scope conditions. Section 4 presents the framework. Sections 5 through 8 develop twelve propositions. Section 9 specifies an empirical program. Sections 10 through 12 discuss theoretical contributions, implications for managers and policymakers, and boundaries.</w:t>
      </w:r>
    </w:p>
    <w:p>
      <w:pPr>
        <w:pStyle w:val="Heading2"/>
      </w:pPr>
      <w:r>
        <w:rPr>
          <w:b w:val="0"/>
          <w:i w:val="0"/>
          <w:color w:val="1A1A1A"/>
        </w:rPr>
        <w:t>2. Theoretical background: four literatures and their limits</w:t>
      </w:r>
    </w:p>
    <w:p>
      <w:r>
        <w:rPr>
          <w:b w:val="0"/>
          <w:i w:val="0"/>
        </w:rPr>
        <w:t>Four bodies of work bear directly on proxy consumption. We treat each generously and then identify the specific assumption that fails.</w:t>
      </w:r>
    </w:p>
    <w:p>
      <w:pPr>
        <w:pStyle w:val="Heading3"/>
      </w:pPr>
      <w:r>
        <w:rPr>
          <w:b w:val="0"/>
          <w:i w:val="0"/>
          <w:color w:val="1A1A1A"/>
        </w:rPr>
        <w:t>2.1 Family and household decision-making</w:t>
      </w:r>
    </w:p>
    <w:p>
      <w:r>
        <w:rPr>
          <w:b w:val="0"/>
          <w:i w:val="0"/>
        </w:rPr>
        <w:t>Household decision-making research established early that purchase decisions are distributed across household members, with role specialization varying by product category, and it has since developed sophisticated accounts of how families use marketplace resources to manage identity. Epp and Price (2008) show that families navigate interplays among individual, relational, and collective identities, and that consumption practices are the medium of that navigation; their subsequent work demonstrates how firms can design offerings around the identity goals of customer networks rather than individuals (Epp and Price 2011). This tradition supplies two things we need: the recognition that the decision-making unit is frequently collective, and the recognition that collective consumption is identity-laden rather than merely instrumental.</w:t>
      </w:r>
    </w:p>
    <w:p>
      <w:r>
        <w:rPr>
          <w:b w:val="0"/>
          <w:i w:val="0"/>
        </w:rPr>
        <w:t xml:space="preserve">What it does not supply is a model of authority </w:t>
      </w:r>
      <w:r>
        <w:rPr>
          <w:b w:val="0"/>
          <w:i/>
        </w:rPr>
        <w:t>transfer under declining capacity</w:t>
      </w:r>
      <w:r>
        <w:rPr>
          <w:b w:val="0"/>
          <w:i w:val="0"/>
        </w:rPr>
        <w:t>. Two assumptions run through the tradition. The first is rough symmetry: spouses and adult family members negotiate, bargain, and specialize, but each retains standing. The second is ascending competence: where authority is asymmetric, as between parent and child, competence and authority increase together through socialization, and the literature's developmental arc runs from dependence toward autonomy. Proxy consumption satisfies neither assumption. The principal loses standing rather than exercising it, and the direction of travel is from autonomy toward dependence. The tradition therefore has no vocabulary for the questions that matter most here: what triggers a reallocation of authority, how far it goes, whether it reverses, and what happens to the displaced party's preferences.</w:t>
      </w:r>
    </w:p>
    <w:p>
      <w:pPr>
        <w:pStyle w:val="Heading3"/>
      </w:pPr>
      <w:r>
        <w:rPr>
          <w:b w:val="0"/>
          <w:i w:val="0"/>
          <w:color w:val="1A1A1A"/>
        </w:rPr>
        <w:t>2.2 Consumer vulnerability</w:t>
      </w:r>
    </w:p>
    <w:p>
      <w:r>
        <w:rPr>
          <w:b w:val="0"/>
          <w:i w:val="0"/>
        </w:rPr>
        <w:t xml:space="preserve">Vulnerability research made a decisive advance by severing vulnerability from demography. Baker, Gentry, and Rittenburg (2005) argued that vulnerability should be attributed on the basis of experienced or expressed states rather than category membership, and Hill and Sharma (2020) define it as a state in which consumers are subject to harm because access to and control over resources are restricted in ways that impair marketplace functioning. Recent work has extended this to vulnerability </w:t>
      </w:r>
      <w:r>
        <w:rPr>
          <w:b w:val="0"/>
          <w:i/>
        </w:rPr>
        <w:t>dynamics</w:t>
      </w:r>
      <w:r>
        <w:rPr>
          <w:b w:val="0"/>
          <w:i w:val="0"/>
        </w:rPr>
        <w:t>, examining how states of vulnerability and resilience evolve and how organizations might partner with consumers experiencing them.</w:t>
      </w:r>
    </w:p>
    <w:p>
      <w:r>
        <w:rPr>
          <w:b w:val="0"/>
          <w:i w:val="0"/>
        </w:rPr>
        <w:t xml:space="preserve">The limitation is one of locus rather than of sophistication. Vulnerability remains a property of an individual in relation to a marketplace, and the remedies the literature contemplates are correspondingly dyadic: firm and vulnerable consumer, or policy and vulnerable consumer. Proxy consumption introduces a third party who is neither firm nor consumer, who holds the vulnerable consumer's resources, whose own interests are engaged, and through whom every firm and policy intervention must pass. A vulnerability framework centred on the individual cannot represent the situation in which the </w:t>
      </w:r>
      <w:r>
        <w:rPr>
          <w:b w:val="0"/>
          <w:i/>
        </w:rPr>
        <w:t>administration</w:t>
      </w:r>
      <w:r>
        <w:rPr>
          <w:b w:val="0"/>
          <w:i w:val="0"/>
        </w:rPr>
        <w:t xml:space="preserve"> of vulnerability is itself the mechanism of harm. Nor can it represent the possibility that the proxy is simultaneously a protector and an interested party — a duality that is normal rather than pathological in family caregiving and that no existing vulnerability construct captures.</w:t>
      </w:r>
    </w:p>
    <w:p>
      <w:pPr>
        <w:pStyle w:val="Heading3"/>
      </w:pPr>
      <w:r>
        <w:rPr>
          <w:b w:val="0"/>
          <w:i w:val="0"/>
          <w:color w:val="1A1A1A"/>
        </w:rPr>
        <w:t>2.3 Surrogate consumers</w:t>
      </w:r>
    </w:p>
    <w:p>
      <w:r>
        <w:rPr>
          <w:b w:val="0"/>
          <w:i w:val="0"/>
        </w:rPr>
        <w:t>Solomon (1986) introduced the surrogate consumer to describe an actor retained by a consumer to guide or replace their market choices, and subsequent work broadened the concept to encompass those who shop on behalf of clients under fiduciary responsibility, examining consequences for consumers, suppliers, and market efficiency. This is the closest existing construct, and the resemblance is superficially strong: a third party chooses; the consumer consumes.</w:t>
      </w:r>
    </w:p>
    <w:p>
      <w:r>
        <w:rPr>
          <w:b w:val="0"/>
          <w:i w:val="0"/>
        </w:rPr>
        <w:t xml:space="preserve">Four differences make the constructs distinct rather than nested. First, </w:t>
      </w:r>
      <w:r>
        <w:rPr>
          <w:b w:val="0"/>
          <w:i/>
        </w:rPr>
        <w:t>basis of delegation</w:t>
      </w:r>
      <w:r>
        <w:rPr>
          <w:b w:val="0"/>
          <w:i w:val="0"/>
        </w:rPr>
        <w:t xml:space="preserve">: the surrogate is engaged for superior expertise, and delegation is a rational response to a competence differential that favours the surrogate. The proxy typically has no relevant expertise and is selected by kinship. Second, </w:t>
      </w:r>
      <w:r>
        <w:rPr>
          <w:b w:val="0"/>
          <w:i/>
        </w:rPr>
        <w:t>voluntariness and revocability</w:t>
      </w:r>
      <w:r>
        <w:rPr>
          <w:b w:val="0"/>
          <w:i w:val="0"/>
        </w:rPr>
        <w:t xml:space="preserve">: the surrogate relationship is entered voluntarily and terminated at will; the proxy relationship is entered by circumstance and cannot be exited by the principal, who has by construction lost the capacity that exit requires. Third, </w:t>
      </w:r>
      <w:r>
        <w:rPr>
          <w:b w:val="0"/>
          <w:i/>
        </w:rPr>
        <w:t>governance</w:t>
      </w:r>
      <w:r>
        <w:rPr>
          <w:b w:val="0"/>
          <w:i w:val="0"/>
        </w:rPr>
        <w:t xml:space="preserve">: the surrogate operates under contract and fiduciary duty, with reputational and often legal consequences for infidelity; the proxy's obligations are normative and diffuse. Fourth, and most consequentially, </w:t>
      </w:r>
      <w:r>
        <w:rPr>
          <w:b w:val="0"/>
          <w:i/>
        </w:rPr>
        <w:t>interest structure</w:t>
      </w:r>
      <w:r>
        <w:rPr>
          <w:b w:val="0"/>
          <w:i w:val="0"/>
        </w:rPr>
        <w:t>: the surrogate is paid for service and has no claim on the principal's unspent assets, whereas the proxy is frequently an heir, and therefore holds a financial interest in the principal's non-consumption. The last of these has no analogue anywhere in the surrogate literature and it is not a minor extension; it means the proxy's incentive is partially opposed to the principal's consumption as such.</w:t>
      </w:r>
    </w:p>
    <w:p>
      <w:pPr>
        <w:pStyle w:val="Heading3"/>
      </w:pPr>
      <w:r>
        <w:rPr>
          <w:b w:val="0"/>
          <w:i w:val="0"/>
          <w:color w:val="1A1A1A"/>
        </w:rPr>
        <w:t>2.4 Surrogate decision-making in psychology and medicine</w:t>
      </w:r>
    </w:p>
    <w:p>
      <w:r>
        <w:rPr>
          <w:b w:val="0"/>
          <w:i w:val="0"/>
        </w:rPr>
        <w:t>Outside marketing, a substantial literature examines decisions made on behalf of others, concentrated in medical contexts. Tunney and Ziegler (2015) review this work, observe that no domain-general model of surrogate decision-making exists, and propose a framework; their experimental work establishes that surrogate utility estimation is accurate and achieved through perspective-taking rather than anchoring, leading them to conclude that estimation is not the source of surrogate inaccuracy. Shalowitz, Garrett-Mayer, and Wendler (2006) find in meta-analysis that surrogates predict patient preferences with roughly 68 percent accuracy, unimproved by advance designation or prior discussion. A related stream documents the psychological burden that surrogate decisions impose on those who make them.</w:t>
      </w:r>
    </w:p>
    <w:p>
      <w:r>
        <w:rPr>
          <w:b w:val="0"/>
          <w:i w:val="0"/>
        </w:rPr>
        <w:t xml:space="preserve">This literature is indispensable to us and we build on it directly. Its limits, however, are precisely the limits of the clinical setting. Medical surrogate decisions are episodic, high-stakes, and comparatively few. They are governed by an explicit normative standard — substituted judgment — and supervised by clinicians who function as institutional counterweights. No money flows to the surrogate, and the surrogate holds no residual claim. The decisions have negligible identity or hedonic content. And decisively: </w:t>
      </w:r>
      <w:r>
        <w:rPr>
          <w:b/>
          <w:i w:val="0"/>
        </w:rPr>
        <w:t>no party to a clinical surrogate decision profits from pleasing the surrogate.</w:t>
      </w:r>
    </w:p>
    <w:p>
      <w:r>
        <w:rPr>
          <w:b w:val="0"/>
          <w:i w:val="0"/>
        </w:rPr>
        <w:t>Marketplace proxy decisions invert every one of these conditions. They are continuous and mundane rather than episodic. They are normatively ungoverned; there is no marketplace analogue of substituted judgment and no professional obliged to invoke it. They involve the principal's money, which the proxy may inherit. They are saturated with aesthetic, hedonic, and identity-expressive content — the very attribute classes clinical decisions lack. And there is always a counterparty with a commercial interest in the proxy's approval, measuring that approval, and adapting to it. That last condition is not a contextual detail. It is the mechanism that converts individual proxy distortion into a property of markets, and it is available only to marketing scholarship.</w:t>
      </w:r>
    </w:p>
    <w:p>
      <w:r>
        <w:rPr>
          <w:b w:val="0"/>
          <w:i/>
        </w:rPr>
        <w:t>[Insert Table 2 here: Positioning against four literatures]</w:t>
      </w:r>
    </w:p>
    <w:p>
      <w:pPr>
        <w:pStyle w:val="Heading2"/>
      </w:pPr>
      <w:r>
        <w:rPr>
          <w:b w:val="0"/>
          <w:i w:val="0"/>
          <w:color w:val="1A1A1A"/>
        </w:rPr>
        <w:t>3. Proxy consumption agency: construct and scope conditions</w:t>
      </w:r>
    </w:p>
    <w:p>
      <w:pPr>
        <w:pStyle w:val="Heading3"/>
      </w:pPr>
      <w:r>
        <w:rPr>
          <w:b w:val="0"/>
          <w:i w:val="0"/>
          <w:color w:val="1A1A1A"/>
        </w:rPr>
        <w:t>3.1 Definition</w:t>
      </w:r>
    </w:p>
    <w:p>
      <w:r>
        <w:rPr>
          <w:b w:val="0"/>
          <w:i w:val="0"/>
        </w:rPr>
        <w:t xml:space="preserve">We define </w:t>
      </w:r>
      <w:r>
        <w:rPr>
          <w:b/>
          <w:i w:val="0"/>
        </w:rPr>
        <w:t>proxy consumption agency</w:t>
      </w:r>
      <w:r>
        <w:rPr>
          <w:b w:val="0"/>
          <w:i w:val="0"/>
        </w:rPr>
        <w:t xml:space="preserve"> as </w:t>
      </w:r>
      <w:r>
        <w:rPr>
          <w:b w:val="0"/>
          <w:i/>
        </w:rPr>
        <w:t>the exercise of consumption decision authority by one actor (the proxy) over resources belonging to, and outcomes experienced by, another actor (the principal), where the transfer of authority is occasioned by the principal's declining capacity rather than by the proxy's superior expertise, and where the proxy's discretion is unbounded by explicit contract.</w:t>
      </w:r>
    </w:p>
    <w:p>
      <w:r>
        <w:rPr>
          <w:b w:val="0"/>
          <w:i w:val="0"/>
        </w:rPr>
        <w:t xml:space="preserve">Three elements of the definition do work. </w:t>
      </w:r>
      <w:r>
        <w:rPr>
          <w:b w:val="0"/>
          <w:i/>
        </w:rPr>
        <w:t>Occasioned by declining capacity</w:t>
      </w:r>
      <w:r>
        <w:rPr>
          <w:b w:val="0"/>
          <w:i w:val="0"/>
        </w:rPr>
        <w:t xml:space="preserve"> excludes expertise-based delegation and thereby separates the construct from surrogate consumption. </w:t>
      </w:r>
      <w:r>
        <w:rPr>
          <w:b w:val="0"/>
          <w:i/>
        </w:rPr>
        <w:t>Resources belonging to the principal</w:t>
      </w:r>
      <w:r>
        <w:rPr>
          <w:b w:val="0"/>
          <w:i w:val="0"/>
        </w:rPr>
        <w:t xml:space="preserve"> admits the interest structure — the proxy spends money that may become theirs — which distinguishes it from gift-giving and from ordinary purchase-for-another. </w:t>
      </w:r>
      <w:r>
        <w:rPr>
          <w:b w:val="0"/>
          <w:i/>
        </w:rPr>
        <w:t>Unbounded by explicit contract</w:t>
      </w:r>
      <w:r>
        <w:rPr>
          <w:b w:val="0"/>
          <w:i w:val="0"/>
        </w:rPr>
        <w:t xml:space="preserve"> excludes professional fiduciaries, guardianship under active judicial supervision, and commercial personal shopping, and locates the construct in the normatively governed but formally unpoliced space of family and quasi-family care.</w:t>
      </w:r>
    </w:p>
    <w:p>
      <w:pPr>
        <w:pStyle w:val="Heading3"/>
      </w:pPr>
      <w:r>
        <w:rPr>
          <w:b w:val="0"/>
          <w:i w:val="0"/>
          <w:color w:val="1A1A1A"/>
        </w:rPr>
        <w:t>3.2 Scope conditions</w:t>
      </w:r>
    </w:p>
    <w:p>
      <w:r>
        <w:rPr>
          <w:b w:val="0"/>
          <w:i w:val="0"/>
        </w:rPr>
        <w:t>The construct applies where five conditions hold jointly:</w:t>
      </w:r>
    </w:p>
    <w:p>
      <w:pPr>
        <w:pStyle w:val="ListNumber"/>
      </w:pPr>
      <w:r>
        <w:rPr>
          <w:b/>
          <w:i w:val="0"/>
        </w:rPr>
        <w:t>Capacity asymmetry with declining trajectory.</w:t>
      </w:r>
      <w:r>
        <w:rPr>
          <w:b w:val="0"/>
          <w:i w:val="0"/>
        </w:rPr>
        <w:t xml:space="preserve"> The principal's decision capacity is impaired relative to their own earlier baseline, and the impairment is expected to persist or worsen.</w:t>
      </w:r>
    </w:p>
    <w:p>
      <w:pPr>
        <w:pStyle w:val="ListNumber"/>
      </w:pPr>
      <w:r>
        <w:rPr>
          <w:b/>
          <w:i w:val="0"/>
        </w:rPr>
        <w:t>Non-expertise basis.</w:t>
      </w:r>
      <w:r>
        <w:rPr>
          <w:b w:val="0"/>
          <w:i w:val="0"/>
        </w:rPr>
        <w:t xml:space="preserve"> The proxy's authority derives from availability, kinship, or obligation rather than from demonstrated category competence.</w:t>
      </w:r>
    </w:p>
    <w:p>
      <w:pPr>
        <w:pStyle w:val="ListNumber"/>
      </w:pPr>
      <w:r>
        <w:rPr>
          <w:b/>
          <w:i w:val="0"/>
        </w:rPr>
        <w:t>Resource ownership divergence.</w:t>
      </w:r>
      <w:r>
        <w:rPr>
          <w:b w:val="0"/>
          <w:i w:val="0"/>
        </w:rPr>
        <w:t xml:space="preserve"> Funds expended belong wholly or partly to the principal.</w:t>
      </w:r>
    </w:p>
    <w:p>
      <w:pPr>
        <w:pStyle w:val="ListNumber"/>
      </w:pPr>
      <w:r>
        <w:rPr>
          <w:b/>
          <w:i w:val="0"/>
        </w:rPr>
        <w:t>Consumption locus divergence.</w:t>
      </w:r>
      <w:r>
        <w:rPr>
          <w:b w:val="0"/>
          <w:i w:val="0"/>
        </w:rPr>
        <w:t xml:space="preserve"> The principal, not the proxy, experiences the consumption outcome.</w:t>
      </w:r>
    </w:p>
    <w:p>
      <w:pPr>
        <w:pStyle w:val="ListNumber"/>
      </w:pPr>
      <w:r>
        <w:rPr>
          <w:b/>
          <w:i w:val="0"/>
        </w:rPr>
        <w:t>Absence of enforceable fidelity obligation.</w:t>
      </w:r>
      <w:r>
        <w:rPr>
          <w:b w:val="0"/>
          <w:i w:val="0"/>
        </w:rPr>
        <w:t xml:space="preserve"> No contract, professional standard, or active supervisory body obliges the proxy to enact the principal's preferences.</w:t>
      </w:r>
    </w:p>
    <w:p>
      <w:r>
        <w:rPr>
          <w:b w:val="0"/>
          <w:i w:val="0"/>
        </w:rPr>
        <w:t>Where condition 3 fails — the proxy spends their own money — the arrangement becomes gift-giving and the interest structure changes fundamentally. Where condition 5 fails, it becomes fiduciary agency and the classical principal–agent apparatus applies. Where condition 2 fails, it becomes surrogate consumption. Stating these boundaries explicitly is not pedantry; it is what allows the framework to make different predictions from the theories it borders.</w:t>
      </w:r>
    </w:p>
    <w:p>
      <w:pPr>
        <w:pStyle w:val="Heading3"/>
      </w:pPr>
      <w:r>
        <w:rPr>
          <w:b w:val="0"/>
          <w:i w:val="0"/>
          <w:color w:val="1A1A1A"/>
        </w:rPr>
        <w:t>3.3 The dyad as the unit of theory</w:t>
      </w:r>
    </w:p>
    <w:p>
      <w:r>
        <w:rPr>
          <w:b w:val="0"/>
          <w:i w:val="0"/>
        </w:rPr>
        <w:t xml:space="preserve">We take the </w:t>
      </w:r>
      <w:r>
        <w:rPr>
          <w:b/>
          <w:i w:val="0"/>
        </w:rPr>
        <w:t>principal–proxy dyad</w:t>
      </w:r>
      <w:r>
        <w:rPr>
          <w:b w:val="0"/>
          <w:i w:val="0"/>
        </w:rPr>
        <w:t xml:space="preserve"> as the theoretical unit, and this is a substantive commitment rather than a methodological convenience. Consumer research's default unit is the individual, and the individual is the wrong unit here for a specific reason: the outcome that matters — whether the principal's preferences are enacted — is not a property of either party. It is a property of the relation between the principal's preferences and the proxy's choices, and it can only be measured by observing both. A satisfied proxy and a poorly served principal are not a contradiction to be resolved but the normal state of the system, and no individual-level measurement can detect it.</w:t>
      </w:r>
    </w:p>
    <w:p>
      <w:r>
        <w:rPr>
          <w:b w:val="0"/>
          <w:i w:val="0"/>
        </w:rPr>
        <w:t xml:space="preserve">We accordingly introduce </w:t>
      </w:r>
      <w:r>
        <w:rPr>
          <w:b/>
          <w:i w:val="0"/>
        </w:rPr>
        <w:t>preference fidelity</w:t>
      </w:r>
      <w:r>
        <w:rPr>
          <w:b w:val="0"/>
          <w:i w:val="0"/>
        </w:rPr>
        <w:t xml:space="preserve"> as our central outcome construct: the correspondence between the principal's independently elicited preference and the choice enacted on their behalf. Fidelity is distinct from satisfaction, which is evaluative and in this setting is typically collected from the proxy; and it is distinct from service quality, which is a property of the offering rather than of the match between offering and person.</w:t>
      </w:r>
    </w:p>
    <w:p>
      <w:r>
        <w:rPr>
          <w:b w:val="0"/>
          <w:i/>
        </w:rPr>
        <w:t>[Insert Table 1 here: Construct definitions and differentiation]</w:t>
      </w:r>
    </w:p>
    <w:p>
      <w:pPr>
        <w:pStyle w:val="Heading2"/>
      </w:pPr>
      <w:r>
        <w:rPr>
          <w:b w:val="0"/>
          <w:i w:val="0"/>
          <w:color w:val="1A1A1A"/>
        </w:rPr>
        <w:t>4. Framework overview</w:t>
      </w:r>
    </w:p>
    <w:p>
      <w:r>
        <w:rPr>
          <w:b w:val="0"/>
          <w:i w:val="0"/>
        </w:rPr>
        <w:t>Figure 1 presents the framework across three levels.</w:t>
      </w:r>
    </w:p>
    <w:p>
      <w:r>
        <w:rPr>
          <w:b/>
          <w:i w:val="0"/>
        </w:rPr>
        <w:t>Level 1: trigger and transfer.</w:t>
      </w:r>
      <w:r>
        <w:rPr>
          <w:b w:val="0"/>
          <w:i w:val="0"/>
        </w:rPr>
        <w:t xml:space="preserve"> Gradual capacity decline produces discrete, publicly legible capacity signals. These signals — not the underlying decline — occasion reallocations of decision authority, moving the dyad along a trajectory from </w:t>
      </w:r>
      <w:r>
        <w:rPr>
          <w:b w:val="0"/>
          <w:i/>
        </w:rPr>
        <w:t>advisory</w:t>
      </w:r>
      <w:r>
        <w:rPr>
          <w:b w:val="0"/>
          <w:i w:val="0"/>
        </w:rPr>
        <w:t xml:space="preserve"> (principal decides, proxy informs), through </w:t>
      </w:r>
      <w:r>
        <w:rPr>
          <w:b w:val="0"/>
          <w:i/>
        </w:rPr>
        <w:t>scaffolded</w:t>
      </w:r>
      <w:r>
        <w:rPr>
          <w:b w:val="0"/>
          <w:i w:val="0"/>
        </w:rPr>
        <w:t xml:space="preserve"> (joint decision) and </w:t>
      </w:r>
      <w:r>
        <w:rPr>
          <w:b w:val="0"/>
          <w:i/>
        </w:rPr>
        <w:t>substitutive</w:t>
      </w:r>
      <w:r>
        <w:rPr>
          <w:b w:val="0"/>
          <w:i w:val="0"/>
        </w:rPr>
        <w:t xml:space="preserve"> (proxy decides, principal present), to </w:t>
      </w:r>
      <w:r>
        <w:rPr>
          <w:b w:val="0"/>
          <w:i/>
        </w:rPr>
        <w:t>displacing</w:t>
      </w:r>
      <w:r>
        <w:rPr>
          <w:b w:val="0"/>
          <w:i w:val="0"/>
        </w:rPr>
        <w:t xml:space="preserve"> (proxy decides, principal uninformed) and finally </w:t>
      </w:r>
      <w:r>
        <w:rPr>
          <w:b w:val="0"/>
          <w:i/>
        </w:rPr>
        <w:t>posthumous</w:t>
      </w:r>
      <w:r>
        <w:rPr>
          <w:b w:val="0"/>
          <w:i w:val="0"/>
        </w:rPr>
        <w:t>. Transfer is moderated by sibling structure, legal formalization, co-residence, and filial norms.</w:t>
      </w:r>
    </w:p>
    <w:p>
      <w:r>
        <w:rPr>
          <w:b/>
          <w:i w:val="0"/>
        </w:rPr>
        <w:t>Level 2: distortion.</w:t>
      </w:r>
      <w:r>
        <w:rPr>
          <w:b w:val="0"/>
          <w:i w:val="0"/>
        </w:rPr>
        <w:t xml:space="preserve"> Position on the trajectory activates four parallel mechanisms — accountability asymmetry, legibility demand, construal distance, and proxy interest in its convenience and inheritance forms. These produce compositional distortion in enacted choice, lowering preference fidelity and principal well-being while </w:t>
      </w:r>
      <w:r>
        <w:rPr>
          <w:b w:val="0"/>
          <w:i/>
        </w:rPr>
        <w:t>raising</w:t>
      </w:r>
      <w:r>
        <w:rPr>
          <w:b w:val="0"/>
          <w:i w:val="0"/>
        </w:rPr>
        <w:t xml:space="preserve"> proxy satisfaction.</w:t>
      </w:r>
    </w:p>
    <w:p>
      <w:r>
        <w:rPr>
          <w:b/>
          <w:i w:val="0"/>
        </w:rPr>
        <w:t>Level 3: market response.</w:t>
      </w:r>
      <w:r>
        <w:rPr>
          <w:b w:val="0"/>
          <w:i w:val="0"/>
        </w:rPr>
        <w:t xml:space="preserve"> The proxy transacts, is surveyed, reviews, complains, and churns. Firms therefore learn proxy preferences, and competitive selection shifts offering attributes toward proxy-preferred ones, lowering category-level fidelity.</w:t>
      </w:r>
    </w:p>
    <w:p>
      <w:r>
        <w:rPr>
          <w:b/>
          <w:i w:val="0"/>
        </w:rPr>
        <w:t>The amplification loop.</w:t>
      </w:r>
      <w:r>
        <w:rPr>
          <w:b w:val="0"/>
          <w:i w:val="0"/>
        </w:rPr>
        <w:t xml:space="preserve"> Level 3 feeds back into Levels 1 and 2. Proxy-optimized offerings and account architectures make transfer easier, faster, and harder to reverse. The market is not a neutral setting in which proxy distortion occurs; it is a participant that benefits from it and deepens it. This loop, drawn bold in Figure 1, is the framework's central claim.</w:t>
      </w:r>
    </w:p>
    <w:p>
      <w:r>
        <w:rPr>
          <w:b/>
          <w:i w:val="0"/>
        </w:rPr>
        <w:t>Remedy paths.</w:t>
      </w:r>
      <w:r>
        <w:rPr>
          <w:b w:val="0"/>
          <w:i w:val="0"/>
        </w:rPr>
        <w:t xml:space="preserve"> Two dashed paths indicate where intervention is available: principal-sourced measurement entering at Level 3, and graduated, reversible authority architecture entering at Level 1.</w:t>
      </w:r>
    </w:p>
    <w:p>
      <w:r>
        <w:rPr>
          <w:b w:val="0"/>
          <w:i/>
        </w:rPr>
        <w:t>[Insert Figure 1 here]</w:t>
      </w:r>
    </w:p>
    <w:p>
      <w:pPr>
        <w:pStyle w:val="Heading2"/>
      </w:pPr>
      <w:r>
        <w:rPr>
          <w:b w:val="0"/>
          <w:i w:val="0"/>
          <w:color w:val="1A1A1A"/>
        </w:rPr>
        <w:t>5. Block A — How authority moves</w:t>
      </w:r>
    </w:p>
    <w:p>
      <w:pPr>
        <w:pStyle w:val="Heading3"/>
      </w:pPr>
      <w:r>
        <w:rPr>
          <w:b w:val="0"/>
          <w:i w:val="0"/>
          <w:color w:val="1A1A1A"/>
        </w:rPr>
        <w:t>P1: Episodic trigger and overshoot</w:t>
      </w:r>
    </w:p>
    <w:p>
      <w:r>
        <w:rPr>
          <w:b w:val="0"/>
          <w:i w:val="0"/>
        </w:rPr>
        <w:t xml:space="preserve">Capacity declines gradually and mostly invisibly. Authority, by contrast, is reallocated in response to events that render decline </w:t>
      </w:r>
      <w:r>
        <w:rPr>
          <w:b w:val="0"/>
          <w:i/>
        </w:rPr>
        <w:t>publicly legible</w:t>
      </w:r>
      <w:r>
        <w:rPr>
          <w:b w:val="0"/>
          <w:i w:val="0"/>
        </w:rPr>
        <w:t>: a fall, a hospital admission, a missed bill, a wandering episode, the death of a spouse who had been compensating for the principal's deficits. Such events are informative but coarse. They establish that capacity is lower than assumed without establishing how much lower, and they arrive laden with alarm, often during a crisis in which decisions are made quickly and by whoever is present.</w:t>
      </w:r>
    </w:p>
    <w:p>
      <w:r>
        <w:rPr>
          <w:b w:val="0"/>
          <w:i w:val="0"/>
        </w:rPr>
        <w:t xml:space="preserve">Two consequences follow. Transfer is </w:t>
      </w:r>
      <w:r>
        <w:rPr>
          <w:b w:val="0"/>
          <w:i/>
        </w:rPr>
        <w:t>stepwise</w:t>
      </w:r>
      <w:r>
        <w:rPr>
          <w:b w:val="0"/>
          <w:i w:val="0"/>
        </w:rPr>
        <w:t xml:space="preserve"> rather than continuous, tracking the arrival of signals rather than the underlying gradient. And transfer </w:t>
      </w:r>
      <w:r>
        <w:rPr>
          <w:b w:val="0"/>
          <w:i/>
        </w:rPr>
        <w:t>overshoots</w:t>
      </w:r>
      <w:r>
        <w:rPr>
          <w:b w:val="0"/>
          <w:i w:val="0"/>
        </w:rPr>
        <w:t>: because the signal is coarse and the salient risk is under-reaction, the authority ceded at each event exceeds the deficit the event reveals. A single fall commonly results in the loss of authority over driving, housing, finances, and diet simultaneously, though it established impairment in none of these except indirectly.</w:t>
      </w:r>
    </w:p>
    <w:p>
      <w:pPr>
        <w:pStyle w:val="IntenseQuote"/>
      </w:pPr>
      <w:r>
        <w:rPr>
          <w:b/>
          <w:i w:val="0"/>
        </w:rPr>
        <w:t>P1.</w:t>
      </w:r>
      <w:r>
        <w:rPr>
          <w:b w:val="0"/>
          <w:i w:val="0"/>
        </w:rPr>
        <w:t xml:space="preserve"> Agency transfer is triggered by discrete, publicly legible capacity signals rather than by the gradient of capacity decline. Consequently, the authority transferred at each event exceeds the capacity deficit the event reveals, and transfer is stepwise rather than continuous.</w:t>
      </w:r>
    </w:p>
    <w:p>
      <w:pPr>
        <w:pStyle w:val="Heading3"/>
      </w:pPr>
      <w:r>
        <w:rPr>
          <w:b w:val="0"/>
          <w:i w:val="0"/>
          <w:color w:val="1A1A1A"/>
        </w:rPr>
        <w:t>P2: The ratchet</w:t>
      </w:r>
    </w:p>
    <w:p>
      <w:r>
        <w:rPr>
          <w:b w:val="0"/>
          <w:i w:val="0"/>
        </w:rPr>
        <w:t>If transfer tracked capacity, it would reverse when capacity recovered. Recovery is common — after hospitalization, after adjustment to bereavement, after medication correction — yet reversion is rare. We argue this asymmetry is systematic and has three sources.</w:t>
      </w:r>
    </w:p>
    <w:p>
      <w:r>
        <w:rPr>
          <w:b w:val="0"/>
          <w:i w:val="0"/>
        </w:rPr>
        <w:t>The first is the accountability asymmetry we develop in Block B, applied to the transfer decision itself. Returning authority exposes the proxy to blame for any subsequent harm while offering them no credit for the principal's restored autonomy. The risk-reward structure of reversion is therefore unfavourable to the proxy regardless of the principal's actual capacity.</w:t>
      </w:r>
    </w:p>
    <w:p>
      <w:r>
        <w:rPr>
          <w:b w:val="0"/>
          <w:i w:val="0"/>
        </w:rPr>
        <w:t>The second is identity recoding. Barnhart and Peñaloza (2013) show that consumption activities are the medium through which a person comes to be designated old, and that caregivers treat elderly consumers as old when they can no longer perform consumption activities independently, irrespective of chronological age. Once the principal has been recoded as someone who does not manage their own affairs, both parties' expectations adjust, and the principal's own claim to authority weakens.</w:t>
      </w:r>
    </w:p>
    <w:p>
      <w:r>
        <w:rPr>
          <w:b w:val="0"/>
          <w:i w:val="0"/>
        </w:rPr>
        <w:t>The third is infrastructural, and we develop it as a separate proposition because it is the mechanism over which firms have direct control.</w:t>
      </w:r>
    </w:p>
    <w:p>
      <w:pPr>
        <w:pStyle w:val="IntenseQuote"/>
      </w:pPr>
      <w:r>
        <w:rPr>
          <w:b/>
          <w:i w:val="0"/>
        </w:rPr>
        <w:t>P2.</w:t>
      </w:r>
      <w:r>
        <w:rPr>
          <w:b w:val="0"/>
          <w:i w:val="0"/>
        </w:rPr>
        <w:t xml:space="preserve"> Transferred decision authority does not revert following capacity recovery or stabilization. The probability of reversion declines monotonically with time elapsed in proxy control, controlling for the principal's measured capacity.</w:t>
      </w:r>
    </w:p>
    <w:p>
      <w:pPr>
        <w:pStyle w:val="Heading3"/>
      </w:pPr>
      <w:r>
        <w:rPr>
          <w:b w:val="0"/>
          <w:i w:val="0"/>
          <w:color w:val="1A1A1A"/>
        </w:rPr>
        <w:t>P3: Infrastructural agency capture</w:t>
      </w:r>
    </w:p>
    <w:p>
      <w:r>
        <w:rPr>
          <w:b w:val="0"/>
          <w:i w:val="0"/>
        </w:rPr>
        <w:t>Decision authority in contemporary markets is not merely a social relation. It is materially instantiated in accounts. To decide is to hold the login, the payment instrument, the delivery address, the loyalty identity, the authority to speak to the service representative. When authority transfers, these migrate: the daughter becomes the account holder, the registered contact, the payer of record, the recipient of communications, the person the firm's systems recognize as the customer.</w:t>
      </w:r>
    </w:p>
    <w:p>
      <w:r>
        <w:rPr>
          <w:b w:val="0"/>
          <w:i w:val="0"/>
        </w:rPr>
        <w:t xml:space="preserve">This migration is administratively easy in one direction and difficult in the other. Firms build onboarding for a new account holder; almost none build for returning authority to a previous one. Identity verification, payment re-registration, and communication preference restoration must each be undone individually, often through channels that require exactly the confident sustained interaction the principal has been assumed to lack. The result is that market infrastructure does not merely record the transfer of agency; it </w:t>
      </w:r>
      <w:r>
        <w:rPr>
          <w:b w:val="0"/>
          <w:i/>
        </w:rPr>
        <w:t>holds</w:t>
      </w:r>
      <w:r>
        <w:rPr>
          <w:b w:val="0"/>
          <w:i w:val="0"/>
        </w:rPr>
        <w:t xml:space="preserve"> it.</w:t>
      </w:r>
    </w:p>
    <w:p>
      <w:r>
        <w:rPr>
          <w:b w:val="0"/>
          <w:i w:val="0"/>
        </w:rPr>
        <w:t>The theoretical significance is that a firm's account architecture partly determines whether a consumer's loss of decision authority is reversible. Firms are thus participants in the constitution of consumer agency, not observers of it — and at present they occupy this role inadvertently, having designed account systems for a single persistent individual.</w:t>
      </w:r>
    </w:p>
    <w:p>
      <w:pPr>
        <w:pStyle w:val="IntenseQuote"/>
      </w:pPr>
      <w:r>
        <w:rPr>
          <w:b/>
          <w:i w:val="0"/>
        </w:rPr>
        <w:t>P3.</w:t>
      </w:r>
      <w:r>
        <w:rPr>
          <w:b w:val="0"/>
          <w:i w:val="0"/>
        </w:rPr>
        <w:t xml:space="preserve"> The ratchet in P2 is partly constituted by market infrastructure: reversion probability declines with the number of market accounts, credentials, payment instruments, and delivery defaults transferred to the proxy, controlling for the principal's capacity and time elapsed.</w:t>
      </w:r>
    </w:p>
    <w:p>
      <w:pPr>
        <w:pStyle w:val="Heading2"/>
      </w:pPr>
      <w:r>
        <w:rPr>
          <w:b w:val="0"/>
          <w:i w:val="0"/>
          <w:color w:val="1A1A1A"/>
        </w:rPr>
        <w:t>6. Block B — How proxies distort</w:t>
      </w:r>
    </w:p>
    <w:p>
      <w:pPr>
        <w:pStyle w:val="Heading3"/>
      </w:pPr>
      <w:r>
        <w:rPr>
          <w:b w:val="0"/>
          <w:i w:val="0"/>
          <w:color w:val="1A1A1A"/>
        </w:rPr>
        <w:t>P4: Accountability asymmetry and defensive choice</w:t>
      </w:r>
    </w:p>
    <w:p>
      <w:r>
        <w:rPr>
          <w:b w:val="0"/>
          <w:i w:val="0"/>
        </w:rPr>
        <w:t xml:space="preserve">Proxies are observed. Siblings ask what has been arranged, clinicians ask whether risks have been managed, and the proxy anticipates a retrospective accounting in which some outcomes will require explanation and others will not. That accounting is asymmetric in a specific way: </w:t>
      </w:r>
      <w:r>
        <w:rPr>
          <w:b/>
          <w:i w:val="0"/>
        </w:rPr>
        <w:t>harms are attributable and forgone benefits are not.</w:t>
      </w:r>
      <w:r>
        <w:rPr>
          <w:b w:val="0"/>
          <w:i w:val="0"/>
        </w:rPr>
        <w:t xml:space="preserve"> If the principal falls, the proxy will be asked why the bathroom had no rail. If the principal spends three years bored, unstimulated, and dressed in clothes chosen for ease of laundering, no one will ask anything, because there is no event, no record, and no counterfactual anyone can name.</w:t>
      </w:r>
    </w:p>
    <w:p>
      <w:r>
        <w:rPr>
          <w:b w:val="0"/>
          <w:i w:val="0"/>
        </w:rPr>
        <w:t xml:space="preserve">Rational proxies respond to the accountability structure they face. They over-weight attributes whose absence would be blameable — safety, hygiene, reliability, clinical legitimacy, documented compliance — and under-weight attributes whose presence would merely be enjoyed: comfort, taste, beauty, spontaneity, autonomy, the expression of a self the principal has spent eighty years constructing. We term the resulting pattern </w:t>
      </w:r>
      <w:r>
        <w:rPr>
          <w:b/>
          <w:i w:val="0"/>
        </w:rPr>
        <w:t>defensive choice</w:t>
      </w:r>
      <w:r>
        <w:rPr>
          <w:b w:val="0"/>
          <w:i w:val="0"/>
        </w:rPr>
        <w:t>.</w:t>
      </w:r>
    </w:p>
    <w:p>
      <w:r>
        <w:rPr>
          <w:b w:val="0"/>
          <w:i w:val="0"/>
        </w:rPr>
        <w:t>Construal distance reinforces the same direction. The proxy represents the decision abstractly, in terms of goals ("keeping Mum safe"), while the principal experiences it concretely, in terms of texture, flavour, noise, and appearance. Psychological distance therefore privileges exactly the high-level, defensible attributes that accountability already favours.</w:t>
      </w:r>
    </w:p>
    <w:p>
      <w:r>
        <w:rPr>
          <w:b w:val="0"/>
          <w:i w:val="0"/>
        </w:rPr>
        <w:t xml:space="preserve">Two features of this proposition matter for testing. First, the prediction concerns </w:t>
      </w:r>
      <w:r>
        <w:rPr>
          <w:b/>
          <w:i w:val="0"/>
        </w:rPr>
        <w:t>composition, not level</w:t>
      </w:r>
      <w:r>
        <w:rPr>
          <w:b w:val="0"/>
          <w:i w:val="0"/>
        </w:rPr>
        <w:t xml:space="preserve">: a defensive proxy may spend a great deal, and expenditure data will show nothing. Second, the prediction is </w:t>
      </w:r>
      <w:r>
        <w:rPr>
          <w:b w:val="0"/>
          <w:i/>
        </w:rPr>
        <w:t>directional and pre-specifiable</w:t>
      </w:r>
      <w:r>
        <w:rPr>
          <w:b w:val="0"/>
          <w:i w:val="0"/>
        </w:rPr>
        <w:t xml:space="preserve"> — we can name in advance which attribute classes are inflated and which are sacrificed, which is what makes the claim falsifiable rather than post hoc.</w:t>
      </w:r>
    </w:p>
    <w:p>
      <w:pPr>
        <w:pStyle w:val="IntenseQuote"/>
      </w:pPr>
      <w:r>
        <w:rPr>
          <w:b/>
          <w:i w:val="0"/>
        </w:rPr>
        <w:t>P4.</w:t>
      </w:r>
      <w:r>
        <w:rPr>
          <w:b w:val="0"/>
          <w:i w:val="0"/>
        </w:rPr>
        <w:t xml:space="preserve"> Because proxies are held accountable for verifiable harms but not for forgone benefits, proxies over-weight harm-avoidance attributes and under-weight hedonic, aesthetic, autonomy-supporting, and identity-expressive attributes relative to the principal's elicited preferences. Distortion appears in attribute composition and need not appear in expenditure level.</w:t>
      </w:r>
    </w:p>
    <w:p>
      <w:pPr>
        <w:pStyle w:val="Heading3"/>
      </w:pPr>
      <w:r>
        <w:rPr>
          <w:b w:val="0"/>
          <w:i w:val="0"/>
          <w:color w:val="1A1A1A"/>
        </w:rPr>
        <w:t>P5: Legibility, and the formalization reversal</w:t>
      </w:r>
    </w:p>
    <w:p>
      <w:r>
        <w:rPr>
          <w:b w:val="0"/>
          <w:i w:val="0"/>
        </w:rPr>
        <w:t xml:space="preserve">If distortion is driven by anticipated accounting, it should scale with the demand to account. Proxies who expect to justify choices — to more siblings, to dispersed siblings who did not witness the decision, to professionals, to courts — will weight attributes by their </w:t>
      </w:r>
      <w:r>
        <w:rPr>
          <w:b w:val="0"/>
          <w:i/>
        </w:rPr>
        <w:t>communicability</w:t>
      </w:r>
      <w:r>
        <w:rPr>
          <w:b w:val="0"/>
          <w:i w:val="0"/>
        </w:rPr>
        <w:t>. "I arranged a medical alert pendant" is legible care. "I bought her the expensive perfume she has worn since 1974" is, in the register of family accounting, extravagance.</w:t>
      </w:r>
    </w:p>
    <w:p>
      <w:r>
        <w:rPr>
          <w:b w:val="0"/>
          <w:i w:val="0"/>
        </w:rPr>
        <w:t xml:space="preserve">This generates a prediction we regard as the framework's most consequential, and which runs directly against policy intuition. Instruments designed to protect vulnerable consumers by formalizing proxy authority — power of attorney and its equivalents — raise the demand for justification without aligning the proxy's interests with the principal's preferences. Formalization creates a record, a legal standard framed around the avoidance of loss, and an audience. It should therefore </w:t>
      </w:r>
      <w:r>
        <w:rPr>
          <w:b w:val="0"/>
          <w:i/>
        </w:rPr>
        <w:t>increase</w:t>
      </w:r>
      <w:r>
        <w:rPr>
          <w:b w:val="0"/>
          <w:i w:val="0"/>
        </w:rPr>
        <w:t xml:space="preserve"> defensive choice and </w:t>
      </w:r>
      <w:r>
        <w:rPr>
          <w:b w:val="0"/>
          <w:i/>
        </w:rPr>
        <w:t>reduce</w:t>
      </w:r>
      <w:r>
        <w:rPr>
          <w:b w:val="0"/>
          <w:i w:val="0"/>
        </w:rPr>
        <w:t xml:space="preserve"> preference fidelity.</w:t>
      </w:r>
    </w:p>
    <w:p>
      <w:r>
        <w:rPr>
          <w:b w:val="0"/>
          <w:i w:val="0"/>
        </w:rPr>
        <w:t>We do not claim these instruments are harmful on balance; they plainly deter expropriation. We claim that their effect on fidelity is opposite in sign to their effect on protection, and that the two have been conflated because fidelity has never been measured.</w:t>
      </w:r>
    </w:p>
    <w:p>
      <w:pPr>
        <w:pStyle w:val="IntenseQuote"/>
      </w:pPr>
      <w:r>
        <w:rPr>
          <w:b/>
          <w:i w:val="0"/>
        </w:rPr>
        <w:t>P5.</w:t>
      </w:r>
      <w:r>
        <w:rPr>
          <w:b w:val="0"/>
          <w:i w:val="0"/>
        </w:rPr>
        <w:t xml:space="preserve"> Distortion increases with the anticipated demand to justify decisions to third parties, and therefore increases with sibling count, with geographic dispersion of siblings, and — counterintuitively — with formal legal authority such as power of attorney.</w:t>
      </w:r>
    </w:p>
    <w:p>
      <w:pPr>
        <w:pStyle w:val="Heading3"/>
      </w:pPr>
      <w:r>
        <w:rPr>
          <w:b w:val="0"/>
          <w:i w:val="0"/>
          <w:color w:val="1A1A1A"/>
        </w:rPr>
        <w:t>P6: Guilt and material substitution</w:t>
      </w:r>
    </w:p>
    <w:p>
      <w:r>
        <w:rPr>
          <w:b w:val="0"/>
          <w:i w:val="0"/>
        </w:rPr>
        <w:t>Proxies are frequently guilty, and their guilt concerns absence: visits not made, calls not returned, a parent's decline witnessed intermittently. Guilt of this kind motivates reparation, and the market offers reparation in purchasable form.</w:t>
      </w:r>
    </w:p>
    <w:p>
      <w:r>
        <w:rPr>
          <w:b w:val="0"/>
          <w:i w:val="0"/>
        </w:rPr>
        <w:t xml:space="preserve">We predict that guilt raises expenditure while shifting its composition toward </w:t>
      </w:r>
      <w:r>
        <w:rPr>
          <w:b w:val="0"/>
          <w:i/>
        </w:rPr>
        <w:t>legible, transferable</w:t>
      </w:r>
      <w:r>
        <w:rPr>
          <w:b w:val="0"/>
          <w:i w:val="0"/>
        </w:rPr>
        <w:t xml:space="preserve"> goods and away from </w:t>
      </w:r>
      <w:r>
        <w:rPr>
          <w:b w:val="0"/>
          <w:i/>
        </w:rPr>
        <w:t>co-experienced</w:t>
      </w:r>
      <w:r>
        <w:rPr>
          <w:b w:val="0"/>
          <w:i w:val="0"/>
        </w:rPr>
        <w:t xml:space="preserve"> consumption. The mechanism is that co-experienced consumption — an outing, a shared meal, a visit — requires the very resource whose absence produced the guilt, whereas a delivered object discharges the feeling without it. Guilt therefore converts a relational deficit into a material transaction.</w:t>
      </w:r>
    </w:p>
    <w:p>
      <w:r>
        <w:rPr>
          <w:b w:val="0"/>
          <w:i w:val="0"/>
        </w:rPr>
        <w:t xml:space="preserve">The implication is uncomfortable and worth stating plainly: </w:t>
      </w:r>
      <w:r>
        <w:rPr>
          <w:b/>
          <w:i w:val="0"/>
        </w:rPr>
        <w:t>spending is not care, and firms that market to proxy guilt sell more while serving the consumer less well.</w:t>
      </w:r>
      <w:r>
        <w:rPr>
          <w:b w:val="0"/>
          <w:i w:val="0"/>
        </w:rPr>
        <w:t xml:space="preserve"> Guilt appeals are commercially effective and fidelity-destroying at the same time, and the two facts have the same cause.</w:t>
      </w:r>
    </w:p>
    <w:p>
      <w:pPr>
        <w:pStyle w:val="IntenseQuote"/>
      </w:pPr>
      <w:r>
        <w:rPr>
          <w:b/>
          <w:i w:val="0"/>
        </w:rPr>
        <w:t>P6.</w:t>
      </w:r>
      <w:r>
        <w:rPr>
          <w:b w:val="0"/>
          <w:i w:val="0"/>
        </w:rPr>
        <w:t xml:space="preserve"> Proxy guilt increases total expenditure on the principal while shifting composition toward legible, transferable goods and away from co-experienced consumption. Guilt therefore raises spending and lowers preference fidelity.</w:t>
      </w:r>
    </w:p>
    <w:p>
      <w:pPr>
        <w:pStyle w:val="Heading3"/>
      </w:pPr>
      <w:r>
        <w:rPr>
          <w:b w:val="0"/>
          <w:i w:val="0"/>
          <w:color w:val="1A1A1A"/>
        </w:rPr>
        <w:t>P7: Anticipatory ownership</w:t>
      </w:r>
    </w:p>
    <w:p>
      <w:r>
        <w:rPr>
          <w:b w:val="0"/>
          <w:i w:val="0"/>
        </w:rPr>
        <w:t xml:space="preserve">The proxy is often an heir. While spending the principal's assets, they are spending assets in which they hold a prospective claim — a claim that psychological ownership theory would expect to be felt well before it is legally realized. We term this </w:t>
      </w:r>
      <w:r>
        <w:rPr>
          <w:b/>
          <w:i w:val="0"/>
        </w:rPr>
        <w:t>anticipatory ownership</w:t>
      </w:r>
      <w:r>
        <w:rPr>
          <w:b w:val="0"/>
          <w:i w:val="0"/>
        </w:rPr>
        <w:t>.</w:t>
      </w:r>
    </w:p>
    <w:p>
      <w:r>
        <w:rPr>
          <w:b w:val="0"/>
          <w:i w:val="0"/>
        </w:rPr>
        <w:t xml:space="preserve">The prediction requires care, because a general reduction in expenditure would be indistinguishable from a budget constraint. We predict something more specific: anticipatory ownership suppresses expenditure </w:t>
      </w:r>
      <w:r>
        <w:rPr>
          <w:b/>
          <w:i w:val="0"/>
        </w:rPr>
        <w:t>selectively</w:t>
      </w:r>
      <w:r>
        <w:rPr>
          <w:b w:val="0"/>
          <w:i w:val="0"/>
        </w:rPr>
        <w:t>, in categories that are not defensible, while leaving harm-avoidance expenditure unaffected. Safety spending is protected because accountability protects it; pleasure spending is not. Inheritance conflict does not make proxies uniformly frugal. It makes them frugal about pleasure.</w:t>
      </w:r>
    </w:p>
    <w:p>
      <w:r>
        <w:rPr>
          <w:b w:val="0"/>
          <w:i w:val="0"/>
        </w:rPr>
        <w:t>This selectivity is the construct's discriminant validity test, and it must be designed for rather than argued.</w:t>
      </w:r>
    </w:p>
    <w:p>
      <w:pPr>
        <w:pStyle w:val="IntenseQuote"/>
      </w:pPr>
      <w:r>
        <w:rPr>
          <w:b/>
          <w:i w:val="0"/>
        </w:rPr>
        <w:t>P7.</w:t>
      </w:r>
      <w:r>
        <w:rPr>
          <w:b w:val="0"/>
          <w:i w:val="0"/>
        </w:rPr>
        <w:t xml:space="preserve"> Salience of the proxy's residual claim on the principal's estate suppresses expenditure of the principal's assets specifically in non-defensible categories, leaving harm-avoidance expenditure unaffected.</w:t>
      </w:r>
    </w:p>
    <w:p>
      <w:pPr>
        <w:pStyle w:val="Heading2"/>
      </w:pPr>
      <w:r>
        <w:rPr>
          <w:b w:val="0"/>
          <w:i w:val="0"/>
          <w:color w:val="1A1A1A"/>
        </w:rPr>
        <w:t>7. Block C — Why this is not an information problem</w:t>
      </w:r>
    </w:p>
    <w:p>
      <w:r>
        <w:rPr>
          <w:b w:val="0"/>
          <w:i w:val="0"/>
        </w:rPr>
        <w:t>The propositions above attribute distortion to accountability, legibility, guilt, and interest. An obvious alternative attributes it to information: proxies choose badly because they do not know their principals' preferences, in which case the remedy is straightforward and the theory is thin.</w:t>
      </w:r>
    </w:p>
    <w:p>
      <w:r>
        <w:rPr>
          <w:b w:val="0"/>
          <w:i w:val="0"/>
        </w:rPr>
        <w:t>Evidence from outside marketing weighs against the informational account, and it does so from two directions. Tunney and Ziegler (2015) demonstrate experimentally that people estimate others' utilities accurately, and that they do so via perspective-taking rather than by anchoring on their own preferences; they conclude explicitly that utility estimation is not the source of inaccuracy in surrogate decision-making. Shalowitz, Garrett-Mayer, and Wendler (2006) find that surrogate accuracy is unimproved either by the patient having designated the surrogate or by prior discussion of preferences — that is, by exactly the interventions an informational account recommends.</w:t>
      </w:r>
    </w:p>
    <w:p>
      <w:r>
        <w:rPr>
          <w:b w:val="0"/>
          <w:i w:val="0"/>
        </w:rPr>
        <w:t xml:space="preserve">We therefore propose that the diagnostic quantity is not accuracy but the </w:t>
      </w:r>
      <w:r>
        <w:rPr>
          <w:b w:val="0"/>
          <w:i/>
        </w:rPr>
        <w:t>gap between accuracy and enactment</w:t>
      </w:r>
      <w:r>
        <w:rPr>
          <w:b w:val="0"/>
          <w:i w:val="0"/>
        </w:rPr>
        <w:t>. A proxy who can state their mother's preference correctly and then choose against it is not misinformed. The gap is the footprint of the mechanisms in Block B.</w:t>
      </w:r>
    </w:p>
    <w:p>
      <w:pPr>
        <w:pStyle w:val="IntenseQuote"/>
      </w:pPr>
      <w:r>
        <w:rPr>
          <w:b/>
          <w:i w:val="0"/>
        </w:rPr>
        <w:t>P8.</w:t>
      </w:r>
      <w:r>
        <w:rPr>
          <w:b w:val="0"/>
          <w:i w:val="0"/>
        </w:rPr>
        <w:t xml:space="preserve"> Proxies' elicited estimates of the principal's preferences are substantially more accurate than the choices they enact on the principal's behalf. The magnitude of this estimation–enactment gap is the signature of motivated rather than informational distortion.</w:t>
      </w:r>
    </w:p>
    <w:p>
      <w:r>
        <w:rPr>
          <w:b w:val="0"/>
          <w:i w:val="0"/>
        </w:rPr>
        <w:t>P8 also determines which interventions can work. If information is not the binding constraint, supplying it will not help, and the effective lever must operate on the accountability asymmetry itself — by making forgone benefits visible, recorded, and answerable, so that the absence of enjoyment becomes an outcome the proxy must account for rather than a non-event.</w:t>
      </w:r>
    </w:p>
    <w:p>
      <w:pPr>
        <w:pStyle w:val="IntenseQuote"/>
      </w:pPr>
      <w:r>
        <w:rPr>
          <w:b/>
          <w:i w:val="0"/>
        </w:rPr>
        <w:t>P9.</w:t>
      </w:r>
      <w:r>
        <w:rPr>
          <w:b w:val="0"/>
          <w:i w:val="0"/>
        </w:rPr>
        <w:t xml:space="preserve"> Interventions that supply or rehearse preference information do not improve preference fidelity. Interventions that render forgone benefits accountable — for example, requiring proxies to report the principal's experienced enjoyment alongside safety outcomes — do improve it.</w:t>
      </w:r>
    </w:p>
    <w:p>
      <w:pPr>
        <w:pStyle w:val="Heading2"/>
      </w:pPr>
      <w:r>
        <w:rPr>
          <w:b w:val="0"/>
          <w:i w:val="0"/>
          <w:color w:val="1A1A1A"/>
        </w:rPr>
        <w:t>8. Block D — Why markets amplify rather than correct</w:t>
      </w:r>
    </w:p>
    <w:p>
      <w:r>
        <w:rPr>
          <w:b w:val="0"/>
          <w:i w:val="0"/>
        </w:rPr>
        <w:t>Markets are ordinarily self-correcting with respect to consumer preferences. A firm that misjudges what buyers want loses them to a firm that judges better, and the mechanism of correction is feedback: purchases, satisfaction, complaints, reviews, retention. This mechanism has a precondition that proxy consumption violates. It requires that the entity supplying feedback be the entity experiencing the offering.</w:t>
      </w:r>
    </w:p>
    <w:p>
      <w:pPr>
        <w:pStyle w:val="Heading3"/>
      </w:pPr>
      <w:r>
        <w:rPr>
          <w:b w:val="0"/>
          <w:i w:val="0"/>
          <w:color w:val="1A1A1A"/>
        </w:rPr>
        <w:t>P10: Feedback misdirection</w:t>
      </w:r>
    </w:p>
    <w:p>
      <w:r>
        <w:rPr>
          <w:b w:val="0"/>
          <w:i w:val="0"/>
        </w:rPr>
        <w:t>In proxy-mediated categories the transacting party is the proxy, and every feedback channel is addressed to them. The proxy holds the account and so receives the survey. The proxy pays and so appears in the CRM record. The proxy has the standing and articulacy to complain, and the authority to churn. The proxy writes the review. The principal, who may be cognitively impaired, socially isolated, digitally unequipped, and dependent on the proxy's goodwill, appears in none of these channels — and where a firm does solicit their view, it commonly does so through the proxy.</w:t>
      </w:r>
    </w:p>
    <w:p>
      <w:r>
        <w:rPr>
          <w:b w:val="0"/>
          <w:i w:val="0"/>
        </w:rPr>
        <w:t>What a firm therefore observes is proxy utility. Because Block B establishes that proxy utility and principal preference diverge systematically and directionally, firm-observed feedback is not a noisy measure of principal well-being. It is a measure of something else.</w:t>
      </w:r>
    </w:p>
    <w:p>
      <w:pPr>
        <w:pStyle w:val="IntenseQuote"/>
      </w:pPr>
      <w:r>
        <w:rPr>
          <w:b/>
          <w:i w:val="0"/>
        </w:rPr>
        <w:t>P10.</w:t>
      </w:r>
      <w:r>
        <w:rPr>
          <w:b w:val="0"/>
          <w:i w:val="0"/>
        </w:rPr>
        <w:t xml:space="preserve"> Because satisfaction, complaint, review, and churn signals are collected predominantly from the transacting proxy, firm-observed customer feedback registers proxy utility and is uncorrelated or negatively correlated with principal well-being.</w:t>
      </w:r>
    </w:p>
    <w:p>
      <w:pPr>
        <w:pStyle w:val="Heading3"/>
      </w:pPr>
      <w:r>
        <w:rPr>
          <w:b w:val="0"/>
          <w:i w:val="0"/>
          <w:color w:val="1A1A1A"/>
        </w:rPr>
        <w:t>P11: Proxy capture</w:t>
      </w:r>
    </w:p>
    <w:p>
      <w:r>
        <w:rPr>
          <w:b w:val="0"/>
          <w:i w:val="0"/>
        </w:rPr>
        <w:t>Firms act on the feedback they receive. Offerings are refined, attributes emphasized, resources reallocated toward what measured customers reward. Over successive cycles, competitive selection operates on proxy-sourced signals, and category offerings drift toward proxy-preferred attributes — safer, more legible, easier to administer, more defensible, and progressively less aligned with what the consuming population would choose.</w:t>
      </w:r>
    </w:p>
    <w:p>
      <w:r>
        <w:rPr>
          <w:b w:val="0"/>
          <w:i w:val="0"/>
        </w:rPr>
        <w:t xml:space="preserve">This yields a market-level prediction that is testable with category-level data and that we regard as the framework's principal empirical claim: </w:t>
      </w:r>
      <w:r>
        <w:rPr>
          <w:b/>
          <w:i w:val="0"/>
        </w:rPr>
        <w:t>within a category, aggregate preference fidelity declines as the share of proxy-mediated transactions rises.</w:t>
      </w:r>
      <w:r>
        <w:rPr>
          <w:b w:val="0"/>
          <w:i w:val="0"/>
        </w:rPr>
        <w:t xml:space="preserve"> No individual firm behaves badly. Each responds appropriately to its measured customers. The aggregate outcome is a category optimized for people who do not consume it.</w:t>
      </w:r>
    </w:p>
    <w:p>
      <w:pPr>
        <w:pStyle w:val="IntenseQuote"/>
      </w:pPr>
      <w:r>
        <w:rPr>
          <w:b/>
          <w:i w:val="0"/>
        </w:rPr>
        <w:t>P11.</w:t>
      </w:r>
      <w:r>
        <w:rPr>
          <w:b w:val="0"/>
          <w:i w:val="0"/>
        </w:rPr>
        <w:t xml:space="preserve"> Competitive selection on proxy-sourced feedback shifts category offering attributes toward proxy-preferred attributes. Within a category, aggregate preference fidelity therefore declines as the proportion of proxy-mediated transactions rises.</w:t>
      </w:r>
    </w:p>
    <w:p>
      <w:pPr>
        <w:pStyle w:val="Heading3"/>
      </w:pPr>
      <w:r>
        <w:rPr>
          <w:b w:val="0"/>
          <w:i w:val="0"/>
          <w:color w:val="1A1A1A"/>
        </w:rPr>
        <w:t>P12: Remedy and boundary</w:t>
      </w:r>
    </w:p>
    <w:p>
      <w:r>
        <w:rPr>
          <w:b w:val="0"/>
          <w:i w:val="0"/>
        </w:rPr>
        <w:t xml:space="preserve">If the divergence originates in </w:t>
      </w:r>
      <w:r>
        <w:rPr>
          <w:b w:val="0"/>
          <w:i/>
        </w:rPr>
        <w:t>who is measured</w:t>
      </w:r>
      <w:r>
        <w:rPr>
          <w:b w:val="0"/>
          <w:i w:val="0"/>
        </w:rPr>
        <w:t xml:space="preserve"> and </w:t>
      </w:r>
      <w:r>
        <w:rPr>
          <w:b w:val="0"/>
          <w:i/>
        </w:rPr>
        <w:t>how authority is held</w:t>
      </w:r>
      <w:r>
        <w:rPr>
          <w:b w:val="0"/>
          <w:i w:val="0"/>
        </w:rPr>
        <w:t xml:space="preserve">, it is not an inherent trade-off between commercial and consumer interest. It is an artefact of design, and design can be changed. Two levers follow directly from the framework. Firms can institute </w:t>
      </w:r>
      <w:r>
        <w:rPr>
          <w:b/>
          <w:i w:val="0"/>
        </w:rPr>
        <w:t>principal-sourced measurement</w:t>
      </w:r>
      <w:r>
        <w:rPr>
          <w:b w:val="0"/>
          <w:i w:val="0"/>
        </w:rPr>
        <w:t xml:space="preserve">, collecting experience data from the consuming party through channels that do not route through the proxy. And firms can build </w:t>
      </w:r>
      <w:r>
        <w:rPr>
          <w:b/>
          <w:i w:val="0"/>
        </w:rPr>
        <w:t>graduated, reversible authority architecture</w:t>
      </w:r>
      <w:r>
        <w:rPr>
          <w:b w:val="0"/>
          <w:i w:val="0"/>
        </w:rPr>
        <w:t>, permitting authority over an account to be partial, domain-specific, and returnable rather than binary and effectively permanent.</w:t>
      </w:r>
    </w:p>
    <w:p>
      <w:r>
        <w:rPr>
          <w:b w:val="0"/>
          <w:i w:val="0"/>
        </w:rPr>
        <w:t xml:space="preserve">We predict these remedies improve fidelity and principal well-being </w:t>
      </w:r>
      <w:r>
        <w:rPr>
          <w:b w:val="0"/>
          <w:i/>
        </w:rPr>
        <w:t>without</w:t>
      </w:r>
      <w:r>
        <w:rPr>
          <w:b w:val="0"/>
          <w:i w:val="0"/>
        </w:rPr>
        <w:t xml:space="preserve"> reducing proxy satisfaction, because the proxy's underlying goal is generally the principal's welfare; what the current design withholds from them is not motivation but information about, and accountability for, the principal's experience.</w:t>
      </w:r>
    </w:p>
    <w:p>
      <w:pPr>
        <w:pStyle w:val="IntenseQuote"/>
      </w:pPr>
      <w:r>
        <w:rPr>
          <w:b/>
          <w:i w:val="0"/>
        </w:rPr>
        <w:t>P12.</w:t>
      </w:r>
      <w:r>
        <w:rPr>
          <w:b w:val="0"/>
          <w:i w:val="0"/>
        </w:rPr>
        <w:t xml:space="preserve"> Where firms institute principal-sourced measurement or graduated, reversible authority architecture, the satisfaction–fidelity divergence narrows and principal well-being rises without reducing proxy satisfaction.</w:t>
      </w:r>
    </w:p>
    <w:p>
      <w:r>
        <w:rPr>
          <w:b w:val="0"/>
          <w:i/>
        </w:rPr>
        <w:t>[Insert Table 3 here: Propositions, constructs, and empirical tests]</w:t>
      </w:r>
    </w:p>
    <w:p>
      <w:pPr>
        <w:pStyle w:val="Heading2"/>
      </w:pPr>
      <w:r>
        <w:rPr>
          <w:b w:val="0"/>
          <w:i w:val="0"/>
          <w:color w:val="1A1A1A"/>
        </w:rPr>
        <w:t>9. Empirical program</w:t>
      </w:r>
    </w:p>
    <w:p>
      <w:r>
        <w:rPr>
          <w:b w:val="0"/>
          <w:i w:val="0"/>
        </w:rPr>
        <w:t>The framework is testable, and we specify five studies. We note the sequencing logic explicitly: Study 1 is the most valuable and slowest, and Study 5 the cheapest and fastest, so the program should begin with Study 5 while access for Study 1 is negotiated.</w:t>
      </w:r>
    </w:p>
    <w:p>
      <w:r>
        <w:rPr>
          <w:b/>
          <w:i w:val="0"/>
        </w:rPr>
        <w:t>Study 1 — Dyadic preference-fidelity field study</w:t>
      </w:r>
      <w:r>
        <w:rPr>
          <w:b w:val="0"/>
          <w:i w:val="0"/>
        </w:rPr>
        <w:t xml:space="preserve"> </w:t>
      </w:r>
      <w:r>
        <w:rPr>
          <w:b w:val="0"/>
          <w:i/>
        </w:rPr>
        <w:t>(tests P4, P7, P8)</w:t>
      </w:r>
      <w:r>
        <w:rPr>
          <w:b w:val="0"/>
          <w:i w:val="0"/>
        </w:rPr>
        <w:t xml:space="preserve">. Recruit 150–200 principal–proxy dyads through care providers rather than self-selection. Administer three instruments separately and privately: the principal's own attribute trade-offs over real, category-relevant options, restricted to domains unaffected by cognitive impairment (food flavour, music, clothing, social contact, room aesthetics, daily routine); the proxy's </w:t>
      </w:r>
      <w:r>
        <w:rPr>
          <w:b w:val="0"/>
          <w:i/>
        </w:rPr>
        <w:t>estimate</w:t>
      </w:r>
      <w:r>
        <w:rPr>
          <w:b w:val="0"/>
          <w:i w:val="0"/>
        </w:rPr>
        <w:t xml:space="preserve"> of those preferences using an identical instrument; and the proxy's </w:t>
      </w:r>
      <w:r>
        <w:rPr>
          <w:b w:val="0"/>
          <w:i/>
        </w:rPr>
        <w:t>enacted choice</w:t>
      </w:r>
      <w:r>
        <w:rPr>
          <w:b w:val="0"/>
          <w:i w:val="0"/>
        </w:rPr>
        <w:t xml:space="preserve"> on the principal's behalf, made incentive-compatible by realizing one selection. Estimation accuracy and preference fidelity are then measured on the same items in the same person, and their difference is the estimation–enactment gap of P8. This design is decisive because it separates knowing from choosing within-subject.</w:t>
      </w:r>
    </w:p>
    <w:p>
      <w:r>
        <w:rPr>
          <w:b/>
          <w:i w:val="0"/>
        </w:rPr>
        <w:t>Study 2 — Trajectory panel</w:t>
      </w:r>
      <w:r>
        <w:rPr>
          <w:b w:val="0"/>
          <w:i w:val="0"/>
        </w:rPr>
        <w:t xml:space="preserve"> </w:t>
      </w:r>
      <w:r>
        <w:rPr>
          <w:b w:val="0"/>
          <w:i/>
        </w:rPr>
        <w:t>(tests P1, P2, P3)</w:t>
      </w:r>
      <w:r>
        <w:rPr>
          <w:b w:val="0"/>
          <w:i w:val="0"/>
        </w:rPr>
        <w:t>. A 24-month, three-wave panel of 400 or more dyads recruited across trajectory stages, oversampling those within three months of a capacity event. Measure validated cognitive and functional capacity, domain-by-domain authority allocation, count and type of market accounts transferred, and reversion events. Analyze with discrete-time hazard models for transfer and reversion. The domain-by-domain authority inventory required here constitutes a measurement contribution in its own right. Existing aging panels — HRS, ELSA, SHARE, JSTAR, CHARLS, LASI — carry caregiving and consumption modules and should be used for external validity on transfer timing rather than duplicated.</w:t>
      </w:r>
    </w:p>
    <w:p>
      <w:r>
        <w:rPr>
          <w:b/>
          <w:i w:val="0"/>
        </w:rPr>
        <w:t>Study 3 — Mechanism experiments</w:t>
      </w:r>
      <w:r>
        <w:rPr>
          <w:b w:val="0"/>
          <w:i w:val="0"/>
        </w:rPr>
        <w:t xml:space="preserve"> </w:t>
      </w:r>
      <w:r>
        <w:rPr>
          <w:b w:val="0"/>
          <w:i/>
        </w:rPr>
        <w:t>(tests P5, P6, P7, and the causal direction of P4)</w:t>
      </w:r>
      <w:r>
        <w:rPr>
          <w:b w:val="0"/>
          <w:i w:val="0"/>
        </w:rPr>
        <w:t xml:space="preserve">. Four incentive-compatible experiments with active caregivers, allocating a budget on a principal's behalf with one allocation realized. (a) Manipulate anticipated reporting to siblings or clinicians. (b) Manipulate formal authority (power of attorney held versus informal helper), predicting that formalization increases defensive composition. (c) Manipulate guilt salience, predicting expenditure rises while fidelity falls. (d) Manipulate inheritance salience crossed with fund ownership, predicting selective suppression of hedonic but not safety expenditure only when the principal's assets are spent. Throughout, measure anticipated blame for harm and anticipated blame for forgone enjoyment </w:t>
      </w:r>
      <w:r>
        <w:rPr>
          <w:b w:val="0"/>
          <w:i/>
        </w:rPr>
        <w:t>separately</w:t>
      </w:r>
      <w:r>
        <w:rPr>
          <w:b w:val="0"/>
          <w:i w:val="0"/>
        </w:rPr>
        <w:t>; the asymmetry between them is the mechanism.</w:t>
      </w:r>
    </w:p>
    <w:p>
      <w:r>
        <w:rPr>
          <w:b/>
          <w:i w:val="0"/>
        </w:rPr>
        <w:t>Study 4 — Intervention field experiment</w:t>
      </w:r>
      <w:r>
        <w:rPr>
          <w:b w:val="0"/>
          <w:i w:val="0"/>
        </w:rPr>
        <w:t xml:space="preserve"> </w:t>
      </w:r>
      <w:r>
        <w:rPr>
          <w:b w:val="0"/>
          <w:i/>
        </w:rPr>
        <w:t>(tests P9, P12)</w:t>
      </w:r>
      <w:r>
        <w:rPr>
          <w:b w:val="0"/>
          <w:i w:val="0"/>
        </w:rPr>
        <w:t>. With a home-care, senior-living, or grocery-delivery partner, randomize households or facilities across four arms: control; an information arm supplying the proxy with a structured summary of the principal's stated preferences; an accountability arm requiring the proxy to record the principal's reported enjoyment alongside safety outcomes; and a principal-sourced measurement arm in which the firm surveys the principal directly and reports to the proxy. Measure fidelity, principal well-being and autonomy, proxy satisfaction and burden, and firm outcomes including retention and complaint rate. The information arm is predicted null.</w:t>
      </w:r>
    </w:p>
    <w:p>
      <w:r>
        <w:rPr>
          <w:b/>
          <w:i w:val="0"/>
        </w:rPr>
        <w:t>Study 5 — Proxy-authored versus self-authored review corpus</w:t>
      </w:r>
      <w:r>
        <w:rPr>
          <w:b w:val="0"/>
          <w:i w:val="0"/>
        </w:rPr>
        <w:t xml:space="preserve"> </w:t>
      </w:r>
      <w:r>
        <w:rPr>
          <w:b w:val="0"/>
          <w:i/>
        </w:rPr>
        <w:t>(tests P4, P10, P11)</w:t>
      </w:r>
      <w:r>
        <w:rPr>
          <w:b w:val="0"/>
          <w:i w:val="0"/>
        </w:rPr>
        <w:t>. Reviews in heavily proxy-mediated categories — mobility aids, hearing aids, incontinence products, senior meal delivery, medical alert devices — routinely self-identify the purchase as made for a parent. Classify reviews as proxy- or self-authored, validate against a hand-coded sample, and compare attribute salience and valence within product. We predict proxy-authored reviews over-index on safety, durability, ease of administration, and the reviewer's own convenience, and self-authored reviews on comfort, dignity, appearance, and autonomy; that ratings from the two populations diverge for identical products; and that longitudinally, features gaining share are those favoured in proxy-authored reviews.</w:t>
      </w:r>
    </w:p>
    <w:p>
      <w:r>
        <w:rPr>
          <w:b/>
          <w:i w:val="0"/>
        </w:rPr>
        <w:t>Alternative explanations.</w:t>
      </w:r>
      <w:r>
        <w:rPr>
          <w:b w:val="0"/>
          <w:i w:val="0"/>
        </w:rPr>
        <w:t xml:space="preserve"> Four require explicit design treatment. </w:t>
      </w:r>
      <w:r>
        <w:rPr>
          <w:b w:val="0"/>
          <w:i/>
        </w:rPr>
        <w:t>Superior proxy information</w:t>
      </w:r>
      <w:r>
        <w:rPr>
          <w:b w:val="0"/>
          <w:i w:val="0"/>
        </w:rPr>
        <w:t xml:space="preserve"> is closed by P8's within-subject separation. </w:t>
      </w:r>
      <w:r>
        <w:rPr>
          <w:b w:val="0"/>
          <w:i/>
        </w:rPr>
        <w:t>Impairment artefacts in stated preference</w:t>
      </w:r>
      <w:r>
        <w:rPr>
          <w:b w:val="0"/>
          <w:i w:val="0"/>
        </w:rPr>
        <w:t xml:space="preserve"> are closed by restricting elicitation to domains unaffected by impairment and validating capacity independently. </w:t>
      </w:r>
      <w:r>
        <w:rPr>
          <w:b w:val="0"/>
          <w:i/>
        </w:rPr>
        <w:t>Budget constraint</w:t>
      </w:r>
      <w:r>
        <w:rPr>
          <w:b w:val="0"/>
          <w:i w:val="0"/>
        </w:rPr>
        <w:t xml:space="preserve"> is closed by the compositional selectivity of P7, since a constraint reduces spending across categories whereas anticipatory ownership reduces it only where accountability does not protect. </w:t>
      </w:r>
      <w:r>
        <w:rPr>
          <w:b w:val="0"/>
          <w:i/>
        </w:rPr>
        <w:t>Long-run welfare optimization by the proxy</w:t>
      </w:r>
      <w:r>
        <w:rPr>
          <w:b w:val="0"/>
          <w:i w:val="0"/>
        </w:rPr>
        <w:t xml:space="preserve"> is closed by testing attribute classes with no plausible safety justification, such as music, clothing, and room appearance.</w:t>
      </w:r>
    </w:p>
    <w:p>
      <w:r>
        <w:rPr>
          <w:b/>
          <w:i w:val="0"/>
        </w:rPr>
        <w:t>Cross-cultural extension.</w:t>
      </w:r>
      <w:r>
        <w:rPr>
          <w:b w:val="0"/>
          <w:i w:val="0"/>
        </w:rPr>
        <w:t xml:space="preserve"> Replication in Japan, Italy, and India against a US or UK baseline. We register competing predictions rather than one: strong filial norms should accelerate transfer while also improving estimation accuracy through greater contact and co-residence, so collectivist contexts may exhibit faster transfer with either smaller or larger estimation–enactment gaps depending on whether filial duty intensifies defensive choice.</w:t>
      </w:r>
    </w:p>
    <w:p>
      <w:pPr>
        <w:pStyle w:val="Heading2"/>
      </w:pPr>
      <w:r>
        <w:rPr>
          <w:b w:val="0"/>
          <w:i w:val="0"/>
          <w:color w:val="1A1A1A"/>
        </w:rPr>
        <w:t>10. Discussion: theoretical contributions</w:t>
      </w:r>
    </w:p>
    <w:p>
      <w:r>
        <w:rPr>
          <w:b/>
          <w:i w:val="0"/>
        </w:rPr>
        <w:t>To family and household decision-making</w:t>
      </w:r>
      <w:r>
        <w:rPr>
          <w:b w:val="0"/>
          <w:i w:val="0"/>
        </w:rPr>
        <w:t>, we supply the missing case: authority reallocation under declining capacity. This is not an extension of bargaining models but a different process, driven by external legibility events rather than internal negotiation, ratcheting rather than oscillating, and materially entrenched by market systems. It also relocates the tradition's unit of interest, since the outcome that matters cannot be observed at the level of either party.</w:t>
      </w:r>
    </w:p>
    <w:p>
      <w:r>
        <w:rPr>
          <w:b/>
          <w:i w:val="0"/>
        </w:rPr>
        <w:t>To consumer vulnerability research</w:t>
      </w:r>
      <w:r>
        <w:rPr>
          <w:b w:val="0"/>
          <w:i w:val="0"/>
        </w:rPr>
        <w:t>, we supply a dyadic formalization. Vulnerability here is not a state of restricted access that a firm might remedy directly; it is a state whose administration is delegated to a third party with independent interests, so that every firm and policy intervention is refracted through the proxy. This has an uncomfortable corollary: interventions that empower the proxy in order to protect the principal may reduce fidelity to the principal's preferences, and the literature has not been able to detect this because it does not measure fidelity.</w:t>
      </w:r>
    </w:p>
    <w:p>
      <w:r>
        <w:rPr>
          <w:b/>
          <w:i w:val="0"/>
        </w:rPr>
        <w:t>To the surrogate consumption literature</w:t>
      </w:r>
      <w:r>
        <w:rPr>
          <w:b w:val="0"/>
          <w:i w:val="0"/>
        </w:rPr>
        <w:t>, we identify a second, structurally distinct form of third-party choice, defined by conscription rather than engagement and by heirship rather than fee. The interest structure alone warrants separate theorization, since a surrogate paid for service has no stake in the principal's non-consumption and a proxy who is an heir does.</w:t>
      </w:r>
    </w:p>
    <w:p>
      <w:r>
        <w:rPr>
          <w:b/>
          <w:i w:val="0"/>
        </w:rPr>
        <w:t>To marketing theory more broadly</w:t>
      </w:r>
      <w:r>
        <w:rPr>
          <w:b w:val="0"/>
          <w:i w:val="0"/>
        </w:rPr>
        <w:t xml:space="preserve">, we identify a limit on the self-correcting property of markets with respect to consumer preference. That property presupposes that the party supplying feedback is the party experiencing the offering. Where the two diverge systematically, competition amplifies the divergence rather than eroding it — not through firm misconduct but through the ordinary operation of customer-centric management. Proxy consumption is the clearest current instance, but the logic generalizes to any setting where a purchaser is durably distinct from a consumer and only the purchaser is measured: institutional food service, employer-selected benefits, procurement for dependent populations, and parental purchase for children. </w:t>
      </w:r>
      <w:r>
        <w:rPr>
          <w:b/>
          <w:i w:val="0"/>
        </w:rPr>
        <w:t>Customer centricity is a well-founded principle only where the customer is the consumer.</w:t>
      </w:r>
      <w:r>
        <w:rPr>
          <w:b w:val="0"/>
          <w:i w:val="0"/>
        </w:rPr>
        <w:t xml:space="preserve"> Specifying and testing that boundary condition is, we believe, the paper's most general contribution.</w:t>
      </w:r>
    </w:p>
    <w:p>
      <w:pPr>
        <w:pStyle w:val="Heading2"/>
      </w:pPr>
      <w:r>
        <w:rPr>
          <w:b w:val="0"/>
          <w:i w:val="0"/>
          <w:color w:val="1A1A1A"/>
        </w:rPr>
        <w:t>11. Managerial and policy implications</w:t>
      </w:r>
    </w:p>
    <w:p>
      <w:r>
        <w:rPr>
          <w:b/>
          <w:i w:val="0"/>
        </w:rPr>
        <w:t>Measure the consumer, not only the customer.</w:t>
      </w:r>
      <w:r>
        <w:rPr>
          <w:b w:val="0"/>
          <w:i w:val="0"/>
        </w:rPr>
        <w:t xml:space="preserve"> Firms in proxy-mediated categories should institute experience measurement collected from the consuming party through channels independent of the proxy, and report it separately rather than blended into a single satisfaction figure. A firm cannot manage a divergence it aggregates away. Because satisfaction in these categories is currently proxy-sourced, apparently excellent metrics carry no information about the people being served — a fact with direct implications for how boards interpret customer data in eldercare, senior living, home health, and adjacent categories.</w:t>
      </w:r>
    </w:p>
    <w:p>
      <w:r>
        <w:rPr>
          <w:b/>
          <w:i w:val="0"/>
        </w:rPr>
        <w:t>Design authority as graduated and reversible.</w:t>
      </w:r>
      <w:r>
        <w:rPr>
          <w:b w:val="0"/>
          <w:i w:val="0"/>
        </w:rPr>
        <w:t xml:space="preserve"> Account architecture should permit partial, domain-specific, and returnable authority: a proxy who can pay but not change the service specification, or who holds authority over medication reordering but not over meal selection, with a low-friction path to returning authority when capacity recovers. No major provider currently offers this, and the framework implies that whoever builds it will both reduce harm and hold a defensible position when regulators arrive.</w:t>
      </w:r>
    </w:p>
    <w:p>
      <w:r>
        <w:rPr>
          <w:b/>
          <w:i w:val="0"/>
        </w:rPr>
        <w:t>Recognize that guilt-based appeals are fidelity-destroying.</w:t>
      </w:r>
      <w:r>
        <w:rPr>
          <w:b w:val="0"/>
          <w:i w:val="0"/>
        </w:rPr>
        <w:t xml:space="preserve"> P6 implies that marketing to proxy guilt raises expenditure and lowers the served consumer's welfare simultaneously. Firms that depend on guilt appeals are, on this account, extracting value from a relational deficit rather than creating value — a characterization that is commercially durable only until it becomes publicly legible.</w:t>
      </w:r>
    </w:p>
    <w:p>
      <w:r>
        <w:rPr>
          <w:b/>
          <w:i w:val="0"/>
        </w:rPr>
        <w:t>For policymakers</w:t>
      </w:r>
      <w:r>
        <w:rPr>
          <w:b w:val="0"/>
          <w:i w:val="0"/>
        </w:rPr>
        <w:t>, the framework raises a specific and testable concern about instruments that formalize proxy authority. If P5 holds, power of attorney and its equivalents protect against expropriation while degrading fidelity to the principal's preferences, and the appropriate response is not to weaken them but to pair them with fidelity obligations: a duty to elicit and record preferences, and reporting requirements that treat forgone benefit as an outcome rather than a non-event. Regulators of care quality should note that inspection regimes concentrated on harm avoidance reproduce, at the institutional level, exactly the accountability asymmetry that produces defensive choice at the individual level.</w:t>
      </w:r>
    </w:p>
    <w:p>
      <w:pPr>
        <w:pStyle w:val="Heading2"/>
      </w:pPr>
      <w:r>
        <w:rPr>
          <w:b w:val="0"/>
          <w:i w:val="0"/>
          <w:color w:val="1A1A1A"/>
        </w:rPr>
        <w:t>12. Boundary conditions, limitations, and future research</w:t>
      </w:r>
    </w:p>
    <w:p>
      <w:r>
        <w:rPr>
          <w:b w:val="0"/>
          <w:i w:val="0"/>
        </w:rPr>
        <w:t>The framework is bounded by its scope conditions and does not apply to gift-giving, professional fiduciary relationships, or expertise-based delegation. It is developed for aging-related capacity decline; extension to disability, severe mental illness, and addiction is plausible but requires separate treatment, since in those settings capacity may be fluctuating rather than declining and the principal's earlier preferences may not furnish an appropriate benchmark.</w:t>
      </w:r>
    </w:p>
    <w:p>
      <w:r>
        <w:rPr>
          <w:b w:val="0"/>
          <w:i w:val="0"/>
        </w:rPr>
        <w:t>Three limitations deserve emphasis. First, preference fidelity requires a defensible benchmark, and where impairment is advanced no uncontaminated benchmark exists; our restriction to impairment-independent domains is a partial solution that narrows the categories in which the construct can be measured. Second, our account treats the proxy's motives as broadly benevolent, and does not model deliberate exploitation, which the elder financial abuse literature addresses and which likely follows a different logic. Third, the market-level prediction in P11 requires long time series in categories where proxy-mediation share is itself difficult to measure.</w:t>
      </w:r>
    </w:p>
    <w:p>
      <w:r>
        <w:rPr>
          <w:b w:val="0"/>
          <w:i w:val="0"/>
        </w:rPr>
        <w:t>We see three priorities for future work. The first is measurement: a validated authority-allocation inventory and fidelity instrument would enable cumulative research and are prerequisites for most of the propositions above. The second is the extension of the customer-consumer divergence logic to other settings — institutional food service, employer-selected benefits, procurement for dependent populations — where the same feedback misdirection should operate and where the framework's generality can be assessed. The third is normative: the discipline has no marketplace analogue of substituted judgment, no articulated standard for what a proxy owes a principal in consumption. Developing one is a task for which marketing scholarship, having identified the problem, is well positioned.</w:t>
      </w:r>
    </w:p>
    <w:p>
      <w:pPr>
        <w:pStyle w:val="Heading1"/>
        <w:jc w:val="left"/>
      </w:pPr>
      <w:r>
        <w:rPr>
          <w:b w:val="0"/>
          <w:i w:val="0"/>
          <w:color w:val="1A1A1A"/>
        </w:rPr>
        <w:t>PART III — EXHIBITS AND REFERENCE ANCHORS</w:t>
      </w:r>
    </w:p>
    <w:p>
      <w:pPr>
        <w:pStyle w:val="Heading2"/>
      </w:pPr>
      <w:r>
        <w:rPr>
          <w:b w:val="0"/>
          <w:i w:val="0"/>
          <w:color w:val="1A1A1A"/>
        </w:rPr>
        <w:t>Table 1. Construct definitions and differentiation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r>
            <w:r>
              <w:rPr>
                <w:b/>
                <w:i w:val="0"/>
                <w:sz w:val="18"/>
              </w:rPr>
              <w:t>Construct</w:t>
            </w:r>
          </w:p>
        </w:tc>
        <w:tc>
          <w:tcPr>
            <w:tcW w:type="dxa" w:w="2880"/>
          </w:tcPr>
          <w:p>
            <w:r>
              <w:rPr>
                <w:b/>
                <w:sz w:val="18"/>
              </w:rPr>
            </w:r>
            <w:r>
              <w:rPr>
                <w:b/>
                <w:i w:val="0"/>
                <w:sz w:val="18"/>
              </w:rPr>
              <w:t>Definition</w:t>
            </w:r>
          </w:p>
        </w:tc>
        <w:tc>
          <w:tcPr>
            <w:tcW w:type="dxa" w:w="2880"/>
          </w:tcPr>
          <w:p>
            <w:r>
              <w:rPr>
                <w:b/>
                <w:sz w:val="18"/>
              </w:rPr>
            </w:r>
            <w:r>
              <w:rPr>
                <w:b/>
                <w:i w:val="0"/>
                <w:sz w:val="18"/>
              </w:rPr>
              <w:t>Distinguished from</w:t>
            </w:r>
          </w:p>
        </w:tc>
      </w:tr>
      <w:tr>
        <w:tc>
          <w:tcPr>
            <w:tcW w:type="dxa" w:w="2880"/>
          </w:tcPr>
          <w:p>
            <w:r>
              <w:rPr>
                <w:sz w:val="18"/>
              </w:rPr>
            </w:r>
            <w:r>
              <w:rPr>
                <w:b w:val="0"/>
                <w:i w:val="0"/>
                <w:sz w:val="18"/>
              </w:rPr>
              <w:t>Proxy consumption agency</w:t>
            </w:r>
          </w:p>
        </w:tc>
        <w:tc>
          <w:tcPr>
            <w:tcW w:type="dxa" w:w="2880"/>
          </w:tcPr>
          <w:p>
            <w:r>
              <w:rPr>
                <w:sz w:val="18"/>
              </w:rPr>
            </w:r>
            <w:r>
              <w:rPr>
                <w:b w:val="0"/>
                <w:i w:val="0"/>
                <w:sz w:val="18"/>
              </w:rPr>
              <w:t>Exercise of consumption decision authority by one actor over resources belonging to, and outcomes experienced by, another, occasioned by the principal's declining capacity rather than the proxy's expertise, and unbounded by explicit contract</w:t>
            </w:r>
          </w:p>
        </w:tc>
        <w:tc>
          <w:tcPr>
            <w:tcW w:type="dxa" w:w="2880"/>
          </w:tcPr>
          <w:p>
            <w:r>
              <w:rPr>
                <w:sz w:val="18"/>
              </w:rPr>
            </w:r>
            <w:r>
              <w:rPr>
                <w:b w:val="0"/>
                <w:i w:val="0"/>
                <w:sz w:val="18"/>
              </w:rPr>
              <w:t>Surrogate consumption (expertise-based, contracted, revocable); joint decision-making (concurrent authority); gift-giving (proxy's own resources, recipient autonomy intact)</w:t>
            </w:r>
          </w:p>
        </w:tc>
      </w:tr>
      <w:tr>
        <w:tc>
          <w:tcPr>
            <w:tcW w:type="dxa" w:w="2880"/>
          </w:tcPr>
          <w:p>
            <w:r>
              <w:rPr>
                <w:sz w:val="18"/>
              </w:rPr>
            </w:r>
            <w:r>
              <w:rPr>
                <w:b w:val="0"/>
                <w:i w:val="0"/>
                <w:sz w:val="18"/>
              </w:rPr>
              <w:t>Agency-transfer trajectory</w:t>
            </w:r>
          </w:p>
        </w:tc>
        <w:tc>
          <w:tcPr>
            <w:tcW w:type="dxa" w:w="2880"/>
          </w:tcPr>
          <w:p>
            <w:r>
              <w:rPr>
                <w:sz w:val="18"/>
              </w:rPr>
            </w:r>
            <w:r>
              <w:rPr>
                <w:b w:val="0"/>
                <w:i w:val="0"/>
                <w:sz w:val="18"/>
              </w:rPr>
              <w:t>Staged reallocation of decision authority: advisory → scaffolded → substitutive → displacing → posthumous</w:t>
            </w:r>
          </w:p>
        </w:tc>
        <w:tc>
          <w:tcPr>
            <w:tcW w:type="dxa" w:w="2880"/>
          </w:tcPr>
          <w:p>
            <w:r>
              <w:rPr>
                <w:sz w:val="18"/>
              </w:rPr>
            </w:r>
            <w:r>
              <w:rPr>
                <w:b w:val="0"/>
                <w:i w:val="0"/>
                <w:sz w:val="18"/>
              </w:rPr>
              <w:t>Role specialization in household decision-making (stable division of labour, not directional transfer)</w:t>
            </w:r>
          </w:p>
        </w:tc>
      </w:tr>
      <w:tr>
        <w:tc>
          <w:tcPr>
            <w:tcW w:type="dxa" w:w="2880"/>
          </w:tcPr>
          <w:p>
            <w:r>
              <w:rPr>
                <w:sz w:val="18"/>
              </w:rPr>
            </w:r>
            <w:r>
              <w:rPr>
                <w:b w:val="0"/>
                <w:i w:val="0"/>
                <w:sz w:val="18"/>
              </w:rPr>
              <w:t>Preference fidelity</w:t>
            </w:r>
          </w:p>
        </w:tc>
        <w:tc>
          <w:tcPr>
            <w:tcW w:type="dxa" w:w="2880"/>
          </w:tcPr>
          <w:p>
            <w:r>
              <w:rPr>
                <w:sz w:val="18"/>
              </w:rPr>
            </w:r>
            <w:r>
              <w:rPr>
                <w:b w:val="0"/>
                <w:i w:val="0"/>
                <w:sz w:val="18"/>
              </w:rPr>
              <w:t>Correspondence between the principal's independently elicited preference and the choice enacted on their behalf</w:t>
            </w:r>
          </w:p>
        </w:tc>
        <w:tc>
          <w:tcPr>
            <w:tcW w:type="dxa" w:w="2880"/>
          </w:tcPr>
          <w:p>
            <w:r>
              <w:rPr>
                <w:sz w:val="18"/>
              </w:rPr>
            </w:r>
            <w:r>
              <w:rPr>
                <w:b w:val="0"/>
                <w:i w:val="0"/>
                <w:sz w:val="18"/>
              </w:rPr>
              <w:t>Satisfaction (evaluative, typically proxy-sourced); service quality (property of offering)</w:t>
            </w:r>
          </w:p>
        </w:tc>
      </w:tr>
      <w:tr>
        <w:tc>
          <w:tcPr>
            <w:tcW w:type="dxa" w:w="2880"/>
          </w:tcPr>
          <w:p>
            <w:r>
              <w:rPr>
                <w:sz w:val="18"/>
              </w:rPr>
            </w:r>
            <w:r>
              <w:rPr>
                <w:b w:val="0"/>
                <w:i w:val="0"/>
                <w:sz w:val="18"/>
              </w:rPr>
              <w:t>Proxy distortion</w:t>
            </w:r>
          </w:p>
        </w:tc>
        <w:tc>
          <w:tcPr>
            <w:tcW w:type="dxa" w:w="2880"/>
          </w:tcPr>
          <w:p>
            <w:r>
              <w:rPr>
                <w:sz w:val="18"/>
              </w:rPr>
            </w:r>
            <w:r>
              <w:rPr>
                <w:b w:val="0"/>
                <w:i w:val="0"/>
                <w:sz w:val="18"/>
              </w:rPr>
              <w:t>Systematic, directional divergence of enacted choice from the principal's preference, in attribute composition rather than expenditure level</w:t>
            </w:r>
          </w:p>
        </w:tc>
        <w:tc>
          <w:tcPr>
            <w:tcW w:type="dxa" w:w="2880"/>
          </w:tcPr>
          <w:p>
            <w:r>
              <w:rPr>
                <w:sz w:val="18"/>
              </w:rPr>
            </w:r>
            <w:r>
              <w:rPr>
                <w:b w:val="0"/>
                <w:i w:val="0"/>
                <w:sz w:val="18"/>
              </w:rPr>
              <w:t>Random error; preference estimation inaccuracy</w:t>
            </w:r>
          </w:p>
        </w:tc>
      </w:tr>
      <w:tr>
        <w:tc>
          <w:tcPr>
            <w:tcW w:type="dxa" w:w="2880"/>
          </w:tcPr>
          <w:p>
            <w:r>
              <w:rPr>
                <w:sz w:val="18"/>
              </w:rPr>
            </w:r>
            <w:r>
              <w:rPr>
                <w:b w:val="0"/>
                <w:i w:val="0"/>
                <w:sz w:val="18"/>
              </w:rPr>
              <w:t>Defensive choice</w:t>
            </w:r>
          </w:p>
        </w:tc>
        <w:tc>
          <w:tcPr>
            <w:tcW w:type="dxa" w:w="2880"/>
          </w:tcPr>
          <w:p>
            <w:r>
              <w:rPr>
                <w:sz w:val="18"/>
              </w:rPr>
            </w:r>
            <w:r>
              <w:rPr>
                <w:b w:val="0"/>
                <w:i w:val="0"/>
                <w:sz w:val="18"/>
              </w:rPr>
              <w:t>Selection favouring attributes whose absence would be blameable over attributes whose presence would be enjoyed</w:t>
            </w:r>
          </w:p>
        </w:tc>
        <w:tc>
          <w:tcPr>
            <w:tcW w:type="dxa" w:w="2880"/>
          </w:tcPr>
          <w:p>
            <w:r>
              <w:rPr>
                <w:sz w:val="18"/>
              </w:rPr>
            </w:r>
            <w:r>
              <w:rPr>
                <w:b w:val="0"/>
                <w:i w:val="0"/>
                <w:sz w:val="18"/>
              </w:rPr>
              <w:t>Risk aversion (a preference, not an accountability response)</w:t>
            </w:r>
          </w:p>
        </w:tc>
      </w:tr>
      <w:tr>
        <w:tc>
          <w:tcPr>
            <w:tcW w:type="dxa" w:w="2880"/>
          </w:tcPr>
          <w:p>
            <w:r>
              <w:rPr>
                <w:sz w:val="18"/>
              </w:rPr>
            </w:r>
            <w:r>
              <w:rPr>
                <w:b w:val="0"/>
                <w:i w:val="0"/>
                <w:sz w:val="18"/>
              </w:rPr>
              <w:t>Anticipatory ownership</w:t>
            </w:r>
          </w:p>
        </w:tc>
        <w:tc>
          <w:tcPr>
            <w:tcW w:type="dxa" w:w="2880"/>
          </w:tcPr>
          <w:p>
            <w:r>
              <w:rPr>
                <w:sz w:val="18"/>
              </w:rPr>
            </w:r>
            <w:r>
              <w:rPr>
                <w:b w:val="0"/>
                <w:i w:val="0"/>
                <w:sz w:val="18"/>
              </w:rPr>
              <w:t>The proxy's psychological claim on assets they will inherit, activated while spending them on the principal</w:t>
            </w:r>
          </w:p>
        </w:tc>
        <w:tc>
          <w:tcPr>
            <w:tcW w:type="dxa" w:w="2880"/>
          </w:tcPr>
          <w:p>
            <w:r>
              <w:rPr>
                <w:sz w:val="18"/>
              </w:rPr>
            </w:r>
            <w:r>
              <w:rPr>
                <w:b w:val="0"/>
                <w:i w:val="0"/>
                <w:sz w:val="18"/>
              </w:rPr>
              <w:t>Psychological ownership; endowment effect</w:t>
            </w:r>
          </w:p>
        </w:tc>
      </w:tr>
      <w:tr>
        <w:tc>
          <w:tcPr>
            <w:tcW w:type="dxa" w:w="2880"/>
          </w:tcPr>
          <w:p>
            <w:r>
              <w:rPr>
                <w:sz w:val="18"/>
              </w:rPr>
            </w:r>
            <w:r>
              <w:rPr>
                <w:b w:val="0"/>
                <w:i w:val="0"/>
                <w:sz w:val="18"/>
              </w:rPr>
              <w:t>Infrastructural agency capture</w:t>
            </w:r>
          </w:p>
        </w:tc>
        <w:tc>
          <w:tcPr>
            <w:tcW w:type="dxa" w:w="2880"/>
          </w:tcPr>
          <w:p>
            <w:r>
              <w:rPr>
                <w:sz w:val="18"/>
              </w:rPr>
            </w:r>
            <w:r>
              <w:rPr>
                <w:b w:val="0"/>
                <w:i w:val="0"/>
                <w:sz w:val="18"/>
              </w:rPr>
              <w:t>Entrenchment of transferred authority through market account architecture — credentials, payment instruments, delivery defaults, customer records</w:t>
            </w:r>
          </w:p>
        </w:tc>
        <w:tc>
          <w:tcPr>
            <w:tcW w:type="dxa" w:w="2880"/>
          </w:tcPr>
          <w:p>
            <w:r>
              <w:rPr>
                <w:sz w:val="18"/>
              </w:rPr>
            </w:r>
            <w:r>
              <w:rPr>
                <w:b w:val="0"/>
                <w:i w:val="0"/>
                <w:sz w:val="18"/>
              </w:rPr>
              <w:t>Switching costs (borne by one consumer, not transferred between two)</w:t>
            </w:r>
          </w:p>
        </w:tc>
      </w:tr>
      <w:tr>
        <w:tc>
          <w:tcPr>
            <w:tcW w:type="dxa" w:w="2880"/>
          </w:tcPr>
          <w:p>
            <w:r>
              <w:rPr>
                <w:sz w:val="18"/>
              </w:rPr>
            </w:r>
            <w:r>
              <w:rPr>
                <w:b w:val="0"/>
                <w:i w:val="0"/>
                <w:sz w:val="18"/>
              </w:rPr>
              <w:t>Proxy capture</w:t>
            </w:r>
          </w:p>
        </w:tc>
        <w:tc>
          <w:tcPr>
            <w:tcW w:type="dxa" w:w="2880"/>
          </w:tcPr>
          <w:p>
            <w:r>
              <w:rPr>
                <w:sz w:val="18"/>
              </w:rPr>
            </w:r>
            <w:r>
              <w:rPr>
                <w:b w:val="0"/>
                <w:i w:val="0"/>
                <w:sz w:val="18"/>
              </w:rPr>
              <w:t>Market-level process by which competitive selection on proxy-sourced feedback shifts category offerings toward proxy-preferred attributes</w:t>
            </w:r>
          </w:p>
        </w:tc>
        <w:tc>
          <w:tcPr>
            <w:tcW w:type="dxa" w:w="2880"/>
          </w:tcPr>
          <w:p>
            <w:r>
              <w:rPr>
                <w:sz w:val="18"/>
              </w:rPr>
            </w:r>
            <w:r>
              <w:rPr>
                <w:b w:val="0"/>
                <w:i w:val="0"/>
                <w:sz w:val="18"/>
              </w:rPr>
              <w:t>Regulatory capture; principal–agent problem (contractual, aligned metrics)</w:t>
            </w:r>
          </w:p>
        </w:tc>
      </w:tr>
      <w:tr>
        <w:tc>
          <w:tcPr>
            <w:tcW w:type="dxa" w:w="2880"/>
          </w:tcPr>
          <w:p>
            <w:r>
              <w:rPr>
                <w:sz w:val="18"/>
              </w:rPr>
            </w:r>
            <w:r>
              <w:rPr>
                <w:b w:val="0"/>
                <w:i w:val="0"/>
                <w:sz w:val="18"/>
              </w:rPr>
              <w:t>Satisfaction–fidelity divergence</w:t>
            </w:r>
          </w:p>
        </w:tc>
        <w:tc>
          <w:tcPr>
            <w:tcW w:type="dxa" w:w="2880"/>
          </w:tcPr>
          <w:p>
            <w:r>
              <w:rPr>
                <w:sz w:val="18"/>
              </w:rPr>
            </w:r>
            <w:r>
              <w:rPr>
                <w:b w:val="0"/>
                <w:i w:val="0"/>
                <w:sz w:val="18"/>
              </w:rPr>
              <w:t>Condition in which measured satisfaction rises while preference fidelity and principal well-being fall</w:t>
            </w:r>
          </w:p>
        </w:tc>
        <w:tc>
          <w:tcPr>
            <w:tcW w:type="dxa" w:w="2880"/>
          </w:tcPr>
          <w:p>
            <w:r>
              <w:rPr>
                <w:sz w:val="18"/>
              </w:rPr>
            </w:r>
            <w:r>
              <w:rPr>
                <w:b w:val="0"/>
                <w:i w:val="0"/>
                <w:sz w:val="18"/>
              </w:rPr>
              <w:t>Satisfaction–loyalty gap</w:t>
            </w:r>
          </w:p>
        </w:tc>
      </w:tr>
    </w:tbl>
    <w:p/>
    <w:p>
      <w:pPr>
        <w:pStyle w:val="Heading2"/>
      </w:pPr>
      <w:r>
        <w:rPr>
          <w:b w:val="0"/>
          <w:i w:val="0"/>
          <w:color w:val="1A1A1A"/>
        </w:rPr>
        <w:t>Table 2. Positioning against four literatures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i w:val="0"/>
                <w:sz w:val="18"/>
              </w:rPr>
              <w:t>Literature</w:t>
            </w:r>
          </w:p>
        </w:tc>
        <w:tc>
          <w:tcPr>
            <w:tcW w:type="dxa" w:w="2160"/>
          </w:tcPr>
          <w:p>
            <w:r>
              <w:rPr>
                <w:b/>
                <w:sz w:val="18"/>
              </w:rPr>
            </w:r>
            <w:r>
              <w:rPr>
                <w:b/>
                <w:i w:val="0"/>
                <w:sz w:val="18"/>
              </w:rPr>
              <w:t>Anchor works</w:t>
            </w:r>
          </w:p>
        </w:tc>
        <w:tc>
          <w:tcPr>
            <w:tcW w:type="dxa" w:w="2160"/>
          </w:tcPr>
          <w:p>
            <w:r>
              <w:rPr>
                <w:b/>
                <w:sz w:val="18"/>
              </w:rPr>
            </w:r>
            <w:r>
              <w:rPr>
                <w:b/>
                <w:i w:val="0"/>
                <w:sz w:val="18"/>
              </w:rPr>
              <w:t>Establishes</w:t>
            </w:r>
          </w:p>
        </w:tc>
        <w:tc>
          <w:tcPr>
            <w:tcW w:type="dxa" w:w="2160"/>
          </w:tcPr>
          <w:p>
            <w:r>
              <w:rPr>
                <w:b/>
                <w:sz w:val="18"/>
              </w:rPr>
            </w:r>
            <w:r>
              <w:rPr>
                <w:b/>
                <w:i w:val="0"/>
                <w:sz w:val="18"/>
              </w:rPr>
              <w:t>Cannot address</w:t>
            </w:r>
          </w:p>
        </w:tc>
      </w:tr>
      <w:tr>
        <w:tc>
          <w:tcPr>
            <w:tcW w:type="dxa" w:w="2160"/>
          </w:tcPr>
          <w:p>
            <w:r>
              <w:rPr>
                <w:sz w:val="18"/>
              </w:rPr>
            </w:r>
            <w:r>
              <w:rPr>
                <w:b w:val="0"/>
                <w:i w:val="0"/>
                <w:sz w:val="18"/>
              </w:rPr>
              <w:t>Family / household decision-making</w:t>
            </w:r>
          </w:p>
        </w:tc>
        <w:tc>
          <w:tcPr>
            <w:tcW w:type="dxa" w:w="2160"/>
          </w:tcPr>
          <w:p>
            <w:r>
              <w:rPr>
                <w:sz w:val="18"/>
              </w:rPr>
            </w:r>
            <w:r>
              <w:rPr>
                <w:b w:val="0"/>
                <w:i w:val="0"/>
                <w:sz w:val="18"/>
              </w:rPr>
              <w:t>Epp &amp; Price (2008, 2011); household role-structure tradition</w:t>
            </w:r>
          </w:p>
        </w:tc>
        <w:tc>
          <w:tcPr>
            <w:tcW w:type="dxa" w:w="2160"/>
          </w:tcPr>
          <w:p>
            <w:r>
              <w:rPr>
                <w:sz w:val="18"/>
              </w:rPr>
            </w:r>
            <w:r>
              <w:rPr>
                <w:b w:val="0"/>
                <w:i w:val="0"/>
                <w:sz w:val="18"/>
              </w:rPr>
              <w:t>Decision-making is collective; consumption is the medium of family identity management</w:t>
            </w:r>
          </w:p>
        </w:tc>
        <w:tc>
          <w:tcPr>
            <w:tcW w:type="dxa" w:w="2160"/>
          </w:tcPr>
          <w:p>
            <w:r>
              <w:rPr>
                <w:sz w:val="18"/>
              </w:rPr>
            </w:r>
            <w:r>
              <w:rPr>
                <w:b w:val="0"/>
                <w:i w:val="0"/>
                <w:sz w:val="18"/>
              </w:rPr>
              <w:t>Authority transfer under declining capacity; assumes symmetry or ascending competence</w:t>
            </w:r>
          </w:p>
        </w:tc>
      </w:tr>
      <w:tr>
        <w:tc>
          <w:tcPr>
            <w:tcW w:type="dxa" w:w="2160"/>
          </w:tcPr>
          <w:p>
            <w:r>
              <w:rPr>
                <w:sz w:val="18"/>
              </w:rPr>
            </w:r>
            <w:r>
              <w:rPr>
                <w:b w:val="0"/>
                <w:i w:val="0"/>
                <w:sz w:val="18"/>
              </w:rPr>
              <w:t>Consumer vulnerability</w:t>
            </w:r>
          </w:p>
        </w:tc>
        <w:tc>
          <w:tcPr>
            <w:tcW w:type="dxa" w:w="2160"/>
          </w:tcPr>
          <w:p>
            <w:r>
              <w:rPr>
                <w:sz w:val="18"/>
              </w:rPr>
            </w:r>
            <w:r>
              <w:rPr>
                <w:b w:val="0"/>
                <w:i w:val="0"/>
                <w:sz w:val="18"/>
              </w:rPr>
              <w:t>Baker, Gentry &amp; Rittenburg (2005); Hill &amp; Sharma (2020); JAMS (2024) vulnerability dynamics</w:t>
            </w:r>
          </w:p>
        </w:tc>
        <w:tc>
          <w:tcPr>
            <w:tcW w:type="dxa" w:w="2160"/>
          </w:tcPr>
          <w:p>
            <w:r>
              <w:rPr>
                <w:sz w:val="18"/>
              </w:rPr>
            </w:r>
            <w:r>
              <w:rPr>
                <w:b w:val="0"/>
                <w:i w:val="0"/>
                <w:sz w:val="18"/>
              </w:rPr>
              <w:t>Vulnerability is an experienced state of restricted access and control, dynamic not demographic</w:t>
            </w:r>
          </w:p>
        </w:tc>
        <w:tc>
          <w:tcPr>
            <w:tcW w:type="dxa" w:w="2160"/>
          </w:tcPr>
          <w:p>
            <w:r>
              <w:rPr>
                <w:sz w:val="18"/>
              </w:rPr>
            </w:r>
            <w:r>
              <w:rPr>
                <w:b w:val="0"/>
                <w:i w:val="0"/>
                <w:sz w:val="18"/>
              </w:rPr>
              <w:t>Individual locus; no account of vulnerability administered by an interested relative; dyad is not the unit</w:t>
            </w:r>
          </w:p>
        </w:tc>
      </w:tr>
      <w:tr>
        <w:tc>
          <w:tcPr>
            <w:tcW w:type="dxa" w:w="2160"/>
          </w:tcPr>
          <w:p>
            <w:r>
              <w:rPr>
                <w:sz w:val="18"/>
              </w:rPr>
            </w:r>
            <w:r>
              <w:rPr>
                <w:b w:val="0"/>
                <w:i w:val="0"/>
                <w:sz w:val="18"/>
              </w:rPr>
              <w:t>Surrogate consumers</w:t>
            </w:r>
          </w:p>
        </w:tc>
        <w:tc>
          <w:tcPr>
            <w:tcW w:type="dxa" w:w="2160"/>
          </w:tcPr>
          <w:p>
            <w:r>
              <w:rPr>
                <w:sz w:val="18"/>
              </w:rPr>
            </w:r>
            <w:r>
              <w:rPr>
                <w:b w:val="0"/>
                <w:i w:val="0"/>
                <w:sz w:val="18"/>
              </w:rPr>
              <w:t>Solomon (1986); surrogate-shopper/fiduciary extension (1999)</w:t>
            </w:r>
          </w:p>
        </w:tc>
        <w:tc>
          <w:tcPr>
            <w:tcW w:type="dxa" w:w="2160"/>
          </w:tcPr>
          <w:p>
            <w:r>
              <w:rPr>
                <w:sz w:val="18"/>
              </w:rPr>
            </w:r>
            <w:r>
              <w:rPr>
                <w:b w:val="0"/>
                <w:i w:val="0"/>
                <w:sz w:val="18"/>
              </w:rPr>
              <w:t>Third parties routinely choose for others; efficiency and information-advantage implications</w:t>
            </w:r>
          </w:p>
        </w:tc>
        <w:tc>
          <w:tcPr>
            <w:tcW w:type="dxa" w:w="2160"/>
          </w:tcPr>
          <w:p>
            <w:r>
              <w:rPr>
                <w:sz w:val="18"/>
              </w:rPr>
            </w:r>
            <w:r>
              <w:rPr>
                <w:b w:val="0"/>
                <w:i w:val="0"/>
                <w:sz w:val="18"/>
              </w:rPr>
              <w:t>Expertise-based, contracted, revocable, fee-paid. Proxies are kinship-conscripted, unbounded, irrevocable, heir-interested</w:t>
            </w:r>
          </w:p>
        </w:tc>
      </w:tr>
      <w:tr>
        <w:tc>
          <w:tcPr>
            <w:tcW w:type="dxa" w:w="2160"/>
          </w:tcPr>
          <w:p>
            <w:r>
              <w:rPr>
                <w:sz w:val="18"/>
              </w:rPr>
            </w:r>
            <w:r>
              <w:rPr>
                <w:b w:val="0"/>
                <w:i w:val="0"/>
                <w:sz w:val="18"/>
              </w:rPr>
              <w:t>Elderly consumption ensemble</w:t>
            </w:r>
          </w:p>
        </w:tc>
        <w:tc>
          <w:tcPr>
            <w:tcW w:type="dxa" w:w="2160"/>
          </w:tcPr>
          <w:p>
            <w:r>
              <w:rPr>
                <w:sz w:val="18"/>
              </w:rPr>
            </w:r>
            <w:r>
              <w:rPr>
                <w:b w:val="0"/>
                <w:i w:val="0"/>
                <w:sz w:val="18"/>
              </w:rPr>
              <w:t>Barnhart &amp; Peñaloza (2013); Barnhart &amp; Peñaloza (2009, ACR)</w:t>
            </w:r>
          </w:p>
        </w:tc>
        <w:tc>
          <w:tcPr>
            <w:tcW w:type="dxa" w:w="2160"/>
          </w:tcPr>
          <w:p>
            <w:r>
              <w:rPr>
                <w:sz w:val="18"/>
              </w:rPr>
            </w:r>
            <w:r>
              <w:rPr>
                <w:b w:val="0"/>
                <w:i w:val="0"/>
                <w:sz w:val="18"/>
              </w:rPr>
              <w:t>Consumption of the aging consumer is collectively constituted; old-age identity negotiated through consumption activity</w:t>
            </w:r>
          </w:p>
        </w:tc>
        <w:tc>
          <w:tcPr>
            <w:tcW w:type="dxa" w:w="2160"/>
          </w:tcPr>
          <w:p>
            <w:r>
              <w:rPr>
                <w:sz w:val="18"/>
              </w:rPr>
            </w:r>
            <w:r>
              <w:rPr>
                <w:b w:val="0"/>
                <w:i w:val="0"/>
                <w:sz w:val="18"/>
              </w:rPr>
              <w:t>Identity arena, not decision system; no authority-allocation model, no fidelity outcome, no firm-level consequence</w:t>
            </w:r>
          </w:p>
        </w:tc>
      </w:tr>
      <w:tr>
        <w:tc>
          <w:tcPr>
            <w:tcW w:type="dxa" w:w="2160"/>
          </w:tcPr>
          <w:p>
            <w:r>
              <w:rPr>
                <w:sz w:val="18"/>
              </w:rPr>
            </w:r>
            <w:r>
              <w:rPr>
                <w:b w:val="0"/>
                <w:i w:val="0"/>
                <w:sz w:val="18"/>
              </w:rPr>
              <w:t>Surrogate decision-making psychology / medicine</w:t>
            </w:r>
          </w:p>
        </w:tc>
        <w:tc>
          <w:tcPr>
            <w:tcW w:type="dxa" w:w="2160"/>
          </w:tcPr>
          <w:p>
            <w:r>
              <w:rPr>
                <w:sz w:val="18"/>
              </w:rPr>
            </w:r>
            <w:r>
              <w:rPr>
                <w:b w:val="0"/>
                <w:i w:val="0"/>
                <w:sz w:val="18"/>
              </w:rPr>
              <w:t>Tunney &amp; Ziegler (2015a, 2015b); Shalowitz, Garrett-Mayer &amp; Wendler (2006)</w:t>
            </w:r>
          </w:p>
        </w:tc>
        <w:tc>
          <w:tcPr>
            <w:tcW w:type="dxa" w:w="2160"/>
          </w:tcPr>
          <w:p>
            <w:r>
              <w:rPr>
                <w:sz w:val="18"/>
              </w:rPr>
            </w:r>
            <w:r>
              <w:rPr>
                <w:b w:val="0"/>
                <w:i w:val="0"/>
                <w:sz w:val="18"/>
              </w:rPr>
              <w:t>Decisions for others differ from decisions for self; estimation is accurate and is not the source of inaccuracy; ~68% accuracy, unimproved by prior discussion</w:t>
            </w:r>
          </w:p>
        </w:tc>
        <w:tc>
          <w:tcPr>
            <w:tcW w:type="dxa" w:w="2160"/>
          </w:tcPr>
          <w:p>
            <w:r>
              <w:rPr>
                <w:sz w:val="18"/>
              </w:rPr>
            </w:r>
            <w:r>
              <w:rPr>
                <w:b w:val="0"/>
                <w:i w:val="0"/>
                <w:sz w:val="18"/>
              </w:rPr>
              <w:t>Episodic, clinically governed, normatively standardized, no money to surrogate, no inheritance interest, no identity content, and no seller marketing to the surrogate</w:t>
            </w:r>
          </w:p>
        </w:tc>
      </w:tr>
    </w:tbl>
    <w:p/>
    <w:p>
      <w:pPr>
        <w:pStyle w:val="Heading2"/>
      </w:pPr>
      <w:r>
        <w:rPr>
          <w:b w:val="0"/>
          <w:i w:val="0"/>
          <w:color w:val="1A1A1A"/>
        </w:rPr>
        <w:t>Table 3. Propositions, constructs, and empirical tests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r>
            <w:r>
              <w:rPr>
                <w:b/>
                <w:i w:val="0"/>
                <w:sz w:val="18"/>
              </w:rPr>
              <w:t>P</w:t>
            </w:r>
          </w:p>
        </w:tc>
        <w:tc>
          <w:tcPr>
            <w:tcW w:type="dxa" w:w="2160"/>
          </w:tcPr>
          <w:p>
            <w:r>
              <w:rPr>
                <w:b/>
                <w:sz w:val="18"/>
              </w:rPr>
            </w:r>
            <w:r>
              <w:rPr>
                <w:b/>
                <w:i w:val="0"/>
                <w:sz w:val="18"/>
              </w:rPr>
              <w:t>Claim (abbreviated)</w:t>
            </w:r>
          </w:p>
        </w:tc>
        <w:tc>
          <w:tcPr>
            <w:tcW w:type="dxa" w:w="2160"/>
          </w:tcPr>
          <w:p>
            <w:r>
              <w:rPr>
                <w:b/>
                <w:sz w:val="18"/>
              </w:rPr>
            </w:r>
            <w:r>
              <w:rPr>
                <w:b/>
                <w:i w:val="0"/>
                <w:sz w:val="18"/>
              </w:rPr>
              <w:t>Key construct</w:t>
            </w:r>
          </w:p>
        </w:tc>
        <w:tc>
          <w:tcPr>
            <w:tcW w:type="dxa" w:w="2160"/>
          </w:tcPr>
          <w:p>
            <w:r>
              <w:rPr>
                <w:b/>
                <w:sz w:val="18"/>
              </w:rPr>
            </w:r>
            <w:r>
              <w:rPr>
                <w:b/>
                <w:i w:val="0"/>
                <w:sz w:val="18"/>
              </w:rPr>
              <w:t>Test</w:t>
            </w:r>
          </w:p>
        </w:tc>
      </w:tr>
      <w:tr>
        <w:tc>
          <w:tcPr>
            <w:tcW w:type="dxa" w:w="2160"/>
          </w:tcPr>
          <w:p>
            <w:r>
              <w:rPr>
                <w:sz w:val="18"/>
              </w:rPr>
            </w:r>
            <w:r>
              <w:rPr>
                <w:b w:val="0"/>
                <w:i w:val="0"/>
                <w:sz w:val="18"/>
              </w:rPr>
              <w:t>P1</w:t>
            </w:r>
          </w:p>
        </w:tc>
        <w:tc>
          <w:tcPr>
            <w:tcW w:type="dxa" w:w="2160"/>
          </w:tcPr>
          <w:p>
            <w:r>
              <w:rPr>
                <w:sz w:val="18"/>
              </w:rPr>
            </w:r>
            <w:r>
              <w:rPr>
                <w:b w:val="0"/>
                <w:i w:val="0"/>
                <w:sz w:val="18"/>
              </w:rPr>
              <w:t>Episodic triggers, transfer overshoots</w:t>
            </w:r>
          </w:p>
        </w:tc>
        <w:tc>
          <w:tcPr>
            <w:tcW w:type="dxa" w:w="2160"/>
          </w:tcPr>
          <w:p>
            <w:r>
              <w:rPr>
                <w:sz w:val="18"/>
              </w:rPr>
            </w:r>
            <w:r>
              <w:rPr>
                <w:b w:val="0"/>
                <w:i w:val="0"/>
                <w:sz w:val="18"/>
              </w:rPr>
              <w:t>Agency-transfer trajectory</w:t>
            </w:r>
          </w:p>
        </w:tc>
        <w:tc>
          <w:tcPr>
            <w:tcW w:type="dxa" w:w="2160"/>
          </w:tcPr>
          <w:p>
            <w:r>
              <w:rPr>
                <w:sz w:val="18"/>
              </w:rPr>
            </w:r>
            <w:r>
              <w:rPr>
                <w:b w:val="0"/>
                <w:i w:val="0"/>
                <w:sz w:val="18"/>
              </w:rPr>
              <w:t>Study 2</w:t>
            </w:r>
          </w:p>
        </w:tc>
      </w:tr>
      <w:tr>
        <w:tc>
          <w:tcPr>
            <w:tcW w:type="dxa" w:w="2160"/>
          </w:tcPr>
          <w:p>
            <w:r>
              <w:rPr>
                <w:sz w:val="18"/>
              </w:rPr>
            </w:r>
            <w:r>
              <w:rPr>
                <w:b w:val="0"/>
                <w:i w:val="0"/>
                <w:sz w:val="18"/>
              </w:rPr>
              <w:t>P2</w:t>
            </w:r>
          </w:p>
        </w:tc>
        <w:tc>
          <w:tcPr>
            <w:tcW w:type="dxa" w:w="2160"/>
          </w:tcPr>
          <w:p>
            <w:r>
              <w:rPr>
                <w:sz w:val="18"/>
              </w:rPr>
            </w:r>
            <w:r>
              <w:rPr>
                <w:b w:val="0"/>
                <w:i w:val="0"/>
                <w:sz w:val="18"/>
              </w:rPr>
              <w:t>Transfer ratchets; no reversion on recovery</w:t>
            </w:r>
          </w:p>
        </w:tc>
        <w:tc>
          <w:tcPr>
            <w:tcW w:type="dxa" w:w="2160"/>
          </w:tcPr>
          <w:p>
            <w:r>
              <w:rPr>
                <w:sz w:val="18"/>
              </w:rPr>
            </w:r>
            <w:r>
              <w:rPr>
                <w:b w:val="0"/>
                <w:i w:val="0"/>
                <w:sz w:val="18"/>
              </w:rPr>
              <w:t>Ratchet</w:t>
            </w:r>
          </w:p>
        </w:tc>
        <w:tc>
          <w:tcPr>
            <w:tcW w:type="dxa" w:w="2160"/>
          </w:tcPr>
          <w:p>
            <w:r>
              <w:rPr>
                <w:sz w:val="18"/>
              </w:rPr>
            </w:r>
            <w:r>
              <w:rPr>
                <w:b w:val="0"/>
                <w:i w:val="0"/>
                <w:sz w:val="18"/>
              </w:rPr>
              <w:t>Study 2</w:t>
            </w:r>
          </w:p>
        </w:tc>
      </w:tr>
      <w:tr>
        <w:tc>
          <w:tcPr>
            <w:tcW w:type="dxa" w:w="2160"/>
          </w:tcPr>
          <w:p>
            <w:r>
              <w:rPr>
                <w:sz w:val="18"/>
              </w:rPr>
            </w:r>
            <w:r>
              <w:rPr>
                <w:b w:val="0"/>
                <w:i w:val="0"/>
                <w:sz w:val="18"/>
              </w:rPr>
              <w:t>P3</w:t>
            </w:r>
          </w:p>
        </w:tc>
        <w:tc>
          <w:tcPr>
            <w:tcW w:type="dxa" w:w="2160"/>
          </w:tcPr>
          <w:p>
            <w:r>
              <w:rPr>
                <w:sz w:val="18"/>
              </w:rPr>
            </w:r>
            <w:r>
              <w:rPr>
                <w:b w:val="0"/>
                <w:i w:val="0"/>
                <w:sz w:val="18"/>
              </w:rPr>
              <w:t>Accounts transferred predict non-reversion</w:t>
            </w:r>
          </w:p>
        </w:tc>
        <w:tc>
          <w:tcPr>
            <w:tcW w:type="dxa" w:w="2160"/>
          </w:tcPr>
          <w:p>
            <w:r>
              <w:rPr>
                <w:sz w:val="18"/>
              </w:rPr>
            </w:r>
            <w:r>
              <w:rPr>
                <w:b w:val="0"/>
                <w:i w:val="0"/>
                <w:sz w:val="18"/>
              </w:rPr>
              <w:t>Infrastructural agency capture</w:t>
            </w:r>
          </w:p>
        </w:tc>
        <w:tc>
          <w:tcPr>
            <w:tcW w:type="dxa" w:w="2160"/>
          </w:tcPr>
          <w:p>
            <w:r>
              <w:rPr>
                <w:sz w:val="18"/>
              </w:rPr>
            </w:r>
            <w:r>
              <w:rPr>
                <w:b w:val="0"/>
                <w:i w:val="0"/>
                <w:sz w:val="18"/>
              </w:rPr>
              <w:t>Study 2</w:t>
            </w:r>
          </w:p>
        </w:tc>
      </w:tr>
      <w:tr>
        <w:tc>
          <w:tcPr>
            <w:tcW w:type="dxa" w:w="2160"/>
          </w:tcPr>
          <w:p>
            <w:r>
              <w:rPr>
                <w:sz w:val="18"/>
              </w:rPr>
            </w:r>
            <w:r>
              <w:rPr>
                <w:b w:val="0"/>
                <w:i w:val="0"/>
                <w:sz w:val="18"/>
              </w:rPr>
              <w:t>P4</w:t>
            </w:r>
          </w:p>
        </w:tc>
        <w:tc>
          <w:tcPr>
            <w:tcW w:type="dxa" w:w="2160"/>
          </w:tcPr>
          <w:p>
            <w:r>
              <w:rPr>
                <w:sz w:val="18"/>
              </w:rPr>
            </w:r>
            <w:r>
              <w:rPr>
                <w:b w:val="0"/>
                <w:i w:val="0"/>
                <w:sz w:val="18"/>
              </w:rPr>
              <w:t>Over-weight harm avoidance, under-weight hedonic/identity</w:t>
            </w:r>
          </w:p>
        </w:tc>
        <w:tc>
          <w:tcPr>
            <w:tcW w:type="dxa" w:w="2160"/>
          </w:tcPr>
          <w:p>
            <w:r>
              <w:rPr>
                <w:sz w:val="18"/>
              </w:rPr>
            </w:r>
            <w:r>
              <w:rPr>
                <w:b w:val="0"/>
                <w:i w:val="0"/>
                <w:sz w:val="18"/>
              </w:rPr>
              <w:t>Defensive choice</w:t>
            </w:r>
          </w:p>
        </w:tc>
        <w:tc>
          <w:tcPr>
            <w:tcW w:type="dxa" w:w="2160"/>
          </w:tcPr>
          <w:p>
            <w:r>
              <w:rPr>
                <w:sz w:val="18"/>
              </w:rPr>
            </w:r>
            <w:r>
              <w:rPr>
                <w:b w:val="0"/>
                <w:i w:val="0"/>
                <w:sz w:val="18"/>
              </w:rPr>
              <w:t>Studies 1, 3a, 5</w:t>
            </w:r>
          </w:p>
        </w:tc>
      </w:tr>
      <w:tr>
        <w:tc>
          <w:tcPr>
            <w:tcW w:type="dxa" w:w="2160"/>
          </w:tcPr>
          <w:p>
            <w:r>
              <w:rPr>
                <w:sz w:val="18"/>
              </w:rPr>
            </w:r>
            <w:r>
              <w:rPr>
                <w:b w:val="0"/>
                <w:i w:val="0"/>
                <w:sz w:val="18"/>
              </w:rPr>
              <w:t>P5</w:t>
            </w:r>
          </w:p>
        </w:tc>
        <w:tc>
          <w:tcPr>
            <w:tcW w:type="dxa" w:w="2160"/>
          </w:tcPr>
          <w:p>
            <w:r>
              <w:rPr>
                <w:sz w:val="18"/>
              </w:rPr>
            </w:r>
            <w:r>
              <w:rPr>
                <w:b w:val="0"/>
                <w:i w:val="0"/>
                <w:sz w:val="18"/>
              </w:rPr>
              <w:t>Distortion rises with justification demand and with POA</w:t>
            </w:r>
          </w:p>
        </w:tc>
        <w:tc>
          <w:tcPr>
            <w:tcW w:type="dxa" w:w="2160"/>
          </w:tcPr>
          <w:p>
            <w:r>
              <w:rPr>
                <w:sz w:val="18"/>
              </w:rPr>
            </w:r>
            <w:r>
              <w:rPr>
                <w:b w:val="0"/>
                <w:i w:val="0"/>
                <w:sz w:val="18"/>
              </w:rPr>
              <w:t>Legibility demand</w:t>
            </w:r>
          </w:p>
        </w:tc>
        <w:tc>
          <w:tcPr>
            <w:tcW w:type="dxa" w:w="2160"/>
          </w:tcPr>
          <w:p>
            <w:r>
              <w:rPr>
                <w:sz w:val="18"/>
              </w:rPr>
            </w:r>
            <w:r>
              <w:rPr>
                <w:b w:val="0"/>
                <w:i w:val="0"/>
                <w:sz w:val="18"/>
              </w:rPr>
              <w:t>Study 3a, 3b</w:t>
            </w:r>
          </w:p>
        </w:tc>
      </w:tr>
      <w:tr>
        <w:tc>
          <w:tcPr>
            <w:tcW w:type="dxa" w:w="2160"/>
          </w:tcPr>
          <w:p>
            <w:r>
              <w:rPr>
                <w:sz w:val="18"/>
              </w:rPr>
            </w:r>
            <w:r>
              <w:rPr>
                <w:b w:val="0"/>
                <w:i w:val="0"/>
                <w:sz w:val="18"/>
              </w:rPr>
              <w:t>P6</w:t>
            </w:r>
          </w:p>
        </w:tc>
        <w:tc>
          <w:tcPr>
            <w:tcW w:type="dxa" w:w="2160"/>
          </w:tcPr>
          <w:p>
            <w:r>
              <w:rPr>
                <w:sz w:val="18"/>
              </w:rPr>
            </w:r>
            <w:r>
              <w:rPr>
                <w:b w:val="0"/>
                <w:i w:val="0"/>
                <w:sz w:val="18"/>
              </w:rPr>
              <w:t>Guilt raises spend, lowers fidelity</w:t>
            </w:r>
          </w:p>
        </w:tc>
        <w:tc>
          <w:tcPr>
            <w:tcW w:type="dxa" w:w="2160"/>
          </w:tcPr>
          <w:p>
            <w:r>
              <w:rPr>
                <w:sz w:val="18"/>
              </w:rPr>
            </w:r>
            <w:r>
              <w:rPr>
                <w:b w:val="0"/>
                <w:i w:val="0"/>
                <w:sz w:val="18"/>
              </w:rPr>
              <w:t>Material substitution</w:t>
            </w:r>
          </w:p>
        </w:tc>
        <w:tc>
          <w:tcPr>
            <w:tcW w:type="dxa" w:w="2160"/>
          </w:tcPr>
          <w:p>
            <w:r>
              <w:rPr>
                <w:sz w:val="18"/>
              </w:rPr>
            </w:r>
            <w:r>
              <w:rPr>
                <w:b w:val="0"/>
                <w:i w:val="0"/>
                <w:sz w:val="18"/>
              </w:rPr>
              <w:t>Study 3c</w:t>
            </w:r>
          </w:p>
        </w:tc>
      </w:tr>
      <w:tr>
        <w:tc>
          <w:tcPr>
            <w:tcW w:type="dxa" w:w="2160"/>
          </w:tcPr>
          <w:p>
            <w:r>
              <w:rPr>
                <w:sz w:val="18"/>
              </w:rPr>
            </w:r>
            <w:r>
              <w:rPr>
                <w:b w:val="0"/>
                <w:i w:val="0"/>
                <w:sz w:val="18"/>
              </w:rPr>
              <w:t>P7</w:t>
            </w:r>
          </w:p>
        </w:tc>
        <w:tc>
          <w:tcPr>
            <w:tcW w:type="dxa" w:w="2160"/>
          </w:tcPr>
          <w:p>
            <w:r>
              <w:rPr>
                <w:sz w:val="18"/>
              </w:rPr>
            </w:r>
            <w:r>
              <w:rPr>
                <w:b w:val="0"/>
                <w:i w:val="0"/>
                <w:sz w:val="18"/>
              </w:rPr>
              <w:t>Inheritance salience suppresses pleasure, not safety</w:t>
            </w:r>
          </w:p>
        </w:tc>
        <w:tc>
          <w:tcPr>
            <w:tcW w:type="dxa" w:w="2160"/>
          </w:tcPr>
          <w:p>
            <w:r>
              <w:rPr>
                <w:sz w:val="18"/>
              </w:rPr>
            </w:r>
            <w:r>
              <w:rPr>
                <w:b w:val="0"/>
                <w:i w:val="0"/>
                <w:sz w:val="18"/>
              </w:rPr>
              <w:t>Anticipatory ownership</w:t>
            </w:r>
          </w:p>
        </w:tc>
        <w:tc>
          <w:tcPr>
            <w:tcW w:type="dxa" w:w="2160"/>
          </w:tcPr>
          <w:p>
            <w:r>
              <w:rPr>
                <w:sz w:val="18"/>
              </w:rPr>
            </w:r>
            <w:r>
              <w:rPr>
                <w:b w:val="0"/>
                <w:i w:val="0"/>
                <w:sz w:val="18"/>
              </w:rPr>
              <w:t>Study 3d</w:t>
            </w:r>
          </w:p>
        </w:tc>
      </w:tr>
      <w:tr>
        <w:tc>
          <w:tcPr>
            <w:tcW w:type="dxa" w:w="2160"/>
          </w:tcPr>
          <w:p>
            <w:r>
              <w:rPr>
                <w:sz w:val="18"/>
              </w:rPr>
            </w:r>
            <w:r>
              <w:rPr>
                <w:b w:val="0"/>
                <w:i w:val="0"/>
                <w:sz w:val="18"/>
              </w:rPr>
              <w:t>P8</w:t>
            </w:r>
          </w:p>
        </w:tc>
        <w:tc>
          <w:tcPr>
            <w:tcW w:type="dxa" w:w="2160"/>
          </w:tcPr>
          <w:p>
            <w:r>
              <w:rPr>
                <w:sz w:val="18"/>
              </w:rPr>
            </w:r>
            <w:r>
              <w:rPr>
                <w:b w:val="0"/>
                <w:i w:val="0"/>
                <w:sz w:val="18"/>
              </w:rPr>
              <w:t>Estimation accuracy exceeds enactment fidelity</w:t>
            </w:r>
          </w:p>
        </w:tc>
        <w:tc>
          <w:tcPr>
            <w:tcW w:type="dxa" w:w="2160"/>
          </w:tcPr>
          <w:p>
            <w:r>
              <w:rPr>
                <w:sz w:val="18"/>
              </w:rPr>
            </w:r>
            <w:r>
              <w:rPr>
                <w:b w:val="0"/>
                <w:i w:val="0"/>
                <w:sz w:val="18"/>
              </w:rPr>
              <w:t>Estimation–enactment gap</w:t>
            </w:r>
          </w:p>
        </w:tc>
        <w:tc>
          <w:tcPr>
            <w:tcW w:type="dxa" w:w="2160"/>
          </w:tcPr>
          <w:p>
            <w:r>
              <w:rPr>
                <w:sz w:val="18"/>
              </w:rPr>
            </w:r>
            <w:r>
              <w:rPr>
                <w:b w:val="0"/>
                <w:i w:val="0"/>
                <w:sz w:val="18"/>
              </w:rPr>
              <w:t>Study 1</w:t>
            </w:r>
          </w:p>
        </w:tc>
      </w:tr>
      <w:tr>
        <w:tc>
          <w:tcPr>
            <w:tcW w:type="dxa" w:w="2160"/>
          </w:tcPr>
          <w:p>
            <w:r>
              <w:rPr>
                <w:sz w:val="18"/>
              </w:rPr>
            </w:r>
            <w:r>
              <w:rPr>
                <w:b w:val="0"/>
                <w:i w:val="0"/>
                <w:sz w:val="18"/>
              </w:rPr>
              <w:t>P9</w:t>
            </w:r>
          </w:p>
        </w:tc>
        <w:tc>
          <w:tcPr>
            <w:tcW w:type="dxa" w:w="2160"/>
          </w:tcPr>
          <w:p>
            <w:r>
              <w:rPr>
                <w:sz w:val="18"/>
              </w:rPr>
            </w:r>
            <w:r>
              <w:rPr>
                <w:b w:val="0"/>
                <w:i w:val="0"/>
                <w:sz w:val="18"/>
              </w:rPr>
              <w:t>Information interventions null; accountability works</w:t>
            </w:r>
          </w:p>
        </w:tc>
        <w:tc>
          <w:tcPr>
            <w:tcW w:type="dxa" w:w="2160"/>
          </w:tcPr>
          <w:p>
            <w:r>
              <w:rPr>
                <w:sz w:val="18"/>
              </w:rPr>
            </w:r>
            <w:r>
              <w:rPr>
                <w:b w:val="0"/>
                <w:i w:val="0"/>
                <w:sz w:val="18"/>
              </w:rPr>
              <w:t>—</w:t>
            </w:r>
          </w:p>
        </w:tc>
        <w:tc>
          <w:tcPr>
            <w:tcW w:type="dxa" w:w="2160"/>
          </w:tcPr>
          <w:p>
            <w:r>
              <w:rPr>
                <w:sz w:val="18"/>
              </w:rPr>
            </w:r>
            <w:r>
              <w:rPr>
                <w:b w:val="0"/>
                <w:i w:val="0"/>
                <w:sz w:val="18"/>
              </w:rPr>
              <w:t>Study 4</w:t>
            </w:r>
          </w:p>
        </w:tc>
      </w:tr>
      <w:tr>
        <w:tc>
          <w:tcPr>
            <w:tcW w:type="dxa" w:w="2160"/>
          </w:tcPr>
          <w:p>
            <w:r>
              <w:rPr>
                <w:sz w:val="18"/>
              </w:rPr>
            </w:r>
            <w:r>
              <w:rPr>
                <w:b w:val="0"/>
                <w:i w:val="0"/>
                <w:sz w:val="18"/>
              </w:rPr>
              <w:t>P10</w:t>
            </w:r>
          </w:p>
        </w:tc>
        <w:tc>
          <w:tcPr>
            <w:tcW w:type="dxa" w:w="2160"/>
          </w:tcPr>
          <w:p>
            <w:r>
              <w:rPr>
                <w:sz w:val="18"/>
              </w:rPr>
            </w:r>
            <w:r>
              <w:rPr>
                <w:b w:val="0"/>
                <w:i w:val="0"/>
                <w:sz w:val="18"/>
              </w:rPr>
              <w:t>Firm feedback measures proxy, not principal</w:t>
            </w:r>
          </w:p>
        </w:tc>
        <w:tc>
          <w:tcPr>
            <w:tcW w:type="dxa" w:w="2160"/>
          </w:tcPr>
          <w:p>
            <w:r>
              <w:rPr>
                <w:sz w:val="18"/>
              </w:rPr>
            </w:r>
            <w:r>
              <w:rPr>
                <w:b w:val="0"/>
                <w:i w:val="0"/>
                <w:sz w:val="18"/>
              </w:rPr>
              <w:t>Feedback misdirection</w:t>
            </w:r>
          </w:p>
        </w:tc>
        <w:tc>
          <w:tcPr>
            <w:tcW w:type="dxa" w:w="2160"/>
          </w:tcPr>
          <w:p>
            <w:r>
              <w:rPr>
                <w:sz w:val="18"/>
              </w:rPr>
            </w:r>
            <w:r>
              <w:rPr>
                <w:b w:val="0"/>
                <w:i w:val="0"/>
                <w:sz w:val="18"/>
              </w:rPr>
              <w:t>Studies 4, 5</w:t>
            </w:r>
          </w:p>
        </w:tc>
      </w:tr>
      <w:tr>
        <w:tc>
          <w:tcPr>
            <w:tcW w:type="dxa" w:w="2160"/>
          </w:tcPr>
          <w:p>
            <w:r>
              <w:rPr>
                <w:sz w:val="18"/>
              </w:rPr>
            </w:r>
            <w:r>
              <w:rPr>
                <w:b w:val="0"/>
                <w:i w:val="0"/>
                <w:sz w:val="18"/>
              </w:rPr>
              <w:t>P11</w:t>
            </w:r>
          </w:p>
        </w:tc>
        <w:tc>
          <w:tcPr>
            <w:tcW w:type="dxa" w:w="2160"/>
          </w:tcPr>
          <w:p>
            <w:r>
              <w:rPr>
                <w:sz w:val="18"/>
              </w:rPr>
            </w:r>
            <w:r>
              <w:rPr>
                <w:b w:val="0"/>
                <w:i w:val="0"/>
                <w:sz w:val="18"/>
              </w:rPr>
              <w:t>Category fidelity falls as proxy-mediation share rises</w:t>
            </w:r>
          </w:p>
        </w:tc>
        <w:tc>
          <w:tcPr>
            <w:tcW w:type="dxa" w:w="2160"/>
          </w:tcPr>
          <w:p>
            <w:r>
              <w:rPr>
                <w:sz w:val="18"/>
              </w:rPr>
            </w:r>
            <w:r>
              <w:rPr>
                <w:b w:val="0"/>
                <w:i w:val="0"/>
                <w:sz w:val="18"/>
              </w:rPr>
              <w:t>Proxy capture</w:t>
            </w:r>
          </w:p>
        </w:tc>
        <w:tc>
          <w:tcPr>
            <w:tcW w:type="dxa" w:w="2160"/>
          </w:tcPr>
          <w:p>
            <w:r>
              <w:rPr>
                <w:sz w:val="18"/>
              </w:rPr>
            </w:r>
            <w:r>
              <w:rPr>
                <w:b w:val="0"/>
                <w:i w:val="0"/>
                <w:sz w:val="18"/>
              </w:rPr>
              <w:t>Study 5</w:t>
            </w:r>
          </w:p>
        </w:tc>
      </w:tr>
      <w:tr>
        <w:tc>
          <w:tcPr>
            <w:tcW w:type="dxa" w:w="2160"/>
          </w:tcPr>
          <w:p>
            <w:r>
              <w:rPr>
                <w:sz w:val="18"/>
              </w:rPr>
            </w:r>
            <w:r>
              <w:rPr>
                <w:b w:val="0"/>
                <w:i w:val="0"/>
                <w:sz w:val="18"/>
              </w:rPr>
              <w:t>P12</w:t>
            </w:r>
          </w:p>
        </w:tc>
        <w:tc>
          <w:tcPr>
            <w:tcW w:type="dxa" w:w="2160"/>
          </w:tcPr>
          <w:p>
            <w:r>
              <w:rPr>
                <w:sz w:val="18"/>
              </w:rPr>
            </w:r>
            <w:r>
              <w:rPr>
                <w:b w:val="0"/>
                <w:i w:val="0"/>
                <w:sz w:val="18"/>
              </w:rPr>
              <w:t>Remedies work without reducing proxy satisfaction</w:t>
            </w:r>
          </w:p>
        </w:tc>
        <w:tc>
          <w:tcPr>
            <w:tcW w:type="dxa" w:w="2160"/>
          </w:tcPr>
          <w:p>
            <w:r>
              <w:rPr>
                <w:sz w:val="18"/>
              </w:rPr>
            </w:r>
            <w:r>
              <w:rPr>
                <w:b w:val="0"/>
                <w:i w:val="0"/>
                <w:sz w:val="18"/>
              </w:rPr>
              <w:t>Satisfaction–fidelity divergence</w:t>
            </w:r>
          </w:p>
        </w:tc>
        <w:tc>
          <w:tcPr>
            <w:tcW w:type="dxa" w:w="2160"/>
          </w:tcPr>
          <w:p>
            <w:r>
              <w:rPr>
                <w:sz w:val="18"/>
              </w:rPr>
            </w:r>
            <w:r>
              <w:rPr>
                <w:b w:val="0"/>
                <w:i w:val="0"/>
                <w:sz w:val="18"/>
              </w:rPr>
              <w:t>Study 4</w:t>
            </w:r>
          </w:p>
        </w:tc>
      </w:tr>
    </w:tbl>
    <w:p/>
    <w:p>
      <w:pPr>
        <w:pStyle w:val="Heading2"/>
      </w:pPr>
      <w:r>
        <w:rPr>
          <w:b w:val="0"/>
          <w:i w:val="0"/>
          <w:color w:val="1A1A1A"/>
        </w:rPr>
        <w:t>Figure 1 specification</w:t>
      </w:r>
    </w:p>
    <w:p>
      <w:r>
        <w:rPr>
          <w:b w:val="0"/>
          <w:i w:val="0"/>
        </w:rPr>
        <w:t xml:space="preserve">Three horizontal bands. </w:t>
      </w:r>
      <w:r>
        <w:rPr>
          <w:b/>
          <w:i w:val="0"/>
        </w:rPr>
        <w:t>Band 1 (Trigger and transfer):</w:t>
      </w:r>
      <w:r>
        <w:rPr>
          <w:b w:val="0"/>
          <w:i w:val="0"/>
        </w:rPr>
        <w:t xml:space="preserve"> capacity decline → capacity signal → transfer → trajectory position, with moderators (sibling structure, formalization, co-residence, filial norms) entering from below. </w:t>
      </w:r>
      <w:r>
        <w:rPr>
          <w:b/>
          <w:i w:val="0"/>
        </w:rPr>
        <w:t>Band 2 (Distortion):</w:t>
      </w:r>
      <w:r>
        <w:rPr>
          <w:b w:val="0"/>
          <w:i w:val="0"/>
        </w:rPr>
        <w:t xml:space="preserve"> trajectory position → four mechanism boxes in parallel (accountability asymmetry; legibility demand; construal distance; proxy interest: convenience and anticipatory ownership) → compositional distortion → three outcomes (preference fidelity ↓; principal well-being ↓; proxy satisfaction ↑). </w:t>
      </w:r>
      <w:r>
        <w:rPr>
          <w:b/>
          <w:i w:val="0"/>
        </w:rPr>
        <w:t>Band 3 (Market response):</w:t>
      </w:r>
      <w:r>
        <w:rPr>
          <w:b w:val="0"/>
          <w:i w:val="0"/>
        </w:rPr>
        <w:t xml:space="preserve"> proxy-sourced feedback → firm learning → offering attribute shift → category fidelity ↓. </w:t>
      </w:r>
      <w:r>
        <w:rPr>
          <w:b/>
          <w:i w:val="0"/>
        </w:rPr>
        <w:t>Bold amplification loop</w:t>
      </w:r>
      <w:r>
        <w:rPr>
          <w:b w:val="0"/>
          <w:i w:val="0"/>
        </w:rPr>
        <w:t xml:space="preserve"> from Band 3 back to Bands 1 and 2. </w:t>
      </w:r>
      <w:r>
        <w:rPr>
          <w:b/>
          <w:i w:val="0"/>
        </w:rPr>
        <w:t>Dashed remedy paths:</w:t>
      </w:r>
      <w:r>
        <w:rPr>
          <w:b w:val="0"/>
          <w:i w:val="0"/>
        </w:rPr>
        <w:t xml:space="preserve"> principal-sourced measurement into Band 3; graduated authority architecture into Band 1.</w:t>
      </w:r>
    </w:p>
    <w:p>
      <w:pPr>
        <w:pStyle w:val="Heading2"/>
      </w:pPr>
      <w:r>
        <w:rPr>
          <w:b w:val="0"/>
          <w:i w:val="0"/>
          <w:color w:val="1A1A1A"/>
        </w:rPr>
        <w:t>Reference anchors</w:t>
      </w:r>
    </w:p>
    <w:p>
      <w:r>
        <w:rPr>
          <w:b w:val="0"/>
          <w:i w:val="0"/>
        </w:rPr>
        <w:t>Verified during preparation. Items marked ⚠ require independent bibliographic confirmation before submission.</w:t>
      </w:r>
    </w:p>
    <w:p>
      <w:pPr>
        <w:pStyle w:val="ListBullet"/>
      </w:pPr>
      <w:r>
        <w:rPr>
          <w:b w:val="0"/>
          <w:i w:val="0"/>
        </w:rPr>
        <w:t xml:space="preserve">Baker, Stacey Menzel, James W. Gentry, and Terri L. Rittenburg (2005). </w:t>
      </w:r>
      <w:r>
        <w:rPr>
          <w:b w:val="0"/>
          <w:i/>
        </w:rPr>
        <w:t>Journal of Macromarketing</w:t>
      </w:r>
      <w:r>
        <w:rPr>
          <w:b w:val="0"/>
          <w:i w:val="0"/>
        </w:rPr>
        <w:t>, 25(2). ⚠ confirm exact title and pages.</w:t>
      </w:r>
    </w:p>
    <w:p>
      <w:pPr>
        <w:pStyle w:val="ListBullet"/>
      </w:pPr>
      <w:r>
        <w:rPr>
          <w:b w:val="0"/>
          <w:i w:val="0"/>
        </w:rPr>
        <w:t xml:space="preserve">Barnhart, Michelle, and Lisa Peñaloza (2009). "Negotiating Agency in the Elderly Consumption Ensemble." </w:t>
      </w:r>
      <w:r>
        <w:rPr>
          <w:b w:val="0"/>
          <w:i/>
        </w:rPr>
        <w:t>Advances in Consumer Research</w:t>
      </w:r>
      <w:r>
        <w:rPr>
          <w:b w:val="0"/>
          <w:i w:val="0"/>
        </w:rPr>
        <w:t>, 36, 53–55.</w:t>
      </w:r>
    </w:p>
    <w:p>
      <w:pPr>
        <w:pStyle w:val="ListBullet"/>
      </w:pPr>
      <w:r>
        <w:rPr>
          <w:b w:val="0"/>
          <w:i w:val="0"/>
        </w:rPr>
        <w:t xml:space="preserve">Barnhart, Michelle, and Lisa Peñaloza (2013). "Who Are You Calling Old? Negotiating Old Age Identity in the Elderly Consumption Ensemble." </w:t>
      </w:r>
      <w:r>
        <w:rPr>
          <w:b w:val="0"/>
          <w:i/>
        </w:rPr>
        <w:t>Journal of Consumer Research</w:t>
      </w:r>
      <w:r>
        <w:rPr>
          <w:b w:val="0"/>
          <w:i w:val="0"/>
        </w:rPr>
        <w:t>, 39(6), 1133–1153.</w:t>
      </w:r>
    </w:p>
    <w:p>
      <w:pPr>
        <w:pStyle w:val="ListBullet"/>
      </w:pPr>
      <w:r>
        <w:rPr>
          <w:b w:val="0"/>
          <w:i w:val="0"/>
        </w:rPr>
        <w:t xml:space="preserve">Epp, Amber M., and Linda L. Price (2008). "Family Identity: A Framework of Identity Interplay in Consumption Practices." </w:t>
      </w:r>
      <w:r>
        <w:rPr>
          <w:b w:val="0"/>
          <w:i/>
        </w:rPr>
        <w:t>Journal of Consumer Research</w:t>
      </w:r>
      <w:r>
        <w:rPr>
          <w:b w:val="0"/>
          <w:i w:val="0"/>
        </w:rPr>
        <w:t>, 35(1).</w:t>
      </w:r>
    </w:p>
    <w:p>
      <w:pPr>
        <w:pStyle w:val="ListBullet"/>
      </w:pPr>
      <w:r>
        <w:rPr>
          <w:b w:val="0"/>
          <w:i w:val="0"/>
        </w:rPr>
        <w:t xml:space="preserve">Epp, Amber M., and Linda L. Price (2011). "Designing Solutions around Customer Network Identity Goals." </w:t>
      </w:r>
      <w:r>
        <w:rPr>
          <w:b w:val="0"/>
          <w:i/>
        </w:rPr>
        <w:t>Journal of Marketing</w:t>
      </w:r>
      <w:r>
        <w:rPr>
          <w:b w:val="0"/>
          <w:i w:val="0"/>
        </w:rPr>
        <w:t>, 75(2), 36–54.</w:t>
      </w:r>
    </w:p>
    <w:p>
      <w:pPr>
        <w:pStyle w:val="ListBullet"/>
      </w:pPr>
      <w:r>
        <w:rPr>
          <w:b w:val="0"/>
          <w:i w:val="0"/>
        </w:rPr>
        <w:t xml:space="preserve">Hill, Ronald Paul, and Eesha Sharma (2020). "Consumer Vulnerability." </w:t>
      </w:r>
      <w:r>
        <w:rPr>
          <w:b w:val="0"/>
          <w:i/>
        </w:rPr>
        <w:t>Journal of Consumer Psychology</w:t>
      </w:r>
      <w:r>
        <w:rPr>
          <w:b w:val="0"/>
          <w:i w:val="0"/>
        </w:rPr>
        <w:t>. ⚠ confirm volume and pages.</w:t>
      </w:r>
    </w:p>
    <w:p>
      <w:pPr>
        <w:pStyle w:val="ListBullet"/>
      </w:pPr>
      <w:r>
        <w:rPr>
          <w:b w:val="0"/>
          <w:i w:val="0"/>
        </w:rPr>
        <w:t xml:space="preserve">Shalowitz, David I., Elizabeth Garrett-Mayer, and David Wendler (2006). "The Accuracy of Surrogate Decision Makers: A Systematic Review." </w:t>
      </w:r>
      <w:r>
        <w:rPr>
          <w:b w:val="0"/>
          <w:i/>
        </w:rPr>
        <w:t>Archives of Internal Medicine</w:t>
      </w:r>
      <w:r>
        <w:rPr>
          <w:b w:val="0"/>
          <w:i w:val="0"/>
        </w:rPr>
        <w:t>, 166(5), 493–497.</w:t>
      </w:r>
    </w:p>
    <w:p>
      <w:pPr>
        <w:pStyle w:val="ListBullet"/>
      </w:pPr>
      <w:r>
        <w:rPr>
          <w:b w:val="0"/>
          <w:i w:val="0"/>
        </w:rPr>
        <w:t xml:space="preserve">Solomon, Michael R. (1986). "The Missing Link: Surrogate Consumers in the Marketing Chain." </w:t>
      </w:r>
      <w:r>
        <w:rPr>
          <w:b w:val="0"/>
          <w:i/>
        </w:rPr>
        <w:t>Journal of Marketing</w:t>
      </w:r>
      <w:r>
        <w:rPr>
          <w:b w:val="0"/>
          <w:i w:val="0"/>
        </w:rPr>
        <w:t>, 50(4), 208–218.</w:t>
      </w:r>
    </w:p>
    <w:p>
      <w:pPr>
        <w:pStyle w:val="ListBullet"/>
      </w:pPr>
      <w:r>
        <w:rPr>
          <w:b w:val="0"/>
          <w:i w:val="0"/>
        </w:rPr>
        <w:t xml:space="preserve">Tunney, Richard J., and Fenja V. Ziegler (2015a). "Toward a Psychology of Surrogate Decision Making." </w:t>
      </w:r>
      <w:r>
        <w:rPr>
          <w:b w:val="0"/>
          <w:i/>
        </w:rPr>
        <w:t>Perspectives on Psychological Science</w:t>
      </w:r>
      <w:r>
        <w:rPr>
          <w:b w:val="0"/>
          <w:i w:val="0"/>
        </w:rPr>
        <w:t>, 10(6), 880–885.</w:t>
      </w:r>
    </w:p>
    <w:p>
      <w:pPr>
        <w:pStyle w:val="ListBullet"/>
      </w:pPr>
      <w:r>
        <w:rPr>
          <w:b w:val="0"/>
          <w:i w:val="0"/>
        </w:rPr>
        <w:t xml:space="preserve">Tunney, Richard J., and Fenja V. Ziegler (2015b). "Surrogate Utility Estimation by Long-Term Partners and Unfamiliar Dyads." </w:t>
      </w:r>
      <w:r>
        <w:rPr>
          <w:b w:val="0"/>
          <w:i/>
        </w:rPr>
        <w:t>Frontiers in Psychology</w:t>
      </w:r>
      <w:r>
        <w:rPr>
          <w:b w:val="0"/>
          <w:i w:val="0"/>
        </w:rPr>
        <w:t>, 6:315.</w:t>
      </w:r>
    </w:p>
    <w:p>
      <w:pPr>
        <w:pStyle w:val="ListBullet"/>
      </w:pPr>
      <w:r>
        <w:rPr>
          <w:b w:val="0"/>
          <w:i w:val="0"/>
        </w:rPr>
        <w:t xml:space="preserve">⚠ "Shopping with Other People's Money: The Marketing Management Implications of Surrogate-Mediated Consumer Decision Making." DOI indicates </w:t>
      </w:r>
      <w:r>
        <w:rPr>
          <w:b w:val="0"/>
          <w:i/>
        </w:rPr>
        <w:t>Journal of Marketing</w:t>
      </w:r>
      <w:r>
        <w:rPr>
          <w:b w:val="0"/>
          <w:i w:val="0"/>
        </w:rPr>
        <w:t xml:space="preserve">, 63(2), 1999. </w:t>
      </w:r>
      <w:r>
        <w:rPr>
          <w:b/>
          <w:i w:val="0"/>
        </w:rPr>
        <w:t>Author string not verified.</w:t>
      </w:r>
    </w:p>
    <w:p>
      <w:pPr>
        <w:pStyle w:val="ListBullet"/>
      </w:pPr>
      <w:r>
        <w:rPr>
          <w:b w:val="0"/>
          <w:i w:val="0"/>
        </w:rPr>
        <w:t xml:space="preserve">⚠ Consumer vulnerability dynamics framework, </w:t>
      </w:r>
      <w:r>
        <w:rPr>
          <w:b w:val="0"/>
          <w:i/>
        </w:rPr>
        <w:t>Journal of the Academy of Marketing Science</w:t>
      </w:r>
      <w:r>
        <w:rPr>
          <w:b w:val="0"/>
          <w:i w:val="0"/>
        </w:rPr>
        <w:t xml:space="preserve"> (2024), doi:10.1007/s11747-024-01039-4. Confirm authors.</w:t>
      </w:r>
    </w:p>
    <w:p>
      <w:pPr>
        <w:pStyle w:val="ListBullet"/>
      </w:pPr>
      <w:r>
        <w:rPr>
          <w:b w:val="0"/>
          <w:i/>
        </w:rPr>
        <w:t>Journal of Marketing Management</w:t>
      </w:r>
      <w:r>
        <w:rPr>
          <w:b w:val="0"/>
          <w:i w:val="0"/>
        </w:rPr>
        <w:t xml:space="preserve"> (2014) carries two directly adjacent papers, on tensions in family decision-making among adult children caring for ageing parents, and on including and excluding paid caregivers in performances of family. Both should be cited.</w:t>
      </w:r>
    </w:p>
    <w:p>
      <w:r>
        <w:rPr>
          <w:b/>
          <w:i w:val="0"/>
        </w:rPr>
        <w:t>Still to retrieve before submission:</w:t>
      </w:r>
      <w:r>
        <w:rPr>
          <w:b w:val="0"/>
          <w:i w:val="0"/>
        </w:rPr>
        <w:t xml:space="preserve"> Pierce, Kostova and Dirks on psychological ownership; Davis on household decision-making structures; Commuri and Gentry on household resource allocation; the transformative service research stream on caregiving; elder financial exploitation literature for the boundary discussion in §12.</w:t>
      </w:r>
    </w:p>
    <w:p>
      <w:r>
        <w:rPr>
          <w:b w:val="0"/>
          <w:i/>
        </w:rPr>
        <w:t>Prepared as a working manuscript draft. External sources consulted during preparation are paraphrased rather than quoted; content was rephrased for compliance with licensing restrictions. Citation details marked ⚠ require independent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Consumption by Proxy: Agency Transfer, Preference Fidelity, and Market Capture in Aging Households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