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jc w:val="left"/>
      </w:pPr>
      <w:r>
        <w:rPr>
          <w:b w:val="0"/>
          <w:i w:val="0"/>
          <w:color w:val="1A1A1A"/>
        </w:rPr>
        <w:t>FT50 Research Opportunity Portfolio</w:t>
      </w:r>
    </w:p>
    <w:p>
      <w:pPr>
        <w:pStyle w:val="Heading3"/>
      </w:pPr>
      <w:r>
        <w:rPr>
          <w:b w:val="0"/>
          <w:i w:val="0"/>
          <w:color w:val="1A1A1A"/>
        </w:rPr>
        <w:t>A theory-first agenda across Marketing, Consumer Psychology, SCM/Operations, OB, Strategy, and Innovation</w:t>
      </w:r>
    </w:p>
    <w:p>
      <w:r>
        <w:rPr>
          <w:b/>
          <w:i w:val="0"/>
        </w:rPr>
        <w:t>Prepared in the voice of:</w:t>
      </w:r>
      <w:r>
        <w:rPr>
          <w:b w:val="0"/>
          <w:i w:val="0"/>
        </w:rPr>
        <w:t xml:space="preserve"> an FT50 Editor-in-Chief / Associate Editor screening for </w:t>
      </w:r>
      <w:r>
        <w:rPr>
          <w:b w:val="0"/>
          <w:i/>
        </w:rPr>
        <w:t>field-changing</w:t>
      </w:r>
      <w:r>
        <w:rPr>
          <w:b w:val="0"/>
          <w:i w:val="0"/>
        </w:rPr>
        <w:t xml:space="preserve"> rather than </w:t>
      </w:r>
      <w:r>
        <w:rPr>
          <w:b w:val="0"/>
          <w:i/>
        </w:rPr>
        <w:t>merely publishable</w:t>
      </w:r>
      <w:r>
        <w:rPr>
          <w:b w:val="0"/>
          <w:i w:val="0"/>
        </w:rPr>
        <w:t xml:space="preserve"> work.</w:t>
      </w:r>
    </w:p>
    <w:p>
      <w:r>
        <w:rPr>
          <w:b/>
          <w:i w:val="0"/>
        </w:rPr>
        <w:t>Editorial stance:</w:t>
      </w:r>
      <w:r>
        <w:rPr>
          <w:b w:val="0"/>
          <w:i w:val="0"/>
        </w:rPr>
        <w:t xml:space="preserve"> The desk-reject test applied throughout is not "is this interesting?" but </w:t>
      </w:r>
      <w:r>
        <w:rPr>
          <w:b/>
          <w:i w:val="0"/>
        </w:rPr>
        <w:t>"does an existing theory make a prediction here that is demonstrably wrong?"</w:t>
      </w:r>
      <w:r>
        <w:rPr>
          <w:b w:val="0"/>
          <w:i w:val="0"/>
        </w:rPr>
        <w:t xml:space="preserve"> Every opportunity below is anchored to a </w:t>
      </w:r>
      <w:r>
        <w:rPr>
          <w:b w:val="0"/>
          <w:i/>
        </w:rPr>
        <w:t>specific theoretical anomaly</w:t>
      </w:r>
      <w:r>
        <w:rPr>
          <w:b w:val="0"/>
          <w:i w:val="0"/>
        </w:rPr>
        <w:t xml:space="preserve"> — a place where a canonical theory's scope conditions have quietly expired. Technology appears only as a </w:t>
      </w:r>
      <w:r>
        <w:rPr>
          <w:b w:val="0"/>
          <w:i/>
        </w:rPr>
        <w:t>boundary-condition shock</w:t>
      </w:r>
      <w:r>
        <w:rPr>
          <w:b w:val="0"/>
          <w:i w:val="0"/>
        </w:rPr>
        <w:t>, never as the contribution.</w:t>
      </w:r>
    </w:p>
    <w:p>
      <w:r>
        <w:rPr>
          <w:b/>
          <w:i w:val="0"/>
        </w:rPr>
        <w:t>What I deliberately excluded:</w:t>
      </w:r>
      <w:r>
        <w:rPr>
          <w:b w:val="0"/>
          <w:i w:val="0"/>
        </w:rPr>
        <w:t xml:space="preserve"> GenAI adoption/acceptance, algorithmic management of gig workers (now heavily worked — see the Academy of Management Annals "contested terrain of control" framing and the large 2021–2025 stream that followed), brand activism/woke-washing, blockchain traceability, metaverse retailing, NFT/crypto ownership, influencer marketing, TAM/UTAUT/PLS-SEM extensions, and "resilience during COVID" retrospectives. These are saturated, technology-led, or both.</w:t>
      </w:r>
    </w:p>
    <w:p>
      <w:pPr>
        <w:pStyle w:val="Heading2"/>
      </w:pPr>
      <w:r>
        <w:rPr>
          <w:b w:val="0"/>
          <w:i w:val="0"/>
          <w:color w:val="1A1A1A"/>
        </w:rPr>
        <w:t>Part I — Signals Scanned (basis for this agenda)</w:t>
      </w:r>
    </w:p>
    <w:p>
      <w:r>
        <w:rPr>
          <w:b w:val="0"/>
          <w:i w:val="0"/>
        </w:rPr>
        <w:t xml:space="preserve">Sources scanned for editorial direction, unmet calls, and low-saturation conversations. </w:t>
      </w:r>
      <w:r>
        <w:rPr>
          <w:b w:val="0"/>
          <w:i/>
        </w:rPr>
        <w:t>Content below is paraphrased and summarized for compliance with licensing restrictions.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r>
            <w:r>
              <w:rPr>
                <w:b/>
                <w:i w:val="0"/>
                <w:sz w:val="18"/>
              </w:rPr>
              <w:t>Signal</w:t>
            </w:r>
          </w:p>
        </w:tc>
        <w:tc>
          <w:tcPr>
            <w:tcW w:type="dxa" w:w="4320"/>
          </w:tcPr>
          <w:p>
            <w:r>
              <w:rPr>
                <w:b/>
                <w:sz w:val="18"/>
              </w:rPr>
            </w:r>
            <w:r>
              <w:rPr>
                <w:b/>
                <w:i w:val="0"/>
                <w:sz w:val="18"/>
              </w:rPr>
              <w:t>What it tells us</w:t>
            </w:r>
          </w:p>
        </w:tc>
      </w:tr>
      <w:tr>
        <w:tc>
          <w:tcPr>
            <w:tcW w:type="dxa" w:w="4320"/>
          </w:tcPr>
          <w:p>
            <w:r>
              <w:rPr>
                <w:sz w:val="18"/>
              </w:rPr>
            </w:r>
            <w:r>
              <w:rPr>
                <w:b w:val="0"/>
                <w:i w:val="0"/>
                <w:sz w:val="18"/>
              </w:rPr>
              <w:t>JSCM 60th-anniversary special issue call on **regeneration** (https://static1.squarespace.com/static/59c10aa8a803bb8494d84942/t/6436bee6fa57ce3f3b095956/1681309414930/JSCM+SI+CfP+on+Regeneration+for+60th+Anniversary+-+final+v2.pdf)</w:t>
            </w:r>
          </w:p>
        </w:tc>
        <w:tc>
          <w:tcPr>
            <w:tcW w:type="dxa" w:w="4320"/>
          </w:tcPr>
          <w:p>
            <w:r>
              <w:rPr>
                <w:sz w:val="18"/>
              </w:rPr>
            </w:r>
            <w:r>
              <w:rPr>
                <w:b w:val="0"/>
                <w:i w:val="0"/>
                <w:sz w:val="18"/>
              </w:rPr>
              <w:t xml:space="preserve">The premier SCM theory outlet has moved past "less harm" to </w:t>
            </w:r>
            <w:r>
              <w:rPr>
                <w:b w:val="0"/>
                <w:i/>
                <w:sz w:val="18"/>
              </w:rPr>
              <w:t>net-positive</w:t>
            </w:r>
            <w:r>
              <w:rPr>
                <w:b w:val="0"/>
                <w:i w:val="0"/>
                <w:sz w:val="18"/>
              </w:rPr>
              <w:t xml:space="preserve"> logics; the theoretical machinery for non-appropriable value is missing.</w:t>
            </w:r>
          </w:p>
        </w:tc>
      </w:tr>
      <w:tr>
        <w:tc>
          <w:tcPr>
            <w:tcW w:type="dxa" w:w="4320"/>
          </w:tcPr>
          <w:p>
            <w:r>
              <w:rPr>
                <w:sz w:val="18"/>
              </w:rPr>
            </w:r>
            <w:r>
              <w:rPr>
                <w:b w:val="0"/>
                <w:i w:val="0"/>
                <w:sz w:val="18"/>
              </w:rPr>
              <w:t>JPPM call: advancing wiser consumption, consumer wisdom, and innovation for flourishing (https://www.ama.org/ama_cohort/academic/)</w:t>
            </w:r>
          </w:p>
        </w:tc>
        <w:tc>
          <w:tcPr>
            <w:tcW w:type="dxa" w:w="4320"/>
          </w:tcPr>
          <w:p>
            <w:r>
              <w:rPr>
                <w:sz w:val="18"/>
              </w:rPr>
            </w:r>
            <w:r>
              <w:rPr>
                <w:b w:val="0"/>
                <w:i w:val="0"/>
                <w:sz w:val="18"/>
              </w:rPr>
              <w:t xml:space="preserve">Policy-marketing editors are explicitly inviting </w:t>
            </w:r>
            <w:r>
              <w:rPr>
                <w:b w:val="0"/>
                <w:i/>
                <w:sz w:val="18"/>
              </w:rPr>
              <w:t>consumption reduction</w:t>
            </w:r>
            <w:r>
              <w:rPr>
                <w:b w:val="0"/>
                <w:i w:val="0"/>
                <w:sz w:val="18"/>
              </w:rPr>
              <w:t xml:space="preserve"> and </w:t>
            </w:r>
            <w:r>
              <w:rPr>
                <w:b w:val="0"/>
                <w:i/>
                <w:sz w:val="18"/>
              </w:rPr>
              <w:t>flourishing</w:t>
            </w:r>
            <w:r>
              <w:rPr>
                <w:b w:val="0"/>
                <w:i w:val="0"/>
                <w:sz w:val="18"/>
              </w:rPr>
              <w:t xml:space="preserve"> theory, not green-product preference studies.</w:t>
            </w:r>
          </w:p>
        </w:tc>
      </w:tr>
      <w:tr>
        <w:tc>
          <w:tcPr>
            <w:tcW w:type="dxa" w:w="4320"/>
          </w:tcPr>
          <w:p>
            <w:r>
              <w:rPr>
                <w:sz w:val="18"/>
              </w:rPr>
            </w:r>
            <w:r>
              <w:rPr>
                <w:b w:val="0"/>
                <w:i w:val="0"/>
                <w:sz w:val="18"/>
              </w:rPr>
              <w:t>JCR editorial on improving scientific understanding of consumer behavior (2025) (https://academic.oup.com/jcr/article/51/5/867/7965259)</w:t>
            </w:r>
          </w:p>
        </w:tc>
        <w:tc>
          <w:tcPr>
            <w:tcW w:type="dxa" w:w="4320"/>
          </w:tcPr>
          <w:p>
            <w:r>
              <w:rPr>
                <w:sz w:val="18"/>
              </w:rPr>
            </w:r>
            <w:r>
              <w:rPr>
                <w:b w:val="0"/>
                <w:i w:val="0"/>
                <w:sz w:val="18"/>
              </w:rPr>
              <w:t>JCR is signalling appetite for mechanism-level explanation and cumulative theory over effect-hunting.</w:t>
            </w:r>
          </w:p>
        </w:tc>
      </w:tr>
      <w:tr>
        <w:tc>
          <w:tcPr>
            <w:tcW w:type="dxa" w:w="4320"/>
          </w:tcPr>
          <w:p>
            <w:r>
              <w:rPr>
                <w:sz w:val="18"/>
              </w:rPr>
            </w:r>
            <w:r>
              <w:rPr>
                <w:b w:val="0"/>
                <w:i w:val="0"/>
                <w:sz w:val="18"/>
              </w:rPr>
              <w:t>JIBS interdisciplinary IB–sustainability research agenda (2026) (https://link.springer.com/article/10.1057/s41267-026-00867-6)</w:t>
            </w:r>
          </w:p>
        </w:tc>
        <w:tc>
          <w:tcPr>
            <w:tcW w:type="dxa" w:w="4320"/>
          </w:tcPr>
          <w:p>
            <w:r>
              <w:rPr>
                <w:sz w:val="18"/>
              </w:rPr>
            </w:r>
            <w:r>
              <w:rPr>
                <w:b w:val="0"/>
                <w:i w:val="0"/>
                <w:sz w:val="18"/>
              </w:rPr>
              <w:t>MNEs are framed as both shaping and being shaped by ecological/social context — an opening for institutional-decay and value-chain-justice theory.</w:t>
            </w:r>
          </w:p>
        </w:tc>
      </w:tr>
      <w:tr>
        <w:tc>
          <w:tcPr>
            <w:tcW w:type="dxa" w:w="4320"/>
          </w:tcPr>
          <w:p>
            <w:r>
              <w:rPr>
                <w:sz w:val="18"/>
              </w:rPr>
            </w:r>
            <w:r>
              <w:rPr>
                <w:b w:val="0"/>
                <w:i w:val="0"/>
                <w:sz w:val="18"/>
              </w:rPr>
              <w:t>JIBS "disruptive vs. consolidating knowledge" editorial (https://www.researchgate.net/publication/374903375_Disruptive_knowledge_in_international_business_research_A_pipe_dream_or_attainable_target/download)</w:t>
            </w:r>
          </w:p>
        </w:tc>
        <w:tc>
          <w:tcPr>
            <w:tcW w:type="dxa" w:w="4320"/>
          </w:tcPr>
          <w:p>
            <w:r>
              <w:rPr>
                <w:sz w:val="18"/>
              </w:rPr>
            </w:r>
            <w:r>
              <w:rPr>
                <w:b w:val="0"/>
                <w:i w:val="0"/>
                <w:sz w:val="18"/>
              </w:rPr>
              <w:t>Explicit editorial preference for disruptive over consolidating contributions.</w:t>
            </w:r>
          </w:p>
        </w:tc>
      </w:tr>
      <w:tr>
        <w:tc>
          <w:tcPr>
            <w:tcW w:type="dxa" w:w="4320"/>
          </w:tcPr>
          <w:p>
            <w:r>
              <w:rPr>
                <w:sz w:val="18"/>
              </w:rPr>
            </w:r>
            <w:r>
              <w:rPr>
                <w:b w:val="0"/>
                <w:i w:val="0"/>
                <w:sz w:val="18"/>
              </w:rPr>
              <w:t xml:space="preserve">JIBS special issue on </w:t>
            </w:r>
            <w:r>
              <w:rPr>
                <w:b/>
                <w:i w:val="0"/>
                <w:sz w:val="18"/>
              </w:rPr>
              <w:t>microfoundations of international business</w:t>
            </w:r>
            <w:r>
              <w:rPr>
                <w:b w:val="0"/>
                <w:i w:val="0"/>
                <w:sz w:val="18"/>
              </w:rPr>
              <w:t xml:space="preserve"> (</w:t>
            </w:r>
            <w:r>
              <w:rPr>
                <w:b w:val="0"/>
                <w:i w:val="0"/>
                <w:sz w:val="18"/>
              </w:rPr>
              <w:t>announcement (https://ob.aom.org/ob/discussion/call-for-papers-jibs-abs4-special-issue-microfoundations-of-international-business-3)</w:t>
            </w:r>
            <w:r>
              <w:rPr>
                <w:b w:val="0"/>
                <w:i w:val="0"/>
                <w:sz w:val="18"/>
              </w:rPr>
              <w:t>)</w:t>
            </w:r>
          </w:p>
        </w:tc>
        <w:tc>
          <w:tcPr>
            <w:tcW w:type="dxa" w:w="4320"/>
          </w:tcPr>
          <w:p>
            <w:r>
              <w:rPr>
                <w:sz w:val="18"/>
              </w:rPr>
            </w:r>
            <w:r>
              <w:rPr>
                <w:b w:val="0"/>
                <w:i w:val="0"/>
                <w:sz w:val="18"/>
              </w:rPr>
              <w:t>Demand for work linking micro cognition/emotion/decision-making to macro cross-border outcomes — i.e., multi-level theory.</w:t>
            </w:r>
          </w:p>
        </w:tc>
      </w:tr>
      <w:tr>
        <w:tc>
          <w:tcPr>
            <w:tcW w:type="dxa" w:w="4320"/>
          </w:tcPr>
          <w:p>
            <w:r>
              <w:rPr>
                <w:sz w:val="18"/>
              </w:rPr>
            </w:r>
            <w:r>
              <w:rPr>
                <w:b w:val="0"/>
                <w:i w:val="0"/>
                <w:sz w:val="18"/>
              </w:rPr>
              <w:t>POM socio-technical framing of modern slavery risk (2025) (https://journals.sagepub.com/doi/10.1177/10591478241309873)</w:t>
            </w:r>
            <w:r>
              <w:rPr>
                <w:b w:val="0"/>
                <w:i w:val="0"/>
                <w:sz w:val="18"/>
              </w:rPr>
              <w:t xml:space="preserve"> and </w:t>
            </w:r>
            <w:r>
              <w:rPr>
                <w:b w:val="0"/>
                <w:i w:val="0"/>
                <w:sz w:val="18"/>
              </w:rPr>
              <w:t>work on social intermediaries beyond compliance-based governance (2024) (https://journals.sagepub.com/doi/10.1177/10591478231224922)</w:t>
            </w:r>
          </w:p>
        </w:tc>
        <w:tc>
          <w:tcPr>
            <w:tcW w:type="dxa" w:w="4320"/>
          </w:tcPr>
          <w:p>
            <w:r>
              <w:rPr>
                <w:sz w:val="18"/>
              </w:rPr>
            </w:r>
            <w:r>
              <w:rPr>
                <w:b w:val="0"/>
                <w:i w:val="0"/>
                <w:sz w:val="18"/>
              </w:rPr>
              <w:t xml:space="preserve">Audit-and-compliance governance is being declared theoretically and practically inadequate; the </w:t>
            </w:r>
            <w:r>
              <w:rPr>
                <w:b w:val="0"/>
                <w:i/>
                <w:sz w:val="18"/>
              </w:rPr>
              <w:t>recipient side</w:t>
            </w:r>
            <w:r>
              <w:rPr>
                <w:b w:val="0"/>
                <w:i w:val="0"/>
                <w:sz w:val="18"/>
              </w:rPr>
              <w:t xml:space="preserve"> remains unexamined.</w:t>
            </w:r>
          </w:p>
        </w:tc>
      </w:tr>
      <w:tr>
        <w:tc>
          <w:tcPr>
            <w:tcW w:type="dxa" w:w="4320"/>
          </w:tcPr>
          <w:p>
            <w:r>
              <w:rPr>
                <w:sz w:val="18"/>
              </w:rPr>
            </w:r>
            <w:r>
              <w:rPr>
                <w:b w:val="0"/>
                <w:i w:val="0"/>
                <w:sz w:val="18"/>
              </w:rPr>
              <w:t>POM/Service Science retail operations call emphasizing employee engagement and well-being as drivers of customer outcomes (https://pubsonline.informs.org/page/serv/calls-for-papers)</w:t>
            </w:r>
          </w:p>
        </w:tc>
        <w:tc>
          <w:tcPr>
            <w:tcW w:type="dxa" w:w="4320"/>
          </w:tcPr>
          <w:p>
            <w:r>
              <w:rPr>
                <w:sz w:val="18"/>
              </w:rPr>
            </w:r>
            <w:r>
              <w:rPr>
                <w:b w:val="0"/>
                <w:i w:val="0"/>
                <w:sz w:val="18"/>
              </w:rPr>
              <w:t>People-centric operations is an open, under-theorized interface.</w:t>
            </w:r>
          </w:p>
        </w:tc>
      </w:tr>
      <w:tr>
        <w:tc>
          <w:tcPr>
            <w:tcW w:type="dxa" w:w="4320"/>
          </w:tcPr>
          <w:p>
            <w:r>
              <w:rPr>
                <w:sz w:val="18"/>
              </w:rPr>
            </w:r>
            <w:r>
              <w:rPr>
                <w:b w:val="0"/>
                <w:i w:val="0"/>
                <w:sz w:val="18"/>
              </w:rPr>
              <w:t>Journal of Service Management call to *reimagine* the service-profit chain, noting its original assumptions have been challenged (https://www.emeraldgrouppublishing.com/calls-for-papers/reimagining-service-profit-chain-multidisciplinary-insights-age-disruption)</w:t>
            </w:r>
          </w:p>
        </w:tc>
        <w:tc>
          <w:tcPr>
            <w:tcW w:type="dxa" w:w="4320"/>
          </w:tcPr>
          <w:p>
            <w:r>
              <w:rPr>
                <w:sz w:val="18"/>
              </w:rPr>
            </w:r>
            <w:r>
              <w:rPr>
                <w:b w:val="0"/>
                <w:i w:val="0"/>
                <w:sz w:val="18"/>
              </w:rPr>
              <w:t>A canonical service framework is being formally reopened — a rare invitation to challenge, not extend.</w:t>
            </w:r>
          </w:p>
        </w:tc>
      </w:tr>
      <w:tr>
        <w:tc>
          <w:tcPr>
            <w:tcW w:type="dxa" w:w="4320"/>
          </w:tcPr>
          <w:p>
            <w:r>
              <w:rPr>
                <w:sz w:val="18"/>
              </w:rPr>
            </w:r>
            <w:r>
              <w:rPr>
                <w:b w:val="0"/>
                <w:i w:val="0"/>
                <w:sz w:val="18"/>
              </w:rPr>
              <w:t>Transformative Service Research forward-looking perspective piece (2024) (https://www.researchgate.net/publication/384381425_Novel_Perspectives_on_Transformative_Service_Research)</w:t>
            </w:r>
          </w:p>
        </w:tc>
        <w:tc>
          <w:tcPr>
            <w:tcW w:type="dxa" w:w="4320"/>
          </w:tcPr>
          <w:p>
            <w:r>
              <w:rPr>
                <w:sz w:val="18"/>
              </w:rPr>
            </w:r>
            <w:r>
              <w:rPr>
                <w:b w:val="0"/>
                <w:i w:val="0"/>
                <w:sz w:val="18"/>
              </w:rPr>
              <w:t>TSR is maturing and needs mechanism-level theory of well-being, not more well-being correlates.</w:t>
            </w:r>
          </w:p>
        </w:tc>
      </w:tr>
      <w:tr>
        <w:tc>
          <w:tcPr>
            <w:tcW w:type="dxa" w:w="4320"/>
          </w:tcPr>
          <w:p>
            <w:r>
              <w:rPr>
                <w:sz w:val="18"/>
              </w:rPr>
            </w:r>
            <w:r>
              <w:rPr>
                <w:b w:val="0"/>
                <w:i w:val="0"/>
                <w:sz w:val="18"/>
              </w:rPr>
              <w:t xml:space="preserve">Degrowth/post-growth marketing stream now concentrated in </w:t>
            </w:r>
            <w:r>
              <w:rPr>
                <w:b w:val="0"/>
                <w:i/>
                <w:sz w:val="18"/>
              </w:rPr>
              <w:t>Marketing Theory</w:t>
            </w:r>
            <w:r>
              <w:rPr>
                <w:b w:val="0"/>
                <w:i w:val="0"/>
                <w:sz w:val="18"/>
              </w:rPr>
              <w:t xml:space="preserve"> (</w:t>
            </w:r>
            <w:r>
              <w:rPr>
                <w:b w:val="0"/>
                <w:i w:val="0"/>
                <w:sz w:val="18"/>
              </w:rPr>
              <w:t>post-growth marketing, 2025 (https://journals.sagepub.com/doi/10.1177/14705931251313777)</w:t>
            </w:r>
            <w:r>
              <w:rPr>
                <w:b w:val="0"/>
                <w:i w:val="0"/>
                <w:sz w:val="18"/>
              </w:rPr>
              <w:t xml:space="preserve">; </w:t>
            </w:r>
            <w:r>
              <w:rPr>
                <w:b w:val="0"/>
                <w:i w:val="0"/>
                <w:sz w:val="18"/>
              </w:rPr>
              <w:t>convivial circularities/upcycling, 2025 (https://journals.sagepub.com/doi/10.1177/14705931251313778)</w:t>
            </w:r>
            <w:r>
              <w:rPr>
                <w:b w:val="0"/>
                <w:i w:val="0"/>
                <w:sz w:val="18"/>
              </w:rPr>
              <w:t>)</w:t>
            </w:r>
          </w:p>
        </w:tc>
        <w:tc>
          <w:tcPr>
            <w:tcW w:type="dxa" w:w="4320"/>
          </w:tcPr>
          <w:p>
            <w:r>
              <w:rPr>
                <w:sz w:val="18"/>
              </w:rPr>
            </w:r>
            <w:r>
              <w:rPr>
                <w:b w:val="0"/>
                <w:i w:val="0"/>
                <w:sz w:val="18"/>
              </w:rPr>
              <w:t xml:space="preserve">Critically rich but </w:t>
            </w:r>
            <w:r>
              <w:rPr>
                <w:b/>
                <w:i w:val="0"/>
                <w:sz w:val="18"/>
              </w:rPr>
              <w:t>firm-level and FT50-facing theory is absent</w:t>
            </w:r>
            <w:r>
              <w:rPr>
                <w:b w:val="0"/>
                <w:i w:val="0"/>
                <w:sz w:val="18"/>
              </w:rPr>
              <w:t xml:space="preserve"> — the single largest arbitrage opportunity in the agenda.</w:t>
            </w:r>
          </w:p>
        </w:tc>
      </w:tr>
      <w:tr>
        <w:tc>
          <w:tcPr>
            <w:tcW w:type="dxa" w:w="4320"/>
          </w:tcPr>
          <w:p>
            <w:r>
              <w:rPr>
                <w:sz w:val="18"/>
              </w:rPr>
            </w:r>
            <w:r>
              <w:rPr>
                <w:b w:val="0"/>
                <w:i w:val="0"/>
                <w:sz w:val="18"/>
              </w:rPr>
              <w:t>Repair/right-to-repair research clustered in TPB-style intention surveys (</w:t>
            </w:r>
            <w:r>
              <w:rPr>
                <w:b w:val="0"/>
                <w:i w:val="0"/>
                <w:sz w:val="18"/>
              </w:rPr>
              <w:t>customer perspective study (https://www.researchgate.net/publication/376235757_Exercising_the_Right_to_Repair_A_Customer's_Perspective)</w:t>
            </w:r>
            <w:r>
              <w:rPr>
                <w:b w:val="0"/>
                <w:i w:val="0"/>
                <w:sz w:val="18"/>
              </w:rPr>
              <w:t xml:space="preserve">; </w:t>
            </w:r>
            <w:r>
              <w:rPr>
                <w:b w:val="0"/>
                <w:i w:val="0"/>
                <w:sz w:val="18"/>
              </w:rPr>
              <w:t>consumer repair journey, 2026 (https://link.springer.com/10.1007/s43615-026-00773-x)</w:t>
            </w:r>
            <w:r>
              <w:rPr>
                <w:b w:val="0"/>
                <w:i w:val="0"/>
                <w:sz w:val="18"/>
              </w:rPr>
              <w:t xml:space="preserve">) plus practitioner framing in </w:t>
            </w:r>
            <w:r>
              <w:rPr>
                <w:b w:val="0"/>
                <w:i w:val="0"/>
                <w:sz w:val="18"/>
              </w:rPr>
              <w:t>MIT SMR (2025) (https://sloanreview.mit.edu/article/consumers-are-gaining-the-right-to-repair-are-you-ready/)</w:t>
            </w:r>
          </w:p>
        </w:tc>
        <w:tc>
          <w:tcPr>
            <w:tcW w:type="dxa" w:w="4320"/>
          </w:tcPr>
          <w:p>
            <w:r>
              <w:rPr>
                <w:sz w:val="18"/>
              </w:rPr>
            </w:r>
            <w:r>
              <w:rPr>
                <w:b w:val="0"/>
                <w:i w:val="0"/>
                <w:sz w:val="18"/>
              </w:rPr>
              <w:t xml:space="preserve">A live legal-institutional shock to ownership and brand control, with </w:t>
            </w:r>
            <w:r>
              <w:rPr>
                <w:b/>
                <w:i w:val="0"/>
                <w:sz w:val="18"/>
              </w:rPr>
              <w:t>no ownership theory</w:t>
            </w:r>
            <w:r>
              <w:rPr>
                <w:b w:val="0"/>
                <w:i w:val="0"/>
                <w:sz w:val="18"/>
              </w:rPr>
              <w:t xml:space="preserve"> attached to it.</w:t>
            </w:r>
          </w:p>
        </w:tc>
      </w:tr>
      <w:tr>
        <w:tc>
          <w:tcPr>
            <w:tcW w:type="dxa" w:w="4320"/>
          </w:tcPr>
          <w:p>
            <w:r>
              <w:rPr>
                <w:sz w:val="18"/>
              </w:rPr>
            </w:r>
            <w:r>
              <w:rPr>
                <w:b w:val="0"/>
                <w:i w:val="0"/>
                <w:sz w:val="18"/>
              </w:rPr>
              <w:t>AMA 2027 Winter conference tracks emphasizing integrated brand governance, trust, and engagement (https://www.ama.org/2027-ama-winter-academic-conference-call-for-papers/)</w:t>
            </w:r>
          </w:p>
        </w:tc>
        <w:tc>
          <w:tcPr>
            <w:tcW w:type="dxa" w:w="4320"/>
          </w:tcPr>
          <w:p>
            <w:r>
              <w:rPr>
                <w:sz w:val="18"/>
              </w:rPr>
            </w:r>
            <w:r>
              <w:rPr>
                <w:b w:val="0"/>
                <w:i w:val="0"/>
                <w:sz w:val="18"/>
              </w:rPr>
              <w:t xml:space="preserve">Trust is being reframed as a </w:t>
            </w:r>
            <w:r>
              <w:rPr>
                <w:b w:val="0"/>
                <w:i/>
                <w:sz w:val="18"/>
              </w:rPr>
              <w:t>governance</w:t>
            </w:r>
            <w:r>
              <w:rPr>
                <w:b w:val="0"/>
                <w:i w:val="0"/>
                <w:sz w:val="18"/>
              </w:rPr>
              <w:t xml:space="preserve"> problem rather than an attitude.</w:t>
            </w:r>
          </w:p>
        </w:tc>
      </w:tr>
    </w:tbl>
    <w:p/>
    <w:p>
      <w:r>
        <w:rPr>
          <w:b/>
          <w:i w:val="0"/>
        </w:rPr>
        <w:t>Reading of the field:</w:t>
      </w:r>
      <w:r>
        <w:rPr>
          <w:b w:val="0"/>
          <w:i w:val="0"/>
        </w:rPr>
        <w:t xml:space="preserve"> FT50 editors are converging on four unmet theoretical demands — (a) theory of </w:t>
      </w:r>
      <w:r>
        <w:rPr>
          <w:b/>
          <w:i w:val="0"/>
        </w:rPr>
        <w:t>less</w:t>
      </w:r>
      <w:r>
        <w:rPr>
          <w:b w:val="0"/>
          <w:i w:val="0"/>
        </w:rPr>
        <w:t xml:space="preserve"> (reduction, contraction, sufficiency), (b) theory of </w:t>
      </w:r>
      <w:r>
        <w:rPr>
          <w:b/>
          <w:i w:val="0"/>
        </w:rPr>
        <w:t>value the firm cannot capture</w:t>
      </w:r>
      <w:r>
        <w:rPr>
          <w:b w:val="0"/>
          <w:i w:val="0"/>
        </w:rPr>
        <w:t xml:space="preserve">, (c) theory of </w:t>
      </w:r>
      <w:r>
        <w:rPr>
          <w:b/>
          <w:i w:val="0"/>
        </w:rPr>
        <w:t>institutions going backwards</w:t>
      </w:r>
      <w:r>
        <w:rPr>
          <w:b w:val="0"/>
          <w:i w:val="0"/>
        </w:rPr>
        <w:t xml:space="preserve">, and (d) theory of </w:t>
      </w:r>
      <w:r>
        <w:rPr>
          <w:b/>
          <w:i w:val="0"/>
        </w:rPr>
        <w:t>the person on the receiving end of governance</w:t>
      </w:r>
      <w:r>
        <w:rPr>
          <w:b w:val="0"/>
          <w:i w:val="0"/>
        </w:rPr>
        <w:t xml:space="preserve"> (upstream worker, proxy decision-maker, vulnerable consumer). The twelve opportunities below are organized against those four demands.</w:t>
      </w:r>
    </w:p>
    <w:p>
      <w:pPr>
        <w:pStyle w:val="Heading2"/>
      </w:pPr>
      <w:r>
        <w:rPr>
          <w:b w:val="0"/>
          <w:i w:val="0"/>
          <w:color w:val="1A1A1A"/>
        </w:rPr>
        <w:t>Part II — The Twelve Opportunities</w:t>
      </w:r>
    </w:p>
    <w:p>
      <w:pPr>
        <w:pStyle w:val="Heading1"/>
        <w:jc w:val="left"/>
      </w:pPr>
      <w:r>
        <w:rPr>
          <w:b w:val="0"/>
          <w:i w:val="0"/>
          <w:color w:val="1A1A1A"/>
        </w:rPr>
        <w:t>1. The Firm That Must Sell Less: Toward a Theory of Profitable Demand Contraction</w:t>
      </w:r>
    </w:p>
    <w:p>
      <w:r>
        <w:rPr>
          <w:b/>
          <w:i w:val="0"/>
        </w:rPr>
        <w:t>1. Research Theme</w:t>
      </w:r>
      <w:r>
        <w:rPr>
          <w:b w:val="0"/>
          <w:i w:val="0"/>
        </w:rPr>
        <w:t xml:space="preserve"> Sustainable consumption / degrowth / marketing strategy / consumption reduction.</w:t>
      </w:r>
    </w:p>
    <w:p>
      <w:r>
        <w:rPr>
          <w:b/>
          <w:i w:val="0"/>
        </w:rPr>
        <w:t>2. Exact FT50-Level Research Topic</w:t>
      </w:r>
      <w:r>
        <w:rPr>
          <w:b w:val="0"/>
          <w:i w:val="0"/>
        </w:rPr>
        <w:t xml:space="preserve"> </w:t>
      </w:r>
      <w:r>
        <w:rPr>
          <w:b w:val="0"/>
          <w:i/>
        </w:rPr>
        <w:t>Demand Contraction as a Marketing Capability: How Firms Appropriate Value While Deliberately Reducing the Volume of What They Sell.</w:t>
      </w:r>
    </w:p>
    <w:p>
      <w:r>
        <w:rPr>
          <w:b/>
          <w:i w:val="0"/>
        </w:rPr>
        <w:t>3. Why This Topic Matters Now</w:t>
      </w:r>
      <w:r>
        <w:rPr>
          <w:b w:val="0"/>
          <w:i w:val="0"/>
        </w:rPr>
        <w:t xml:space="preserve"> Absolute-reduction targets (EU Green Deal, science-based targets, extended producer responsibility, packaging and textile-waste directives) are converting "sell more" from an assumption into a legal and reputational liability in whole categories: fast fashion, single-use packaging, short-life electronics, aviation, meat. Simultaneously, firms in saturated Western markets face demographic stagnation. Managers are being asked to hit revenue targets while </w:t>
      </w:r>
      <w:r>
        <w:rPr>
          <w:b w:val="0"/>
          <w:i/>
        </w:rPr>
        <w:t>shrinking physical throughput</w:t>
      </w:r>
      <w:r>
        <w:rPr>
          <w:b w:val="0"/>
          <w:i w:val="0"/>
        </w:rPr>
        <w:t xml:space="preserve"> — a problem marketing has literally no theory for.</w:t>
      </w:r>
    </w:p>
    <w:p>
      <w:r>
        <w:rPr>
          <w:b/>
          <w:i w:val="0"/>
        </w:rPr>
        <w:t>4. Why Existing Literature Is Insufficient</w:t>
      </w:r>
      <w:r>
        <w:rPr>
          <w:b w:val="0"/>
          <w:i w:val="0"/>
        </w:rPr>
        <w:t xml:space="preserve"> Three separate literatures each fail at the point of contact. (i) </w:t>
      </w:r>
      <w:r>
        <w:rPr>
          <w:b w:val="0"/>
          <w:i/>
        </w:rPr>
        <w:t>Anti-consumption / voluntary simplicity</w:t>
      </w:r>
      <w:r>
        <w:rPr>
          <w:b w:val="0"/>
          <w:i w:val="0"/>
        </w:rPr>
        <w:t xml:space="preserve"> is consumer-side and morally framed; it explains why individuals reduce, not how firms survive reduction. (ii) </w:t>
      </w:r>
      <w:r>
        <w:rPr>
          <w:b w:val="0"/>
          <w:i/>
        </w:rPr>
        <w:t>Degrowth marketing</w:t>
      </w:r>
      <w:r>
        <w:rPr>
          <w:b w:val="0"/>
          <w:i w:val="0"/>
        </w:rPr>
        <w:t xml:space="preserve"> is critical-theoretic and largely anti-managerial, published outside the FT50 core (Marketing Theory, JMM), and therefore never confronts value appropriation. (iii) </w:t>
      </w:r>
      <w:r>
        <w:rPr>
          <w:b w:val="0"/>
          <w:i/>
        </w:rPr>
        <w:t>Sustainable marketing / green product</w:t>
      </w:r>
      <w:r>
        <w:rPr>
          <w:b w:val="0"/>
          <w:i w:val="0"/>
        </w:rPr>
        <w:t xml:space="preserve"> research assumes substitution (buy the greener thing), not contraction (buy less of anything). Marketing's core metrics — market share, penetration, CLV, share-of-wallet — are all volume-monotonic. No construct exists for "revenue per unit of throughput forgone."</w:t>
      </w:r>
    </w:p>
    <w:p>
      <w:r>
        <w:rPr>
          <w:b/>
          <w:i w:val="0"/>
        </w:rPr>
        <w:t>5. Theories Needing Extension or Challenge</w:t>
      </w:r>
      <w:r>
        <w:rPr>
          <w:b w:val="0"/>
          <w:i w:val="0"/>
        </w:rPr>
        <w:t xml:space="preserve"> Service-Dominant Logic (its value-in-use premise is the only escape hatch from volume, yet SDL has never been formalized for </w:t>
      </w:r>
      <w:r>
        <w:rPr>
          <w:b w:val="0"/>
          <w:i/>
        </w:rPr>
        <w:t>absolute</w:t>
      </w:r>
      <w:r>
        <w:rPr>
          <w:b w:val="0"/>
          <w:i w:val="0"/>
        </w:rPr>
        <w:t xml:space="preserve"> dematerialization); Resource-Based View (what capability makes contraction profitable?); Transaction Cost Economics (contraction shifts activity from transaction to retention/maintenance, changing make-or-buy logic); Market System Dynamics; Institutional Theory (legitimacy under growth-critique); Prospect Theory at the managerial level (contraction is coded as loss, producing predictable escalation).</w:t>
      </w:r>
    </w:p>
    <w:p>
      <w:r>
        <w:rPr>
          <w:b/>
          <w:i w:val="0"/>
        </w:rPr>
        <w:t>6. Potential Theoretical Contribution</w:t>
      </w:r>
      <w:r>
        <w:rPr>
          <w:b w:val="0"/>
          <w:i w:val="0"/>
        </w:rPr>
        <w:t xml:space="preserve"> A formal theory of </w:t>
      </w:r>
      <w:r>
        <w:rPr>
          <w:b/>
          <w:i w:val="0"/>
        </w:rPr>
        <w:t>decoupled value appropriation</w:t>
      </w:r>
      <w:r>
        <w:rPr>
          <w:b w:val="0"/>
          <w:i w:val="0"/>
        </w:rPr>
        <w:t xml:space="preserve">: the conditions under which a firm's revenue and margin can be </w:t>
      </w:r>
      <w:r>
        <w:rPr>
          <w:b w:val="0"/>
          <w:i/>
        </w:rPr>
        <w:t>negatively</w:t>
      </w:r>
      <w:r>
        <w:rPr>
          <w:b w:val="0"/>
          <w:i w:val="0"/>
        </w:rPr>
        <w:t xml:space="preserve"> correlated with the physical volume it puts into the market, and the organizational capability set ("throughput decoupling capability") that makes this possible. This introduces the mirror image of the marketing mix: pricing-for-longevity, deliberate demand deceleration, and "value-density" as a strategic construct. It challenges the discipline's foundational identification of marketing with demand </w:t>
      </w:r>
      <w:r>
        <w:rPr>
          <w:b w:val="0"/>
          <w:i/>
        </w:rPr>
        <w:t>expansion</w:t>
      </w:r>
      <w:r>
        <w:rPr>
          <w:b w:val="0"/>
          <w:i w:val="0"/>
        </w:rPr>
        <w:t xml:space="preserve"> — arguably the deepest untested premise in the field.</w:t>
      </w:r>
    </w:p>
    <w:p>
      <w:r>
        <w:rPr>
          <w:b/>
          <w:i w:val="0"/>
        </w:rPr>
        <w:t>7. Level of Novelty</w:t>
      </w:r>
      <w:r>
        <w:rPr>
          <w:b w:val="0"/>
          <w:i w:val="0"/>
        </w:rPr>
        <w:t xml:space="preserve"> </w:t>
      </w:r>
      <w:r>
        <w:rPr>
          <w:b/>
          <w:i w:val="0"/>
        </w:rPr>
        <w:t>Breakthrough.</w:t>
      </w:r>
    </w:p>
    <w:p>
      <w:r>
        <w:rPr>
          <w:b/>
          <w:i w:val="0"/>
        </w:rPr>
        <w:t>8. Potential Managerial Contribution</w:t>
      </w:r>
      <w:r>
        <w:rPr>
          <w:b w:val="0"/>
          <w:i w:val="0"/>
        </w:rPr>
        <w:t xml:space="preserve"> A decision architecture for CMOs facing absolute-reduction mandates: which portfolio segments to contract, how to reprice for longevity without cannibalizing the installed base, how to compensate a salesforce on non-volume metrics, and how to communicate contraction to investors without triggering a growth-story repricing.</w:t>
      </w:r>
    </w:p>
    <w:p>
      <w:r>
        <w:rPr>
          <w:b/>
          <w:i w:val="0"/>
        </w:rPr>
        <w:t>9. Societal Relevance</w:t>
      </w:r>
      <w:r>
        <w:rPr>
          <w:b w:val="0"/>
          <w:i w:val="0"/>
        </w:rPr>
        <w:t xml:space="preserve"> Direct: absolute resource and emissions reduction is the binding constraint of the Anthropocene. Marketing is currently the discipline most implicated in the problem and least equipped to contribute to the solution.</w:t>
      </w:r>
    </w:p>
    <w:p>
      <w:r>
        <w:rPr>
          <w:b/>
          <w:i w:val="0"/>
        </w:rPr>
        <w:t>10. Suitable FT50 Journals</w:t>
      </w:r>
      <w:r>
        <w:rPr>
          <w:b w:val="0"/>
          <w:i w:val="0"/>
        </w:rPr>
        <w:t xml:space="preserve"> </w:t>
      </w:r>
      <w:r>
        <w:rPr>
          <w:b w:val="0"/>
          <w:i/>
        </w:rPr>
        <w:t>Journal of Marketing</w:t>
      </w:r>
      <w:r>
        <w:rPr>
          <w:b w:val="0"/>
          <w:i w:val="0"/>
        </w:rPr>
        <w:t xml:space="preserve"> (lead target — conceptual/framework track), </w:t>
      </w:r>
      <w:r>
        <w:rPr>
          <w:b w:val="0"/>
          <w:i/>
        </w:rPr>
        <w:t>Journal of the Academy of Marketing Science</w:t>
      </w:r>
      <w:r>
        <w:rPr>
          <w:b w:val="0"/>
          <w:i w:val="0"/>
        </w:rPr>
        <w:t xml:space="preserve">, </w:t>
      </w:r>
      <w:r>
        <w:rPr>
          <w:b w:val="0"/>
          <w:i/>
        </w:rPr>
        <w:t>Journal of Public Policy &amp; Marketing</w:t>
      </w:r>
      <w:r>
        <w:rPr>
          <w:b w:val="0"/>
          <w:i w:val="0"/>
        </w:rPr>
        <w:t xml:space="preserve">, </w:t>
      </w:r>
      <w:r>
        <w:rPr>
          <w:b w:val="0"/>
          <w:i/>
        </w:rPr>
        <w:t>Strategic Management Journal</w:t>
      </w:r>
      <w:r>
        <w:rPr>
          <w:b w:val="0"/>
          <w:i w:val="0"/>
        </w:rPr>
        <w:t xml:space="preserve"> (capability framing), </w:t>
      </w:r>
      <w:r>
        <w:rPr>
          <w:b w:val="0"/>
          <w:i/>
        </w:rPr>
        <w:t>Journal of Consumer Research</w:t>
      </w:r>
      <w:r>
        <w:rPr>
          <w:b w:val="0"/>
          <w:i w:val="0"/>
        </w:rPr>
        <w:t xml:space="preserve"> (for the consumer-side companion paper).</w:t>
      </w:r>
    </w:p>
    <w:p>
      <w:r>
        <w:rPr>
          <w:b/>
          <w:i w:val="0"/>
        </w:rPr>
        <w:t>11. Type of Paper</w:t>
      </w:r>
      <w:r>
        <w:rPr>
          <w:b w:val="0"/>
          <w:i w:val="0"/>
        </w:rPr>
        <w:t xml:space="preserve"> Conceptual Framework + Theory Building, with a Theory + Field Study companion (multiple-case abduction across 8–12 firms with explicit reduction commitments).</w:t>
      </w:r>
    </w:p>
    <w:p>
      <w:r>
        <w:rPr>
          <w:b/>
          <w:i w:val="0"/>
        </w:rPr>
        <w:t>12. Recommended Methodology</w:t>
      </w:r>
      <w:r>
        <w:rPr>
          <w:b w:val="0"/>
          <w:i w:val="0"/>
        </w:rPr>
        <w:t xml:space="preserve"> Phase 1: theory-building multiple-case study (Patagonia, Fairphone, Vitsœ, Mud Jeans, Interface, Riversimple, Signify's lighting-as-service, Dutch/German repair-first retailers), abductive coding to specify the capability. Phase 2: longitudinal panel of firms making public absolute-reduction commitments (2018–2026), modelling margin and enterprise-value trajectories against throughput reduction with staggered-adoption difference-in-differences. Phase 3: manager experiments on contraction-framing and escalation.</w:t>
      </w:r>
    </w:p>
    <w:p>
      <w:r>
        <w:rPr>
          <w:b/>
          <w:i w:val="0"/>
        </w:rPr>
        <w:t>13. Suitable Theories</w:t>
      </w:r>
      <w:r>
        <w:rPr>
          <w:b w:val="0"/>
          <w:i w:val="0"/>
        </w:rPr>
        <w:t xml:space="preserve"> Service-Dominant Logic, RBV/dynamic capabilities, Institutional Theory, Market System Dynamics, TCE, Prospect Theory (managerial loss framing), Stakeholder Theory.</w:t>
      </w:r>
    </w:p>
    <w:p>
      <w:r>
        <w:rPr>
          <w:b/>
          <w:i w:val="0"/>
        </w:rPr>
        <w:t>14. Potential Constructs</w:t>
      </w:r>
      <w:r>
        <w:rPr>
          <w:b w:val="0"/>
          <w:i w:val="0"/>
        </w:rPr>
        <w:t xml:space="preserve"> Throughput decoupling capability; value density; deliberate demand deceleration; contraction legitimacy; longevity rent; installed-base monetization intensity; growth-narrative dependence.</w:t>
      </w:r>
    </w:p>
    <w:p>
      <w:r>
        <w:rPr>
          <w:b/>
          <w:i w:val="0"/>
        </w:rPr>
        <w:t>15. Possible Mediators</w:t>
      </w:r>
      <w:r>
        <w:rPr>
          <w:b w:val="0"/>
          <w:i w:val="0"/>
        </w:rPr>
        <w:t xml:space="preserve"> Investor narrative reframing; internal incentive realignment; customer-relationship duration; service-revenue substitution rate; salesforce role identity change.</w:t>
      </w:r>
    </w:p>
    <w:p>
      <w:r>
        <w:rPr>
          <w:b/>
          <w:i w:val="0"/>
        </w:rPr>
        <w:t>16. Possible Moderators</w:t>
      </w:r>
      <w:r>
        <w:rPr>
          <w:b w:val="0"/>
          <w:i w:val="0"/>
        </w:rPr>
        <w:t xml:space="preserve"> Category durability; installed-base size; ownership structure (family/foundation vs. listed); regulatory stringency; brand premium headroom; competitive intensity; national growth culture.</w:t>
      </w:r>
    </w:p>
    <w:p>
      <w:r>
        <w:rPr>
          <w:b/>
          <w:i w:val="0"/>
        </w:rPr>
        <w:t>17. Unit of Analysis</w:t>
      </w:r>
      <w:r>
        <w:rPr>
          <w:b w:val="0"/>
          <w:i w:val="0"/>
        </w:rPr>
        <w:t xml:space="preserve"> Firm (primary); business-unit and category (secondary); manager (experimental).</w:t>
      </w:r>
    </w:p>
    <w:p>
      <w:r>
        <w:rPr>
          <w:b/>
          <w:i w:val="0"/>
        </w:rPr>
        <w:t>18. Potential Datasets</w:t>
      </w:r>
      <w:r>
        <w:rPr>
          <w:b w:val="0"/>
          <w:i w:val="0"/>
        </w:rPr>
        <w:t xml:space="preserve"> CDP and science-based-target disclosures; EU EPR and packaging-waste filings; Compustat/Orbis financials merged with physical-throughput disclosures; B Corp impact assessments; Euromonitor category volume data; company transcripts for growth-narrative text analysis.</w:t>
      </w:r>
    </w:p>
    <w:p>
      <w:r>
        <w:rPr>
          <w:b/>
          <w:i w:val="0"/>
        </w:rPr>
        <w:t>19. Countries Where Research Would Be Valuable</w:t>
      </w:r>
      <w:r>
        <w:rPr>
          <w:b w:val="0"/>
          <w:i w:val="0"/>
        </w:rPr>
        <w:t xml:space="preserve"> Netherlands, Germany, Sweden, France (regulatory frontier); Japan (structural demand contraction already lived); UK; US (adversarial capital-market conditions); Contrast case: India/Indonesia (where absolute reduction is normatively contested and </w:t>
      </w:r>
      <w:r>
        <w:rPr>
          <w:b w:val="0"/>
          <w:i/>
        </w:rPr>
        <w:t>growth</w:t>
      </w:r>
      <w:r>
        <w:rPr>
          <w:b w:val="0"/>
          <w:i w:val="0"/>
        </w:rPr>
        <w:t xml:space="preserve"> is a development imperative).</w:t>
      </w:r>
    </w:p>
    <w:p>
      <w:r>
        <w:rPr>
          <w:b/>
          <w:i w:val="0"/>
        </w:rPr>
        <w:t>20. Practical Implications</w:t>
      </w:r>
      <w:r>
        <w:rPr>
          <w:b w:val="0"/>
          <w:i w:val="0"/>
        </w:rPr>
        <w:t xml:space="preserve"> Reframes sustainability from cost-center to margin architecture; gives boards a defensible alternative to volume growth; supplies policymakers with evidence on whether reduction mandates destroy or redistribute firm value.</w:t>
      </w:r>
    </w:p>
    <w:p>
      <w:r>
        <w:rPr>
          <w:b/>
          <w:i w:val="0"/>
        </w:rPr>
        <w:t>21. Risks Reviewers May Identify</w:t>
      </w:r>
      <w:r>
        <w:rPr>
          <w:b w:val="0"/>
          <w:i w:val="0"/>
        </w:rPr>
        <w:t xml:space="preserve"> (a) "This is just servitization / PSS." (b) Selection on survivors — only firms that already succeeded at contraction are observable. (c) Endogeneity of reduction commitments. (d) Normative advocacy masquerading as theory. (e) Degrowth's ideological baggage triggering reviewer resistance in JM.</w:t>
      </w:r>
    </w:p>
    <w:p>
      <w:r>
        <w:rPr>
          <w:b/>
          <w:i w:val="0"/>
        </w:rPr>
        <w:t>22. How to Strengthen the Theoretical Contribution</w:t>
      </w:r>
      <w:r>
        <w:rPr>
          <w:b w:val="0"/>
          <w:i w:val="0"/>
        </w:rPr>
        <w:t xml:space="preserve"> Specify </w:t>
      </w:r>
      <w:r>
        <w:rPr>
          <w:b w:val="0"/>
          <w:i/>
        </w:rPr>
        <w:t>scope conditions</w:t>
      </w:r>
      <w:r>
        <w:rPr>
          <w:b w:val="0"/>
          <w:i w:val="0"/>
        </w:rPr>
        <w:t xml:space="preserve"> precisely (contraction is profitable only where X, Y, Z hold) and derive at least two </w:t>
      </w:r>
      <w:r>
        <w:rPr>
          <w:b/>
          <w:i w:val="0"/>
        </w:rPr>
        <w:t>falsifiable, counterintuitive predictions</w:t>
      </w:r>
      <w:r>
        <w:rPr>
          <w:b w:val="0"/>
          <w:i w:val="0"/>
        </w:rPr>
        <w:t xml:space="preserve"> — e.g., that contraction increases margin only when installed-base observability is high, and </w:t>
      </w:r>
      <w:r>
        <w:rPr>
          <w:b w:val="0"/>
          <w:i/>
        </w:rPr>
        <w:t>destroys</w:t>
      </w:r>
      <w:r>
        <w:rPr>
          <w:b w:val="0"/>
          <w:i w:val="0"/>
        </w:rPr>
        <w:t xml:space="preserve"> value in categories with low switching costs. Explicitly differentiate from servitization by showing servitization can </w:t>
      </w:r>
      <w:r>
        <w:rPr>
          <w:b w:val="0"/>
          <w:i/>
        </w:rPr>
        <w:t>increase</w:t>
      </w:r>
      <w:r>
        <w:rPr>
          <w:b w:val="0"/>
          <w:i w:val="0"/>
        </w:rPr>
        <w:t xml:space="preserve"> throughput while decoupling cannot. Position against, not alongside, the growth premise: state the assumption being overturned in the first paragraph.</w:t>
      </w:r>
    </w:p>
    <w:p>
      <w:pPr>
        <w:pStyle w:val="Heading1"/>
        <w:jc w:val="left"/>
      </w:pPr>
      <w:r>
        <w:rPr>
          <w:b w:val="0"/>
          <w:i w:val="0"/>
          <w:color w:val="1A1A1A"/>
        </w:rPr>
        <w:t>2. Markets Running Backwards: A Theory of Institutional Retrenchment in Advanced Economies</w:t>
      </w:r>
    </w:p>
    <w:p>
      <w:r>
        <w:rPr>
          <w:b/>
          <w:i w:val="0"/>
        </w:rPr>
        <w:t>1. Research Theme</w:t>
      </w:r>
      <w:r>
        <w:rPr>
          <w:b w:val="0"/>
          <w:i w:val="0"/>
        </w:rPr>
        <w:t xml:space="preserve"> Institutional theory / market system dynamics / marketplace exclusion / public policy / retail transformation.</w:t>
      </w:r>
    </w:p>
    <w:p>
      <w:r>
        <w:rPr>
          <w:b/>
          <w:i w:val="0"/>
        </w:rPr>
        <w:t>2. Exact FT50-Level Research Topic</w:t>
      </w:r>
      <w:r>
        <w:rPr>
          <w:b w:val="0"/>
          <w:i w:val="0"/>
        </w:rPr>
        <w:t xml:space="preserve"> </w:t>
      </w:r>
      <w:r>
        <w:rPr>
          <w:b w:val="0"/>
          <w:i/>
        </w:rPr>
        <w:t>Institutional Retrenchment: How Functioning Markets De-Form, and Why Institutional Void Theory Cannot Explain Market Withdrawal in Wealthy Economies.</w:t>
      </w:r>
    </w:p>
    <w:p>
      <w:r>
        <w:rPr>
          <w:b/>
          <w:i w:val="0"/>
        </w:rPr>
        <w:t>3. Why This Topic Matters Now</w:t>
      </w:r>
      <w:r>
        <w:rPr>
          <w:b w:val="0"/>
          <w:i w:val="0"/>
        </w:rPr>
        <w:t xml:space="preserve"> Advanced economies are producing a phenomenon their own theory says should not exist: markets </w:t>
      </w:r>
      <w:r>
        <w:rPr>
          <w:b w:val="0"/>
          <w:i/>
        </w:rPr>
        <w:t>un-forming</w:t>
      </w:r>
      <w:r>
        <w:rPr>
          <w:b w:val="0"/>
          <w:i w:val="0"/>
        </w:rPr>
        <w:t xml:space="preserve">. Property insurers withdrawing from Florida, California, and parts of Australia and southern Europe; bank branch and cash-access deserts across rural UK, France, and the US Midwest; pharmacy and maternity-ward closures; grocery deserts following discount-format consolidation; local newspaper collapse dissolving the informational infrastructure of consumer choice; GPs and dentists exiting public systems. These are not "underdeveloped" markets. They are </w:t>
      </w:r>
      <w:r>
        <w:rPr>
          <w:b w:val="0"/>
          <w:i/>
        </w:rPr>
        <w:t>post-developed</w:t>
      </w:r>
      <w:r>
        <w:rPr>
          <w:b w:val="0"/>
          <w:i w:val="0"/>
        </w:rPr>
        <w:t xml:space="preserve"> ones.</w:t>
      </w:r>
    </w:p>
    <w:p>
      <w:r>
        <w:rPr>
          <w:b/>
          <w:i w:val="0"/>
        </w:rPr>
        <w:t>4. Why Existing Literature Is Insufficient</w:t>
      </w:r>
      <w:r>
        <w:rPr>
          <w:b w:val="0"/>
          <w:i w:val="0"/>
        </w:rPr>
        <w:t xml:space="preserve"> Institutional void theory was constructed to describe </w:t>
      </w:r>
      <w:r>
        <w:rPr>
          <w:b w:val="0"/>
          <w:i/>
        </w:rPr>
        <w:t>absence prior to development</w:t>
      </w:r>
      <w:r>
        <w:rPr>
          <w:b w:val="0"/>
          <w:i w:val="0"/>
        </w:rPr>
        <w:t xml:space="preserve"> in emerging economies, with an implicit teleology: voids get filled, intermediaries emerge, markets mature. It has no vocabulary for </w:t>
      </w:r>
      <w:r>
        <w:rPr>
          <w:b w:val="0"/>
          <w:i/>
        </w:rPr>
        <w:t>regression</w:t>
      </w:r>
      <w:r>
        <w:rPr>
          <w:b w:val="0"/>
          <w:i w:val="0"/>
        </w:rPr>
        <w:t xml:space="preserve"> — for intermediaries exiting, for infrastructure decommissioning, for the sequence in which a market dissolves. Base-of-pyramid and subsistence-marketplace research assumes scarcity plus aspiration; retrenchment involves scarcity plus </w:t>
      </w:r>
      <w:r>
        <w:rPr>
          <w:b w:val="0"/>
          <w:i/>
        </w:rPr>
        <w:t>prior abundance</w:t>
      </w:r>
      <w:r>
        <w:rPr>
          <w:b w:val="0"/>
          <w:i w:val="0"/>
        </w:rPr>
        <w:t xml:space="preserve">, which produces entirely different psychological and political dynamics (grievance, entitlement violation, populist mobilization) than voids do. Market-shaping and market-driving research is almost exclusively about </w:t>
      </w:r>
      <w:r>
        <w:rPr>
          <w:b w:val="0"/>
          <w:i/>
        </w:rPr>
        <w:t>creation</w:t>
      </w:r>
      <w:r>
        <w:rPr>
          <w:b w:val="0"/>
          <w:i w:val="0"/>
        </w:rPr>
        <w:t>. Service-exclusion work documents outcomes without theorizing process.</w:t>
      </w:r>
    </w:p>
    <w:p>
      <w:r>
        <w:rPr>
          <w:b/>
          <w:i w:val="0"/>
        </w:rPr>
        <w:t>5. Theories Needing Extension or Challenge</w:t>
      </w:r>
      <w:r>
        <w:rPr>
          <w:b w:val="0"/>
          <w:i w:val="0"/>
        </w:rPr>
        <w:t xml:space="preserve"> Institutional Theory (de-institutionalization needs a market-level formalization); Institutional Voids (challenge the developmental teleology); Resource Dependence Theory (what happens when the dependent party is a </w:t>
      </w:r>
      <w:r>
        <w:rPr>
          <w:b w:val="0"/>
          <w:i/>
        </w:rPr>
        <w:t>community</w:t>
      </w:r>
      <w:r>
        <w:rPr>
          <w:b w:val="0"/>
          <w:i w:val="0"/>
        </w:rPr>
        <w:t>, not a firm?); Market System Dynamics; Complex Adaptive Systems (cascade and tipping dynamics); Justice Theory (retrenchment as procedural and distributive injustice); Stakeholder Theory (exit as a stakeholder act).</w:t>
      </w:r>
    </w:p>
    <w:p>
      <w:r>
        <w:rPr>
          <w:b/>
          <w:i w:val="0"/>
        </w:rPr>
        <w:t>6. Potential Theoretical Contribution</w:t>
      </w:r>
      <w:r>
        <w:rPr>
          <w:b w:val="0"/>
          <w:i w:val="0"/>
        </w:rPr>
        <w:t xml:space="preserve"> A process theory of </w:t>
      </w:r>
      <w:r>
        <w:rPr>
          <w:b/>
          <w:i w:val="0"/>
        </w:rPr>
        <w:t>market de-formation</w:t>
      </w:r>
      <w:r>
        <w:rPr>
          <w:b w:val="0"/>
          <w:i w:val="0"/>
        </w:rPr>
        <w:t xml:space="preserve"> specifying (i) the </w:t>
      </w:r>
      <w:r>
        <w:rPr>
          <w:b w:val="0"/>
          <w:i/>
        </w:rPr>
        <w:t>sequence</w:t>
      </w:r>
      <w:r>
        <w:rPr>
          <w:b w:val="0"/>
          <w:i w:val="0"/>
        </w:rPr>
        <w:t xml:space="preserve"> of withdrawal (pricing exclusion → service thinning → geographic exit → intermediary collapse → institutional memory loss), (ii) </w:t>
      </w:r>
      <w:r>
        <w:rPr>
          <w:b/>
          <w:i w:val="0"/>
        </w:rPr>
        <w:t>retrenchment cascades</w:t>
      </w:r>
      <w:r>
        <w:rPr>
          <w:b w:val="0"/>
          <w:i w:val="0"/>
        </w:rPr>
        <w:t xml:space="preserve">, where one actor's exit raises others' cost of staying, and (iii) the asymmetry hypothesis: </w:t>
      </w:r>
      <w:r>
        <w:rPr>
          <w:b w:val="0"/>
          <w:i/>
        </w:rPr>
        <w:t>markets do not de-form along the reverse path by which they formed</w:t>
      </w:r>
      <w:r>
        <w:rPr>
          <w:b w:val="0"/>
          <w:i w:val="0"/>
        </w:rPr>
        <w:t xml:space="preserve">, because trust, tacit knowledge, and physical infrastructure decay irreversibly. This introduces institutional hysteresis to marketing and management theory and creates a genuinely new construct class: </w:t>
      </w:r>
      <w:r>
        <w:rPr>
          <w:b w:val="0"/>
          <w:i/>
        </w:rPr>
        <w:t>abandonment risk</w:t>
      </w:r>
      <w:r>
        <w:rPr>
          <w:b w:val="0"/>
          <w:i w:val="0"/>
        </w:rPr>
        <w:t xml:space="preserve"> as distinct from competitive risk.</w:t>
      </w:r>
    </w:p>
    <w:p>
      <w:r>
        <w:rPr>
          <w:b/>
          <w:i w:val="0"/>
        </w:rPr>
        <w:t>7. Level of Novelty</w:t>
      </w:r>
      <w:r>
        <w:rPr>
          <w:b w:val="0"/>
          <w:i w:val="0"/>
        </w:rPr>
        <w:t xml:space="preserve"> </w:t>
      </w:r>
      <w:r>
        <w:rPr>
          <w:b/>
          <w:i w:val="0"/>
        </w:rPr>
        <w:t>Breakthrough.</w:t>
      </w:r>
    </w:p>
    <w:p>
      <w:r>
        <w:rPr>
          <w:b/>
          <w:i w:val="0"/>
        </w:rPr>
        <w:t>8. Potential Managerial Contribution</w:t>
      </w:r>
      <w:r>
        <w:rPr>
          <w:b w:val="0"/>
          <w:i w:val="0"/>
        </w:rPr>
        <w:t xml:space="preserve"> Exit is currently managed as a portfolio-optimization decision with no theory of second-order consequences. This work would give firms a framework for </w:t>
      </w:r>
      <w:r>
        <w:rPr>
          <w:b w:val="0"/>
          <w:i/>
        </w:rPr>
        <w:t>responsible exit</w:t>
      </w:r>
      <w:r>
        <w:rPr>
          <w:b w:val="0"/>
          <w:i w:val="0"/>
        </w:rPr>
        <w:t xml:space="preserve"> (managing legitimacy, reputational contagion across retained markets, and regulatory backlash), and would let insurers, banks, and retailers anticipate cascade thresholds rather than discover them.</w:t>
      </w:r>
    </w:p>
    <w:p>
      <w:r>
        <w:rPr>
          <w:b/>
          <w:i w:val="0"/>
        </w:rPr>
        <w:t>9. Societal Relevance</w:t>
      </w:r>
      <w:r>
        <w:rPr>
          <w:b w:val="0"/>
          <w:i w:val="0"/>
        </w:rPr>
        <w:t xml:space="preserve"> Extremely high. Market withdrawal is a principal — and under-recognized — mechanism converting climate risk and demographic decline into political polarization and loss of public trust in markets. This connects marketing scholarship directly to the most consequential political economy question of the decade.</w:t>
      </w:r>
    </w:p>
    <w:p>
      <w:r>
        <w:rPr>
          <w:b/>
          <w:i w:val="0"/>
        </w:rPr>
        <w:t>10. Suitable FT50 Journals</w:t>
      </w:r>
      <w:r>
        <w:rPr>
          <w:b w:val="0"/>
          <w:i w:val="0"/>
        </w:rPr>
        <w:t xml:space="preserve"> </w:t>
      </w:r>
      <w:r>
        <w:rPr>
          <w:b w:val="0"/>
          <w:i/>
        </w:rPr>
        <w:t>Journal of Marketing</w:t>
      </w:r>
      <w:r>
        <w:rPr>
          <w:b w:val="0"/>
          <w:i w:val="0"/>
        </w:rPr>
        <w:t xml:space="preserve">, </w:t>
      </w:r>
      <w:r>
        <w:rPr>
          <w:b w:val="0"/>
          <w:i/>
        </w:rPr>
        <w:t>Academy of Management Journal</w:t>
      </w:r>
      <w:r>
        <w:rPr>
          <w:b w:val="0"/>
          <w:i w:val="0"/>
        </w:rPr>
        <w:t xml:space="preserve"> (process theory), </w:t>
      </w:r>
      <w:r>
        <w:rPr>
          <w:b w:val="0"/>
          <w:i/>
        </w:rPr>
        <w:t>Academy of Management Review</w:t>
      </w:r>
      <w:r>
        <w:rPr>
          <w:b w:val="0"/>
          <w:i w:val="0"/>
        </w:rPr>
        <w:t xml:space="preserve"> (pure theory version), </w:t>
      </w:r>
      <w:r>
        <w:rPr>
          <w:b w:val="0"/>
          <w:i/>
        </w:rPr>
        <w:t>Journal of Public Policy &amp; Marketing</w:t>
      </w:r>
      <w:r>
        <w:rPr>
          <w:b w:val="0"/>
          <w:i w:val="0"/>
        </w:rPr>
        <w:t xml:space="preserve">, </w:t>
      </w:r>
      <w:r>
        <w:rPr>
          <w:b w:val="0"/>
          <w:i/>
        </w:rPr>
        <w:t>Journal of International Business Studies</w:t>
      </w:r>
      <w:r>
        <w:rPr>
          <w:b w:val="0"/>
          <w:i w:val="0"/>
        </w:rPr>
        <w:t xml:space="preserve"> (cross-national comparison), </w:t>
      </w:r>
      <w:r>
        <w:rPr>
          <w:b w:val="0"/>
          <w:i/>
        </w:rPr>
        <w:t>Strategic Management Journal</w:t>
      </w:r>
      <w:r>
        <w:rPr>
          <w:b w:val="0"/>
          <w:i w:val="0"/>
        </w:rPr>
        <w:t xml:space="preserve"> (exit-strategy framing), </w:t>
      </w:r>
      <w:r>
        <w:rPr>
          <w:b w:val="0"/>
          <w:i/>
        </w:rPr>
        <w:t>Journal of Retailing</w:t>
      </w:r>
      <w:r>
        <w:rPr>
          <w:b w:val="0"/>
          <w:i w:val="0"/>
        </w:rPr>
        <w:t>.</w:t>
      </w:r>
    </w:p>
    <w:p>
      <w:r>
        <w:rPr>
          <w:b/>
          <w:i w:val="0"/>
        </w:rPr>
        <w:t>11. Type of Paper</w:t>
      </w:r>
      <w:r>
        <w:rPr>
          <w:b w:val="0"/>
          <w:i w:val="0"/>
        </w:rPr>
        <w:t xml:space="preserve"> Historical Institutional Analysis + Qualitative Grounded Theory, ideally paired with a Longitudinal Panel Study for cascade identification. A companion Pure Theory Paper for AMR.</w:t>
      </w:r>
    </w:p>
    <w:p>
      <w:r>
        <w:rPr>
          <w:b/>
          <w:i w:val="0"/>
        </w:rPr>
        <w:t>12. Recommended Methodology</w:t>
      </w:r>
      <w:r>
        <w:rPr>
          <w:b w:val="0"/>
          <w:i w:val="0"/>
        </w:rPr>
        <w:t xml:space="preserve"> Comparative historical case analysis of 4–6 retrenchment episodes with contrasting outcomes (Florida property insurance; rural French/UK bank branch closure; Appalachian and northern-England pharmacy/retail decline; Japanese </w:t>
      </w:r>
      <w:r>
        <w:rPr>
          <w:b w:val="0"/>
          <w:i/>
        </w:rPr>
        <w:t>kaimono jakusha</w:t>
      </w:r>
      <w:r>
        <w:rPr>
          <w:b w:val="0"/>
          <w:i w:val="0"/>
        </w:rPr>
        <w:t xml:space="preserve"> shopping-refugee regions; Greek/Italian rural depopulation). Archival reconstruction plus interviews across all actor classes (firm exit decision-makers, regulators, community actors, remaining consumers). Then a panel: geocoded facility-closure data with event-study models estimating cascade probability, complemented by agent-based simulation to derive tipping thresholds. Field-experimental extension: does </w:t>
      </w:r>
      <w:r>
        <w:rPr>
          <w:b w:val="0"/>
          <w:i/>
        </w:rPr>
        <w:t>how</w:t>
      </w:r>
      <w:r>
        <w:rPr>
          <w:b w:val="0"/>
          <w:i w:val="0"/>
        </w:rPr>
        <w:t xml:space="preserve"> a firm exits change community trust in the remaining market?</w:t>
      </w:r>
    </w:p>
    <w:p>
      <w:r>
        <w:rPr>
          <w:b/>
          <w:i w:val="0"/>
        </w:rPr>
        <w:t>13. Suitable Theories</w:t>
      </w:r>
      <w:r>
        <w:rPr>
          <w:b w:val="0"/>
          <w:i w:val="0"/>
        </w:rPr>
        <w:t xml:space="preserve"> Institutional Theory / de-institutionalization, Institutional Voids, Complex Adaptive Systems, Resource Dependence, Market System Dynamics, Justice Theory, Network Theory, Stakeholder Theory.</w:t>
      </w:r>
    </w:p>
    <w:p>
      <w:r>
        <w:rPr>
          <w:b/>
          <w:i w:val="0"/>
        </w:rPr>
        <w:t>14. Potential Constructs</w:t>
      </w:r>
      <w:r>
        <w:rPr>
          <w:b w:val="0"/>
          <w:i w:val="0"/>
        </w:rPr>
        <w:t xml:space="preserve"> Institutional retrenchment; abandonment risk; retrenchment cascade; market hysteresis; residual market capacity; institutional memory loss; exit legitimacy; consumer stranding.</w:t>
      </w:r>
    </w:p>
    <w:p>
      <w:r>
        <w:rPr>
          <w:b/>
          <w:i w:val="0"/>
        </w:rPr>
        <w:t>15. Possible Mediators</w:t>
      </w:r>
      <w:r>
        <w:rPr>
          <w:b w:val="0"/>
          <w:i w:val="0"/>
        </w:rPr>
        <w:t xml:space="preserve"> Intermediary density; local trust erosion; substitution accessibility; information infrastructure loss; out-migration of high-value consumers.</w:t>
      </w:r>
    </w:p>
    <w:p>
      <w:r>
        <w:rPr>
          <w:b/>
          <w:i w:val="0"/>
        </w:rPr>
        <w:t>16. Possible Moderators</w:t>
      </w:r>
      <w:r>
        <w:rPr>
          <w:b w:val="0"/>
          <w:i w:val="0"/>
        </w:rPr>
        <w:t xml:space="preserve"> Welfare-state thickness; regulatory obligation-to-serve; population density; climate-risk exposure; social capital; presence of cooperative/mutual organizational forms; digital-access substitutes.</w:t>
      </w:r>
    </w:p>
    <w:p>
      <w:r>
        <w:rPr>
          <w:b/>
          <w:i w:val="0"/>
        </w:rPr>
        <w:t>17. Unit of Analysis</w:t>
      </w:r>
      <w:r>
        <w:rPr>
          <w:b w:val="0"/>
          <w:i w:val="0"/>
        </w:rPr>
        <w:t xml:space="preserve"> Local market system (primary — postcode/commune/county); firm exit decision (secondary); household (tertiary).</w:t>
      </w:r>
    </w:p>
    <w:p>
      <w:r>
        <w:rPr>
          <w:b/>
          <w:i w:val="0"/>
        </w:rPr>
        <w:t>18. Potential Datasets</w:t>
      </w:r>
      <w:r>
        <w:rPr>
          <w:b w:val="0"/>
          <w:i w:val="0"/>
        </w:rPr>
        <w:t xml:space="preserve"> US NAIC insurance filings and FEMA/NOAA loss data; FDIC Summary of Deposits and UK LINK/FCA branch-closure records; NHS/pharmacy closure registries; USDA Food Access Research Atlas; Eurostat NUTS-3 service-access indicators; Japanese METI retail-access surveys; local newspaper closure datasets; Nielsen/Kantar household panels for consumption response.</w:t>
      </w:r>
    </w:p>
    <w:p>
      <w:r>
        <w:rPr>
          <w:b/>
          <w:i w:val="0"/>
        </w:rPr>
        <w:t>19. Countries Where Research Would Be Valuable</w:t>
      </w:r>
      <w:r>
        <w:rPr>
          <w:b w:val="0"/>
          <w:i w:val="0"/>
        </w:rPr>
        <w:t xml:space="preserve"> US, Australia, UK, France, Italy, Spain, Japan, Germany (eastern regions), Canada (northern communities). Contrast with India/Brazil to sharpen the </w:t>
      </w:r>
      <w:r>
        <w:rPr>
          <w:b w:val="0"/>
          <w:i/>
        </w:rPr>
        <w:t>void vs. retrenchment</w:t>
      </w:r>
      <w:r>
        <w:rPr>
          <w:b w:val="0"/>
          <w:i w:val="0"/>
        </w:rPr>
        <w:t xml:space="preserve"> distinction.</w:t>
      </w:r>
    </w:p>
    <w:p>
      <w:r>
        <w:rPr>
          <w:b/>
          <w:i w:val="0"/>
        </w:rPr>
        <w:t>20. Practical Implications</w:t>
      </w:r>
      <w:r>
        <w:rPr>
          <w:b w:val="0"/>
          <w:i w:val="0"/>
        </w:rPr>
        <w:t xml:space="preserve"> Enables early-warning indicators of market collapse for regulators; gives firms exit-sequencing guidance that limits legitimacy damage; informs universal-service obligation design and public-private "market of last resort" mechanisms.</w:t>
      </w:r>
    </w:p>
    <w:p>
      <w:r>
        <w:rPr>
          <w:b/>
          <w:i w:val="0"/>
        </w:rPr>
        <w:t>21. Risks Reviewers May Identify</w:t>
      </w:r>
      <w:r>
        <w:rPr>
          <w:b w:val="0"/>
          <w:i w:val="0"/>
        </w:rPr>
        <w:t xml:space="preserve"> (a) "This is economic geography / public policy, not marketing." (b) Endogeneity: firms exit because demand fell, so is retrenchment cause or consequence? (c) Case-selection bias toward dramatic collapses. (d) Difficulty establishing cascade causality. (e) Construct proliferation without discipline.</w:t>
      </w:r>
    </w:p>
    <w:p>
      <w:r>
        <w:rPr>
          <w:b/>
          <w:i w:val="0"/>
        </w:rPr>
        <w:t>22. How to Strengthen the Theoretical Contribution</w:t>
      </w:r>
      <w:r>
        <w:rPr>
          <w:b w:val="0"/>
          <w:i w:val="0"/>
        </w:rPr>
        <w:t xml:space="preserve"> Make the </w:t>
      </w:r>
      <w:r>
        <w:rPr>
          <w:b w:val="0"/>
          <w:i/>
        </w:rPr>
        <w:t>asymmetry</w:t>
      </w:r>
      <w:r>
        <w:rPr>
          <w:b w:val="0"/>
          <w:i w:val="0"/>
        </w:rPr>
        <w:t xml:space="preserve"> claim the theoretical centerpiece and test it directly: show empirically that formation and de-formation follow non-mirror sequences. Explicitly falsify institutional void theory's teleology with a case where intermediaries had emerged and then disappeared. Derive counterintuitive predictions — e.g., that retrenchment accelerates fastest in markets with </w:t>
      </w:r>
      <w:r>
        <w:rPr>
          <w:b w:val="0"/>
          <w:i/>
        </w:rPr>
        <w:t>moderate</w:t>
      </w:r>
      <w:r>
        <w:rPr>
          <w:b w:val="0"/>
          <w:i w:val="0"/>
        </w:rPr>
        <w:t>, not lowest, profitability, because moderate markets lack both economic necessity and political protection. Anchor the marketing contribution by showing that consumer response (stranded loyalty, hoarding, spite-based switching) is itself a cascade accelerant.</w:t>
      </w:r>
    </w:p>
    <w:p>
      <w:pPr>
        <w:pStyle w:val="Heading1"/>
        <w:jc w:val="left"/>
      </w:pPr>
      <w:r>
        <w:rPr>
          <w:b w:val="0"/>
          <w:i w:val="0"/>
          <w:color w:val="1A1A1A"/>
        </w:rPr>
        <w:t>3. Value the Firm Cannot Keep: Extending Strategy Theory to Regenerative Business Models</w:t>
      </w:r>
    </w:p>
    <w:p>
      <w:r>
        <w:rPr>
          <w:b/>
          <w:i w:val="0"/>
        </w:rPr>
        <w:t>1. Research Theme</w:t>
      </w:r>
      <w:r>
        <w:rPr>
          <w:b w:val="0"/>
          <w:i w:val="0"/>
        </w:rPr>
        <w:t xml:space="preserve"> Regenerative business models / circular economy / strategy / supply chain sustainability.</w:t>
      </w:r>
    </w:p>
    <w:p>
      <w:r>
        <w:rPr>
          <w:b/>
          <w:i w:val="0"/>
        </w:rPr>
        <w:t>2. Exact FT50-Level Research Topic</w:t>
      </w:r>
      <w:r>
        <w:rPr>
          <w:b w:val="0"/>
          <w:i w:val="0"/>
        </w:rPr>
        <w:t xml:space="preserve"> </w:t>
      </w:r>
      <w:r>
        <w:rPr>
          <w:b w:val="0"/>
          <w:i/>
        </w:rPr>
        <w:t>Non-Appropriable Value Creation: Why Resource-Based and Stakeholder Theories Cannot Explain Regenerative Investment, and What Replaces Them.</w:t>
      </w:r>
    </w:p>
    <w:p>
      <w:r>
        <w:rPr>
          <w:b/>
          <w:i w:val="0"/>
        </w:rPr>
        <w:t>3. Why This Topic Matters Now</w:t>
      </w:r>
      <w:r>
        <w:rPr>
          <w:b w:val="0"/>
          <w:i w:val="0"/>
        </w:rPr>
        <w:t xml:space="preserve"> The frontier of corporate sustainability has shifted from harm reduction to </w:t>
      </w:r>
      <w:r>
        <w:rPr>
          <w:b w:val="0"/>
          <w:i/>
        </w:rPr>
        <w:t>regeneration</w:t>
      </w:r>
      <w:r>
        <w:rPr>
          <w:b w:val="0"/>
          <w:i w:val="0"/>
        </w:rPr>
        <w:t xml:space="preserve"> — soil carbon and biodiversity restoration in agriculture, watershed recharge, fishery and forest rebuilding, regenerative material loops. JSCM's 60th-anniversary call put regeneration on the field's agenda. But regenerative investments have a defining property that breaks strategy theory: </w:t>
      </w:r>
      <w:r>
        <w:rPr>
          <w:b/>
          <w:i w:val="0"/>
        </w:rPr>
        <w:t>the value created is largely non-appropriable and inter-temporally displaced.</w:t>
      </w:r>
      <w:r>
        <w:rPr>
          <w:b w:val="0"/>
          <w:i w:val="0"/>
        </w:rPr>
        <w:t xml:space="preserve"> Restored soil benefits a tenant farmer's successor; a rebuilt aquifer benefits every abstractor; biodiversity returns accrue over 30–80 years, beyond the average firm's life and far beyond any CEO's tenure.</w:t>
      </w:r>
    </w:p>
    <w:p>
      <w:r>
        <w:rPr>
          <w:b/>
          <w:i w:val="0"/>
        </w:rPr>
        <w:t>4. Why Existing Literature Is Insufficient</w:t>
      </w:r>
      <w:r>
        <w:rPr>
          <w:b w:val="0"/>
          <w:i w:val="0"/>
        </w:rPr>
        <w:t xml:space="preserve"> RBV explains investment in resources that are valuable, rare, inimitable, </w:t>
      </w:r>
      <w:r>
        <w:rPr>
          <w:b w:val="0"/>
          <w:i/>
        </w:rPr>
        <w:t>and controlled by the firm</w:t>
      </w:r>
      <w:r>
        <w:rPr>
          <w:b w:val="0"/>
          <w:i w:val="0"/>
        </w:rPr>
        <w:t>; regenerative resources are the inverse — often common-pool, non-excludable, and inimitable precisely because no one owns them. Stakeholder theory identifies who has claims but cannot tell us how a firm rationally invests where the residual claimant is an ecosystem or an unborn generation. Natural-RBV and shared-value logics quietly re-appropriate the value ("green pays"), which is empirically false for the hardest regenerative cases. Circular economy research is dominated by material-flow and technical-efficiency framings with thin theory. Commons governance (Ostrom) explains collective self-management among identifiable appropriators, not unilateral investment by a competitive firm.</w:t>
      </w:r>
    </w:p>
    <w:p>
      <w:r>
        <w:rPr>
          <w:b/>
          <w:i w:val="0"/>
        </w:rPr>
        <w:t>5. Theories Needing Extension or Challenge</w:t>
      </w:r>
      <w:r>
        <w:rPr>
          <w:b w:val="0"/>
          <w:i w:val="0"/>
        </w:rPr>
        <w:t xml:space="preserve"> Resource-Based View (challenge the appropriability premise); Natural-RBV; Stakeholder Theory (needs a theory of non-agentic and future stakeholders); Transaction Cost Economics (regeneration is a governance problem with no contractible object); Institutional Theory (how regenerative claims acquire legitimacy absent measurable returns); Systems Theory; Commons theory; Upper Echelons (which executive cohorts authorize non-appropriable investment).</w:t>
      </w:r>
    </w:p>
    <w:p>
      <w:r>
        <w:rPr>
          <w:b/>
          <w:i w:val="0"/>
        </w:rPr>
        <w:t>6. Potential Theoretical Contribution</w:t>
      </w:r>
      <w:r>
        <w:rPr>
          <w:b w:val="0"/>
          <w:i w:val="0"/>
        </w:rPr>
        <w:t xml:space="preserve"> A theory of </w:t>
      </w:r>
      <w:r>
        <w:rPr>
          <w:b/>
          <w:i w:val="0"/>
        </w:rPr>
        <w:t>stewardship rents</w:t>
      </w:r>
      <w:r>
        <w:rPr>
          <w:b w:val="0"/>
          <w:i w:val="0"/>
        </w:rPr>
        <w:t xml:space="preserve">: the mechanisms through which firms capture </w:t>
      </w:r>
      <w:r>
        <w:rPr>
          <w:b w:val="0"/>
          <w:i/>
        </w:rPr>
        <w:t>partial, indirect, and delayed</w:t>
      </w:r>
      <w:r>
        <w:rPr>
          <w:b w:val="0"/>
          <w:i w:val="0"/>
        </w:rPr>
        <w:t xml:space="preserve"> returns from value they cannot own — including supply-security rents, regulatory-option value, legitimacy rents, and relational lock-in with land/resource holders. Formally, this extends RBV from </w:t>
      </w:r>
      <w:r>
        <w:rPr>
          <w:b w:val="0"/>
          <w:i/>
        </w:rPr>
        <w:t>appropriation</w:t>
      </w:r>
      <w:r>
        <w:rPr>
          <w:b w:val="0"/>
          <w:i w:val="0"/>
        </w:rPr>
        <w:t xml:space="preserve"> to </w:t>
      </w:r>
      <w:r>
        <w:rPr>
          <w:b w:val="0"/>
          <w:i/>
        </w:rPr>
        <w:t>co-appropriation under non-excludability</w:t>
      </w:r>
      <w:r>
        <w:rPr>
          <w:b w:val="0"/>
          <w:i w:val="0"/>
        </w:rPr>
        <w:t xml:space="preserve">, and gives stakeholder theory its missing decision rule. A second contribution: an </w:t>
      </w:r>
      <w:r>
        <w:rPr>
          <w:b/>
          <w:i w:val="0"/>
        </w:rPr>
        <w:t>appropriability-horizon typology</w:t>
      </w:r>
      <w:r>
        <w:rPr>
          <w:b w:val="0"/>
          <w:i w:val="0"/>
        </w:rPr>
        <w:t xml:space="preserve"> that predicts which regenerative investments firms will and will not make, explaining the observed pattern of corporate regeneration far better than commitment or values-based accounts.</w:t>
      </w:r>
    </w:p>
    <w:p>
      <w:r>
        <w:rPr>
          <w:b/>
          <w:i w:val="0"/>
        </w:rPr>
        <w:t>7. Level of Novelty</w:t>
      </w:r>
      <w:r>
        <w:rPr>
          <w:b w:val="0"/>
          <w:i w:val="0"/>
        </w:rPr>
        <w:t xml:space="preserve"> </w:t>
      </w:r>
      <w:r>
        <w:rPr>
          <w:b/>
          <w:i w:val="0"/>
        </w:rPr>
        <w:t>Breakthrough</w:t>
      </w:r>
      <w:r>
        <w:rPr>
          <w:b w:val="0"/>
          <w:i w:val="0"/>
        </w:rPr>
        <w:t xml:space="preserve"> (the theoretical problem is genuinely unsolved).</w:t>
      </w:r>
    </w:p>
    <w:p>
      <w:r>
        <w:rPr>
          <w:b/>
          <w:i w:val="0"/>
        </w:rPr>
        <w:t>8. Potential Managerial Contribution</w:t>
      </w:r>
      <w:r>
        <w:rPr>
          <w:b w:val="0"/>
          <w:i w:val="0"/>
        </w:rPr>
        <w:t xml:space="preserve"> A defensible investment logic for regenerative programs that currently die in capital-allocation committees. Practical guidance on structuring long-horizon supplier and landholder arrangements, on which regenerative claims are legitimacy-productive versus greenwash-exposed, and on the governance forms (cooperatives, land trusts, outcome-based contracts, pre-competitive consortia) that convert non-appropriable value into partially appropriable rents.</w:t>
      </w:r>
    </w:p>
    <w:p>
      <w:r>
        <w:rPr>
          <w:b/>
          <w:i w:val="0"/>
        </w:rPr>
        <w:t>9. Societal Relevance</w:t>
      </w:r>
      <w:r>
        <w:rPr>
          <w:b w:val="0"/>
          <w:i w:val="0"/>
        </w:rPr>
        <w:t xml:space="preserve"> Very high. Biodiversity loss and soil degradation are as consequential as emissions and far less tractable via market mechanisms. If firms cannot rationally invest in regeneration, the burden falls entirely on the state.</w:t>
      </w:r>
    </w:p>
    <w:p>
      <w:r>
        <w:rPr>
          <w:b/>
          <w:i w:val="0"/>
        </w:rPr>
        <w:t>10. Suitable FT50 Journals</w:t>
      </w:r>
      <w:r>
        <w:rPr>
          <w:b w:val="0"/>
          <w:i w:val="0"/>
        </w:rPr>
        <w:t xml:space="preserve"> </w:t>
      </w:r>
      <w:r>
        <w:rPr>
          <w:b w:val="0"/>
          <w:i/>
        </w:rPr>
        <w:t>Academy of Management Review</w:t>
      </w:r>
      <w:r>
        <w:rPr>
          <w:b w:val="0"/>
          <w:i w:val="0"/>
        </w:rPr>
        <w:t xml:space="preserve"> (pure theory), </w:t>
      </w:r>
      <w:r>
        <w:rPr>
          <w:b w:val="0"/>
          <w:i/>
        </w:rPr>
        <w:t>Strategic Management Journal</w:t>
      </w:r>
      <w:r>
        <w:rPr>
          <w:b w:val="0"/>
          <w:i w:val="0"/>
        </w:rPr>
        <w:t xml:space="preserve">, </w:t>
      </w:r>
      <w:r>
        <w:rPr>
          <w:b w:val="0"/>
          <w:i/>
        </w:rPr>
        <w:t>Journal of Supply Chain Management</w:t>
      </w:r>
      <w:r>
        <w:rPr>
          <w:b w:val="0"/>
          <w:i w:val="0"/>
        </w:rPr>
        <w:t xml:space="preserve">, </w:t>
      </w:r>
      <w:r>
        <w:rPr>
          <w:b w:val="0"/>
          <w:i/>
        </w:rPr>
        <w:t>Journal of Operations Management</w:t>
      </w:r>
      <w:r>
        <w:rPr>
          <w:b w:val="0"/>
          <w:i w:val="0"/>
        </w:rPr>
        <w:t xml:space="preserve">, </w:t>
      </w:r>
      <w:r>
        <w:rPr>
          <w:b w:val="0"/>
          <w:i/>
        </w:rPr>
        <w:t>Journal of Marketing</w:t>
      </w:r>
      <w:r>
        <w:rPr>
          <w:b w:val="0"/>
          <w:i w:val="0"/>
        </w:rPr>
        <w:t xml:space="preserve"> (for the demand-side/brand companion), </w:t>
      </w:r>
      <w:r>
        <w:rPr>
          <w:b w:val="0"/>
          <w:i/>
        </w:rPr>
        <w:t>Organization Science</w:t>
      </w:r>
      <w:r>
        <w:rPr>
          <w:b w:val="0"/>
          <w:i w:val="0"/>
        </w:rPr>
        <w:t xml:space="preserve">, </w:t>
      </w:r>
      <w:r>
        <w:rPr>
          <w:b w:val="0"/>
          <w:i/>
        </w:rPr>
        <w:t>Research Policy</w:t>
      </w:r>
      <w:r>
        <w:rPr>
          <w:b w:val="0"/>
          <w:i w:val="0"/>
        </w:rPr>
        <w:t xml:space="preserve"> (innovation-system framing).</w:t>
      </w:r>
    </w:p>
    <w:p>
      <w:r>
        <w:rPr>
          <w:b/>
          <w:i w:val="0"/>
        </w:rPr>
        <w:t>11. Type of Paper</w:t>
      </w:r>
      <w:r>
        <w:rPr>
          <w:b w:val="0"/>
          <w:i w:val="0"/>
        </w:rPr>
        <w:t xml:space="preserve"> Pure Theory Paper (AMR) with a Theory + Field Study companion (JSCM/JOM); ideally a matched pair.</w:t>
      </w:r>
    </w:p>
    <w:p>
      <w:r>
        <w:rPr>
          <w:b/>
          <w:i w:val="0"/>
        </w:rPr>
        <w:t>12. Recommended Methodology</w:t>
      </w:r>
      <w:r>
        <w:rPr>
          <w:b w:val="0"/>
          <w:i w:val="0"/>
        </w:rPr>
        <w:t xml:space="preserve"> Theory paper: formal deductive development of appropriability conditions with propositions. Empirical companion: embedded multiple-case study of 6–10 regenerative supply chains (Danone/Nestlé regenerative dairy and cocoa, General Mills regenerative oats, Unilever/Olam regenerative sourcing, textile regenerative cotton programs, Dutch and Danish water utilities, New Zealand/Irish dairy schemes), tracing capital-allocation decisions and contract architecture. Add a discrete-choice manager experiment varying appropriability horizon and excludability to test the typology's predictions, plus event studies of regenerative-commitment announcements.</w:t>
      </w:r>
    </w:p>
    <w:p>
      <w:r>
        <w:rPr>
          <w:b/>
          <w:i w:val="0"/>
        </w:rPr>
        <w:t>13. Suitable Theories</w:t>
      </w:r>
      <w:r>
        <w:rPr>
          <w:b w:val="0"/>
          <w:i w:val="0"/>
        </w:rPr>
        <w:t xml:space="preserve"> RBV / Natural-RBV, Stakeholder Theory, TCE, Property Rights Theory, Commons Governance, Institutional Theory, Systems Theory, Upper Echelons, Real Options.</w:t>
      </w:r>
    </w:p>
    <w:p>
      <w:r>
        <w:rPr>
          <w:b/>
          <w:i w:val="0"/>
        </w:rPr>
        <w:t>14. Potential Constructs</w:t>
      </w:r>
      <w:r>
        <w:rPr>
          <w:b w:val="0"/>
          <w:i w:val="0"/>
        </w:rPr>
        <w:t xml:space="preserve"> Non-appropriable value; stewardship rent; appropriability horizon; excludability gradient; regenerative lock-in; ecological dependence intensity; intergenerational discount legitimacy.</w:t>
      </w:r>
    </w:p>
    <w:p>
      <w:r>
        <w:rPr>
          <w:b/>
          <w:i w:val="0"/>
        </w:rPr>
        <w:t>15. Possible Mediators</w:t>
      </w:r>
      <w:r>
        <w:rPr>
          <w:b w:val="0"/>
          <w:i w:val="0"/>
        </w:rPr>
        <w:t xml:space="preserve"> Contract duration and structure; supplier relational embeddedness; internal cost-of-capital treatment; legitimacy accrual; measurement infrastructure availability.</w:t>
      </w:r>
    </w:p>
    <w:p>
      <w:r>
        <w:rPr>
          <w:b/>
          <w:i w:val="0"/>
        </w:rPr>
        <w:t>16. Possible Moderators</w:t>
      </w:r>
      <w:r>
        <w:rPr>
          <w:b w:val="0"/>
          <w:i w:val="0"/>
        </w:rPr>
        <w:t xml:space="preserve"> Ecological dependence of the core input; land-tenure security; ownership form (family/cooperative/listed); CEO horizon and tenure; regulatory anticipation (e.g., EU deforestation and nature-restoration rules); pre-competitive consortium presence.</w:t>
      </w:r>
    </w:p>
    <w:p>
      <w:r>
        <w:rPr>
          <w:b/>
          <w:i w:val="0"/>
        </w:rPr>
        <w:t>17. Unit of Analysis</w:t>
      </w:r>
      <w:r>
        <w:rPr>
          <w:b w:val="0"/>
          <w:i w:val="0"/>
        </w:rPr>
        <w:t xml:space="preserve"> Firm–resource-system dyad (primary); investment decision (secondary); supply chain (tertiary).</w:t>
      </w:r>
    </w:p>
    <w:p>
      <w:r>
        <w:rPr>
          <w:b/>
          <w:i w:val="0"/>
        </w:rPr>
        <w:t>18. Potential Datasets</w:t>
      </w:r>
      <w:r>
        <w:rPr>
          <w:b w:val="0"/>
          <w:i w:val="0"/>
        </w:rPr>
        <w:t xml:space="preserve"> CDP Forests and Water disclosures; TNFD early-adopter reports; SBTN validated targets; regenerative-agriculture certification and hectare data; satellite-derived soil-carbon and land-cover series (Sentinel/Landsat, SoilGrids); Orbis/Compustat; procurement contract archives; earnings-call and 10-K text on natural capital.</w:t>
      </w:r>
    </w:p>
    <w:p>
      <w:r>
        <w:rPr>
          <w:b/>
          <w:i w:val="0"/>
        </w:rPr>
        <w:t>19. Countries Where Research Would Be Valuable</w:t>
      </w:r>
      <w:r>
        <w:rPr>
          <w:b w:val="0"/>
          <w:i w:val="0"/>
        </w:rPr>
        <w:t xml:space="preserve"> Netherlands, Denmark, New Zealand, Ireland (intensive agriculture under ecological constraint); Brazil, Indonesia, Côte d'Ivoire, Ghana, India (regeneration under weak tenure); US Midwest; Australia (water and soil); France (agroecology policy).</w:t>
      </w:r>
    </w:p>
    <w:p>
      <w:r>
        <w:rPr>
          <w:b/>
          <w:i w:val="0"/>
        </w:rPr>
        <w:t>20. Practical Implications</w:t>
      </w:r>
      <w:r>
        <w:rPr>
          <w:b w:val="0"/>
          <w:i w:val="0"/>
        </w:rPr>
        <w:t xml:space="preserve"> Provides CFO-grade logic for long-horizon ecological investment; identifies contract and governance designs that make regeneration financeable; guides TNFD-era disclosure toward decision-relevant metrics.</w:t>
      </w:r>
    </w:p>
    <w:p>
      <w:r>
        <w:rPr>
          <w:b/>
          <w:i w:val="0"/>
        </w:rPr>
        <w:t>21. Risks Reviewers May Identify</w:t>
      </w:r>
      <w:r>
        <w:rPr>
          <w:b w:val="0"/>
          <w:i w:val="0"/>
        </w:rPr>
        <w:t xml:space="preserve"> (a) "This is just Natural-RBV / shared value / real options in new clothing." (b) Unfalsifiable propositions. (c) Case firms are best-practice outliers. (d) Measurement of ecological outcomes is too noisy for credible identification. (e) Normativity: the paper wants regeneration to pay.</w:t>
      </w:r>
    </w:p>
    <w:p>
      <w:r>
        <w:rPr>
          <w:b/>
          <w:i w:val="0"/>
        </w:rPr>
        <w:t>22. How to Strengthen the Theoretical Contribution</w:t>
      </w:r>
      <w:r>
        <w:rPr>
          <w:b w:val="0"/>
          <w:i w:val="0"/>
        </w:rPr>
        <w:t xml:space="preserve"> Be ruthless about the </w:t>
      </w:r>
      <w:r>
        <w:rPr>
          <w:b w:val="0"/>
          <w:i/>
        </w:rPr>
        <w:t>negative</w:t>
      </w:r>
      <w:r>
        <w:rPr>
          <w:b w:val="0"/>
          <w:i w:val="0"/>
        </w:rPr>
        <w:t xml:space="preserve"> result: build the theory so it predicts where regeneration will </w:t>
      </w:r>
      <w:r>
        <w:rPr>
          <w:b/>
          <w:i w:val="0"/>
        </w:rPr>
        <w:t>rationally not happen</w:t>
      </w:r>
      <w:r>
        <w:rPr>
          <w:b w:val="0"/>
          <w:i w:val="0"/>
        </w:rPr>
        <w:t>, and show that prediction holds. This is what separates theory from advocacy and is exactly what an AMR reviewer will look for. Formalize excludability and horizon as continuous parameters and derive comparative statics. Demonstrate that RBV makes a specific wrong prediction (that firms will not invest in non-appropriable resources) and that observed investment patterns violate it in a systematic, explainable way.</w:t>
      </w:r>
    </w:p>
    <w:p>
      <w:pPr>
        <w:pStyle w:val="Heading1"/>
        <w:jc w:val="left"/>
      </w:pPr>
      <w:r>
        <w:rPr>
          <w:b w:val="0"/>
          <w:i w:val="0"/>
          <w:color w:val="1A1A1A"/>
        </w:rPr>
        <w:t>4. Fairness Without a Reference Point: The Collapse of the Shared Price</w:t>
      </w:r>
    </w:p>
    <w:p>
      <w:r>
        <w:rPr>
          <w:b/>
          <w:i w:val="0"/>
        </w:rPr>
        <w:t>1. Research Theme</w:t>
      </w:r>
      <w:r>
        <w:rPr>
          <w:b w:val="0"/>
          <w:i w:val="0"/>
        </w:rPr>
        <w:t xml:space="preserve"> Behavioral pricing / marketplace fairness / behavioral decision making / consumer psychology.</w:t>
      </w:r>
    </w:p>
    <w:p>
      <w:r>
        <w:rPr>
          <w:b/>
          <w:i w:val="0"/>
        </w:rPr>
        <w:t>2. Exact FT50-Level Research Topic</w:t>
      </w:r>
      <w:r>
        <w:rPr>
          <w:b w:val="0"/>
          <w:i w:val="0"/>
        </w:rPr>
        <w:t xml:space="preserve"> </w:t>
      </w:r>
      <w:r>
        <w:rPr>
          <w:b w:val="0"/>
          <w:i/>
        </w:rPr>
        <w:t>Fairness Judgment Without a Reference Price: How Consumers Infer Distributive Fairness When No Shared Price Exists — and Why Dual Entitlement Breaks Down.</w:t>
      </w:r>
    </w:p>
    <w:p>
      <w:r>
        <w:rPr>
          <w:b/>
          <w:i w:val="0"/>
        </w:rPr>
        <w:t>3. Why This Topic Matters Now</w:t>
      </w:r>
      <w:r>
        <w:rPr>
          <w:b w:val="0"/>
          <w:i w:val="0"/>
        </w:rPr>
        <w:t xml:space="preserve"> Price fairness theory rests on a structural assumption that is dissolving: that a </w:t>
      </w:r>
      <w:r>
        <w:rPr>
          <w:b w:val="0"/>
          <w:i/>
        </w:rPr>
        <w:t>publicly observable reference price</w:t>
      </w:r>
      <w:r>
        <w:rPr>
          <w:b w:val="0"/>
          <w:i w:val="0"/>
        </w:rPr>
        <w:t xml:space="preserve"> exists. Individualized offers, opaque dynamic pricing, loyalty-tier pricing, surge and time-of-day pricing, drip fees, personalized discounting, and regionally fragmented digital storefronts mean many consumers now transact with </w:t>
      </w:r>
      <w:r>
        <w:rPr>
          <w:b w:val="0"/>
          <w:i/>
        </w:rPr>
        <w:t>no knowledge of what anyone else paid</w:t>
      </w:r>
      <w:r>
        <w:rPr>
          <w:b w:val="0"/>
          <w:i w:val="0"/>
        </w:rPr>
        <w:t>. Regulators (EU price-transparency and personalization disclosure rules, US junk-fee rules) are legislating into this space with essentially no behavioral theory to guide them.</w:t>
      </w:r>
    </w:p>
    <w:p>
      <w:r>
        <w:rPr>
          <w:b/>
          <w:i w:val="0"/>
        </w:rPr>
        <w:t>4. Why Existing Literature Is Insufficient</w:t>
      </w:r>
      <w:r>
        <w:rPr>
          <w:b w:val="0"/>
          <w:i w:val="0"/>
        </w:rPr>
        <w:t xml:space="preserve"> Dual entitlement, equity theory, and reference-price models all require a comparison standard: the past price, the posted price, or the price others pay. Remove that standard and the theory has no input. The personalized-pricing literature has mostly asked </w:t>
      </w:r>
      <w:r>
        <w:rPr>
          <w:b w:val="0"/>
          <w:i/>
        </w:rPr>
        <w:t>whether</w:t>
      </w:r>
      <w:r>
        <w:rPr>
          <w:b w:val="0"/>
          <w:i w:val="0"/>
        </w:rPr>
        <w:t xml:space="preserve"> consumers dislike personalization (they do) rather than </w:t>
      </w:r>
      <w:r>
        <w:rPr>
          <w:b w:val="0"/>
          <w:i/>
        </w:rPr>
        <w:t>how fairness judgments are constructed in the absence of comparison</w:t>
      </w:r>
      <w:r>
        <w:rPr>
          <w:b w:val="0"/>
          <w:i w:val="0"/>
        </w:rPr>
        <w:t xml:space="preserve">. Existing work treats reference-price uncertainty as measurement noise rather than a substantive theoretical condition. Meanwhile, the mechanism consumers plausibly use — inference about the </w:t>
      </w:r>
      <w:r>
        <w:rPr>
          <w:b w:val="0"/>
          <w:i/>
        </w:rPr>
        <w:t>distribution</w:t>
      </w:r>
      <w:r>
        <w:rPr>
          <w:b w:val="0"/>
          <w:i w:val="0"/>
        </w:rPr>
        <w:t xml:space="preserve"> of prices, including their own position within it — has never been formalized.</w:t>
      </w:r>
    </w:p>
    <w:p>
      <w:r>
        <w:rPr>
          <w:b/>
          <w:i w:val="0"/>
        </w:rPr>
        <w:t>5. Theories Needing Extension or Challenge</w:t>
      </w:r>
      <w:r>
        <w:rPr>
          <w:b w:val="0"/>
          <w:i w:val="0"/>
        </w:rPr>
        <w:t xml:space="preserve"> Dual Entitlement (challenge: its scope condition has expired); Equity Theory; Prospect Theory / reference dependence (needs an account of endogenous reference construction); Behavioral Decision Theory; Justice Theory (procedural fairness substituting for distributive fairness); Attribution Theory; Construal Level Theory (abstract vs. concrete price representation); Signaling Theory (opacity as a signal).</w:t>
      </w:r>
    </w:p>
    <w:p>
      <w:r>
        <w:rPr>
          <w:b/>
          <w:i w:val="0"/>
        </w:rPr>
        <w:t>6. Potential Theoretical Contribution</w:t>
      </w:r>
      <w:r>
        <w:rPr>
          <w:b w:val="0"/>
          <w:i w:val="0"/>
        </w:rPr>
        <w:t xml:space="preserve"> A theory of </w:t>
      </w:r>
      <w:r>
        <w:rPr>
          <w:b/>
          <w:i w:val="0"/>
        </w:rPr>
        <w:t>distributional inference in fairness judgment</w:t>
      </w:r>
      <w:r>
        <w:rPr>
          <w:b w:val="0"/>
          <w:i w:val="0"/>
        </w:rPr>
        <w:t xml:space="preserve">: when no reference price is available, consumers construct a </w:t>
      </w:r>
      <w:r>
        <w:rPr>
          <w:b w:val="0"/>
          <w:i/>
        </w:rPr>
        <w:t>subjective price distribution</w:t>
      </w:r>
      <w:r>
        <w:rPr>
          <w:b w:val="0"/>
          <w:i w:val="0"/>
        </w:rPr>
        <w:t xml:space="preserve"> and evaluate fairness based on inferred percentile position, inferred dispersion, and inferred </w:t>
      </w:r>
      <w:r>
        <w:rPr>
          <w:b w:val="0"/>
          <w:i/>
        </w:rPr>
        <w:t>reason</w:t>
      </w:r>
      <w:r>
        <w:rPr>
          <w:b w:val="0"/>
          <w:i w:val="0"/>
        </w:rPr>
        <w:t xml:space="preserve"> for dispersion. Three testable and counterintuitive implications: (i) fairness perceptions depend more on believed </w:t>
      </w:r>
      <w:r>
        <w:rPr>
          <w:b w:val="0"/>
          <w:i/>
        </w:rPr>
        <w:t>variance</w:t>
      </w:r>
      <w:r>
        <w:rPr>
          <w:b w:val="0"/>
          <w:i w:val="0"/>
        </w:rPr>
        <w:t xml:space="preserve"> than believed </w:t>
      </w:r>
      <w:r>
        <w:rPr>
          <w:b w:val="0"/>
          <w:i/>
        </w:rPr>
        <w:t>mean</w:t>
      </w:r>
      <w:r>
        <w:rPr>
          <w:b w:val="0"/>
          <w:i w:val="0"/>
        </w:rPr>
        <w:t xml:space="preserve">, so a firm can raise average prices and improve fairness perceptions by compressing perceived dispersion; (ii) partial transparency can be </w:t>
      </w:r>
      <w:r>
        <w:rPr>
          <w:b w:val="0"/>
          <w:i/>
        </w:rPr>
        <w:t>worse</w:t>
      </w:r>
      <w:r>
        <w:rPr>
          <w:b w:val="0"/>
          <w:i w:val="0"/>
        </w:rPr>
        <w:t xml:space="preserve"> than opacity because it enables unfavorable percentile inference; (iii) procedural fairness cues become the dominant input, meaning fairness becomes largely decoupled from the actual price paid. This replaces a static comparison model with a generative inference model and reopens one of behavioral pricing's most canonical results.</w:t>
      </w:r>
    </w:p>
    <w:p>
      <w:r>
        <w:rPr>
          <w:b/>
          <w:i w:val="0"/>
        </w:rPr>
        <w:t>7. Level of Novelty</w:t>
      </w:r>
      <w:r>
        <w:rPr>
          <w:b w:val="0"/>
          <w:i w:val="0"/>
        </w:rPr>
        <w:t xml:space="preserve"> </w:t>
      </w:r>
      <w:r>
        <w:rPr>
          <w:b/>
          <w:i w:val="0"/>
        </w:rPr>
        <w:t>High.</w:t>
      </w:r>
    </w:p>
    <w:p>
      <w:r>
        <w:rPr>
          <w:b/>
          <w:i w:val="0"/>
        </w:rPr>
        <w:t>8. Potential Managerial Contribution</w:t>
      </w:r>
      <w:r>
        <w:rPr>
          <w:b w:val="0"/>
          <w:i w:val="0"/>
        </w:rPr>
        <w:t xml:space="preserve"> Actionable design rules for personalized-pricing disclosure: what to reveal, what to compress, and when transparency backfires. A dispersion-management toolkit (price-band communication, fairness guarantees, "you paid within X% of the typical customer" framing) and guidance on loyalty-tier architecture that survives fairness scrutiny.</w:t>
      </w:r>
    </w:p>
    <w:p>
      <w:r>
        <w:rPr>
          <w:b/>
          <w:i w:val="0"/>
        </w:rPr>
        <w:t>9. Societal Relevance</w:t>
      </w:r>
      <w:r>
        <w:rPr>
          <w:b w:val="0"/>
          <w:i w:val="0"/>
        </w:rPr>
        <w:t xml:space="preserve"> High. Perceived price unfairness is a leading driver of eroding public trust in markets and of regulatory intervention; personalized pricing raises real distributional concerns for vulnerable consumers who may be systematically placed in adverse percentiles.</w:t>
      </w:r>
    </w:p>
    <w:p>
      <w:r>
        <w:rPr>
          <w:b/>
          <w:i w:val="0"/>
        </w:rPr>
        <w:t>10. Suitable FT50 Journals</w:t>
      </w:r>
      <w:r>
        <w:rPr>
          <w:b w:val="0"/>
          <w:i w:val="0"/>
        </w:rPr>
        <w:t xml:space="preserve"> </w:t>
      </w:r>
      <w:r>
        <w:rPr>
          <w:b w:val="0"/>
          <w:i/>
        </w:rPr>
        <w:t>Journal of Marketing Research</w:t>
      </w:r>
      <w:r>
        <w:rPr>
          <w:b w:val="0"/>
          <w:i w:val="0"/>
        </w:rPr>
        <w:t xml:space="preserve"> (lead), </w:t>
      </w:r>
      <w:r>
        <w:rPr>
          <w:b w:val="0"/>
          <w:i/>
        </w:rPr>
        <w:t>Journal of Consumer Research</w:t>
      </w:r>
      <w:r>
        <w:rPr>
          <w:b w:val="0"/>
          <w:i w:val="0"/>
        </w:rPr>
        <w:t xml:space="preserve">, </w:t>
      </w:r>
      <w:r>
        <w:rPr>
          <w:b w:val="0"/>
          <w:i/>
        </w:rPr>
        <w:t>Journal of Marketing</w:t>
      </w:r>
      <w:r>
        <w:rPr>
          <w:b w:val="0"/>
          <w:i w:val="0"/>
        </w:rPr>
        <w:t xml:space="preserve">, </w:t>
      </w:r>
      <w:r>
        <w:rPr>
          <w:b w:val="0"/>
          <w:i/>
        </w:rPr>
        <w:t>Marketing Science</w:t>
      </w:r>
      <w:r>
        <w:rPr>
          <w:b w:val="0"/>
          <w:i w:val="0"/>
        </w:rPr>
        <w:t xml:space="preserve">, </w:t>
      </w:r>
      <w:r>
        <w:rPr>
          <w:b w:val="0"/>
          <w:i/>
        </w:rPr>
        <w:t>Management Science</w:t>
      </w:r>
      <w:r>
        <w:rPr>
          <w:b w:val="0"/>
          <w:i w:val="0"/>
        </w:rPr>
        <w:t xml:space="preserve">, </w:t>
      </w:r>
      <w:r>
        <w:rPr>
          <w:b w:val="0"/>
          <w:i/>
        </w:rPr>
        <w:t>Journal of Public Policy &amp; Marketing</w:t>
      </w:r>
      <w:r>
        <w:rPr>
          <w:b w:val="0"/>
          <w:i w:val="0"/>
        </w:rPr>
        <w:t>.</w:t>
      </w:r>
    </w:p>
    <w:p>
      <w:r>
        <w:rPr>
          <w:b/>
          <w:i w:val="0"/>
        </w:rPr>
        <w:t>11. Type of Paper</w:t>
      </w:r>
      <w:r>
        <w:rPr>
          <w:b w:val="0"/>
          <w:i w:val="0"/>
        </w:rPr>
        <w:t xml:space="preserve"> Multi-study Behavioral Experiments, with a field experiment and an incentive-compatible market study.</w:t>
      </w:r>
    </w:p>
    <w:p>
      <w:r>
        <w:rPr>
          <w:b/>
          <w:i w:val="0"/>
        </w:rPr>
        <w:t>12. Recommended Methodology</w:t>
      </w:r>
      <w:r>
        <w:rPr>
          <w:b w:val="0"/>
          <w:i w:val="0"/>
        </w:rPr>
        <w:t xml:space="preserve"> 6–9 studies. Studies 1–2: establish that fairness judgments respond to inferred dispersion independently of inferred mean (elicit subjective distributions directly). Studies 3–4: manipulate transparency regimes (none / aggregate distribution / own-percentile / full) and show non-monotonic effects on fairness and purchase intention. Study 5: process evidence via mediation on percentile inference and attributional reason. Study 6: moderation by numeracy, prior market experience, and self-perceived market position. Study 7: incentive-compatible market experiment with real prices and real payoffs (oTree/Prolific). Study 8: field experiment with an e-commerce or travel partner varying dispersion disclosure. Study 9: secondary analysis of complaint/review text following personalization disclosure changes.</w:t>
      </w:r>
    </w:p>
    <w:p>
      <w:r>
        <w:rPr>
          <w:b/>
          <w:i w:val="0"/>
        </w:rPr>
        <w:t>13. Suitable Theories</w:t>
      </w:r>
      <w:r>
        <w:rPr>
          <w:b w:val="0"/>
          <w:i w:val="0"/>
        </w:rPr>
        <w:t xml:space="preserve"> Behavioral Decision Theory, Prospect Theory, Equity and Justice Theory, Attribution Theory, Construal Level Theory, Signaling Theory, Bayesian inference models of belief formation.</w:t>
      </w:r>
    </w:p>
    <w:p>
      <w:r>
        <w:rPr>
          <w:b/>
          <w:i w:val="0"/>
        </w:rPr>
        <w:t>14. Potential Constructs</w:t>
      </w:r>
      <w:r>
        <w:rPr>
          <w:b w:val="0"/>
          <w:i w:val="0"/>
        </w:rPr>
        <w:t xml:space="preserve"> Subjective price distribution; inferred percentile position; perceived price dispersion; dispersion aversion; reference-price vacuum; procedural substitution; opacity attribution.</w:t>
      </w:r>
    </w:p>
    <w:p>
      <w:r>
        <w:rPr>
          <w:b/>
          <w:i w:val="0"/>
        </w:rPr>
        <w:t>15. Possible Mediators</w:t>
      </w:r>
      <w:r>
        <w:rPr>
          <w:b w:val="0"/>
          <w:i w:val="0"/>
        </w:rPr>
        <w:t xml:space="preserve"> Inferred percentile; inferred dispersion; perceived intentionality of differentiation; feelings of exploitation/betrayal; anticipated regret.</w:t>
      </w:r>
    </w:p>
    <w:p>
      <w:r>
        <w:rPr>
          <w:b/>
          <w:i w:val="0"/>
        </w:rPr>
        <w:t>16. Possible Moderators</w:t>
      </w:r>
      <w:r>
        <w:rPr>
          <w:b w:val="0"/>
          <w:i w:val="0"/>
        </w:rPr>
        <w:t xml:space="preserve"> Numeracy and distributional literacy; consumer self-perceived socioeconomic position; category necessity vs. discretionary; prior relationship with the firm; cultural inequality tolerance / power distance; regulatory regime.</w:t>
      </w:r>
    </w:p>
    <w:p>
      <w:r>
        <w:rPr>
          <w:b/>
          <w:i w:val="0"/>
        </w:rPr>
        <w:t>17. Unit of Analysis</w:t>
      </w:r>
      <w:r>
        <w:rPr>
          <w:b w:val="0"/>
          <w:i w:val="0"/>
        </w:rPr>
        <w:t xml:space="preserve"> Individual consumer judgment (primary); transaction (secondary); market/regulatory regime (comparative).</w:t>
      </w:r>
    </w:p>
    <w:p>
      <w:r>
        <w:rPr>
          <w:b/>
          <w:i w:val="0"/>
        </w:rPr>
        <w:t>18. Potential Datasets</w:t>
      </w:r>
      <w:r>
        <w:rPr>
          <w:b w:val="0"/>
          <w:i w:val="0"/>
        </w:rPr>
        <w:t xml:space="preserve"> Scraped airline/hotel/rideshare price panels with observed dispersion; retailer A/B pricing logs; Prolific/CloudResearch experimental panels; consumer complaint corpora (CFPB, EU CPC, national consumer agencies); review text pre/post EU personalization-disclosure implementation.</w:t>
      </w:r>
    </w:p>
    <w:p>
      <w:r>
        <w:rPr>
          <w:b/>
          <w:i w:val="0"/>
        </w:rPr>
        <w:t>19. Countries Where Research Would Be Valuable</w:t>
      </w:r>
      <w:r>
        <w:rPr>
          <w:b w:val="0"/>
          <w:i w:val="0"/>
        </w:rPr>
        <w:t xml:space="preserve"> US, UK, Germany, France (regulatory divergence on personalization disclosure); India and Brazil (high inequality, high price-dispersion tolerance); Japan (low dispersion tolerance); Nordics (high institutional trust). A cross-country comparative study is a strong second paper.</w:t>
      </w:r>
    </w:p>
    <w:p>
      <w:r>
        <w:rPr>
          <w:b/>
          <w:i w:val="0"/>
        </w:rPr>
        <w:t>20. Practical Implications</w:t>
      </w:r>
      <w:r>
        <w:rPr>
          <w:b w:val="0"/>
          <w:i w:val="0"/>
        </w:rPr>
        <w:t xml:space="preserve"> Firms can price with personalization without triggering fairness backlash by managing </w:t>
      </w:r>
      <w:r>
        <w:rPr>
          <w:b w:val="0"/>
          <w:i/>
        </w:rPr>
        <w:t>perceived dispersion</w:t>
      </w:r>
      <w:r>
        <w:rPr>
          <w:b w:val="0"/>
          <w:i w:val="0"/>
        </w:rPr>
        <w:t>, not average price. Regulators learn that mandated partial transparency may reduce welfare perceptions — an empirically grounded warning against the current default policy instinct.</w:t>
      </w:r>
    </w:p>
    <w:p>
      <w:r>
        <w:rPr>
          <w:b/>
          <w:i w:val="0"/>
        </w:rPr>
        <w:t>21. Risks Reviewers May Identify</w:t>
      </w:r>
      <w:r>
        <w:rPr>
          <w:b w:val="0"/>
          <w:i w:val="0"/>
        </w:rPr>
        <w:t xml:space="preserve"> (a) Personalized pricing is a crowded space. (b) Hypothetical scenarios lack external validity for pricing. (c) Subjective-distribution elicitation is demand-prone. (d) "Distributional inference" may be recast as ordinary reference-price uncertainty. (e) Effects may be small in real markets where consumers do not think about others' prices at all.</w:t>
      </w:r>
    </w:p>
    <w:p>
      <w:r>
        <w:rPr>
          <w:b/>
          <w:i w:val="0"/>
        </w:rPr>
        <w:t>22. How to Strengthen the Theoretical Contribution</w:t>
      </w:r>
      <w:r>
        <w:rPr>
          <w:b w:val="0"/>
          <w:i w:val="0"/>
        </w:rPr>
        <w:t xml:space="preserve"> Frame the paper as a </w:t>
      </w:r>
      <w:r>
        <w:rPr>
          <w:b/>
          <w:i w:val="0"/>
        </w:rPr>
        <w:t>scope-condition failure of dual entitlement</w:t>
      </w:r>
      <w:r>
        <w:rPr>
          <w:b w:val="0"/>
          <w:i w:val="0"/>
        </w:rPr>
        <w:t>, not an extension of it — name the assumption, show it no longer holds, show the theory therefore mispredicts. Include at least one result that reverses a canonical finding (e.g., transparency reducing fairness). Get incentive-compatible and field evidence into the paper; JMR reviewers will not accept vignette-only evidence for a pricing claim. Elicit subjective distributions with a validated, non-leading method and pre-register.</w:t>
      </w:r>
    </w:p>
    <w:p>
      <w:pPr>
        <w:pStyle w:val="Heading1"/>
        <w:jc w:val="left"/>
      </w:pPr>
      <w:r>
        <w:rPr>
          <w:b w:val="0"/>
          <w:i w:val="0"/>
          <w:color w:val="1A1A1A"/>
        </w:rPr>
        <w:t>5. Consumption by Proxy: Agency Transfer in Aging and Caregiving Markets</w:t>
      </w:r>
    </w:p>
    <w:p>
      <w:r>
        <w:rPr>
          <w:b/>
          <w:i w:val="0"/>
        </w:rPr>
        <w:t>1. Research Theme</w:t>
      </w:r>
      <w:r>
        <w:rPr>
          <w:b w:val="0"/>
          <w:i w:val="0"/>
        </w:rPr>
        <w:t xml:space="preserve"> Aging populations / consumer vulnerability / family decision-making / consumer well-being / healthcare marketing.</w:t>
      </w:r>
    </w:p>
    <w:p>
      <w:r>
        <w:rPr>
          <w:b/>
          <w:i w:val="0"/>
        </w:rPr>
        <w:t>2. Exact FT50-Level Research Topic</w:t>
      </w:r>
      <w:r>
        <w:rPr>
          <w:b w:val="0"/>
          <w:i w:val="0"/>
        </w:rPr>
        <w:t xml:space="preserve"> </w:t>
      </w:r>
      <w:r>
        <w:rPr>
          <w:b w:val="0"/>
          <w:i/>
        </w:rPr>
        <w:t>Proxy Consumption Agency: How Decision Authority Transfers from Declining Consumers to Caregivers, and Why Family Decision-Making and Vulnerability Theories Cannot Account for It.</w:t>
      </w:r>
    </w:p>
    <w:p>
      <w:r>
        <w:rPr>
          <w:b/>
          <w:i w:val="0"/>
        </w:rPr>
        <w:t>3. Why This Topic Matters Now</w:t>
      </w:r>
      <w:r>
        <w:rPr>
          <w:b w:val="0"/>
          <w:i w:val="0"/>
        </w:rPr>
        <w:t xml:space="preserve"> By 2035, more than a fifth of the populations of Japan, Italy, Germany, Korea, and much of China will be over 65, and a historically unprecedented share of household consumption will be </w:t>
      </w:r>
      <w:r>
        <w:rPr>
          <w:b w:val="0"/>
          <w:i/>
        </w:rPr>
        <w:t>executed by someone other than the beneficiary</w:t>
      </w:r>
      <w:r>
        <w:rPr>
          <w:b w:val="0"/>
          <w:i w:val="0"/>
        </w:rPr>
        <w:t xml:space="preserve">: adult children managing parents' finances, insurance, housing, groceries, medication, subscriptions, and end-of-life services. Simultaneously, the largest intergenerational wealth transfer in history is shifting purchasing power to a cohort that acquired it without the consumption habits that generated it. Firms in healthcare, financial services, housing, retail, and travel increasingly serve a </w:t>
      </w:r>
      <w:r>
        <w:rPr>
          <w:b w:val="0"/>
          <w:i/>
        </w:rPr>
        <w:t>dyad or triad</w:t>
      </w:r>
      <w:r>
        <w:rPr>
          <w:b w:val="0"/>
          <w:i w:val="0"/>
        </w:rPr>
        <w:t>, not a consumer, yet segment and communicate as if serving one person.</w:t>
      </w:r>
    </w:p>
    <w:p>
      <w:r>
        <w:rPr>
          <w:b/>
          <w:i w:val="0"/>
        </w:rPr>
        <w:t>4. Why Existing Literature Is Insufficient</w:t>
      </w:r>
      <w:r>
        <w:rPr>
          <w:b w:val="0"/>
          <w:i w:val="0"/>
        </w:rPr>
        <w:t xml:space="preserve"> Family decision-making research is built on two templates — spousal negotiation and parent-to-child socialization — both of which assume roughly symmetric or developmentally </w:t>
      </w:r>
      <w:r>
        <w:rPr>
          <w:b w:val="0"/>
          <w:i/>
        </w:rPr>
        <w:t>ascending</w:t>
      </w:r>
      <w:r>
        <w:rPr>
          <w:b w:val="0"/>
          <w:i w:val="0"/>
        </w:rPr>
        <w:t xml:space="preserve"> competence. Proxy consumption inverts this: authority flows </w:t>
      </w:r>
      <w:r>
        <w:rPr>
          <w:b w:val="0"/>
          <w:i/>
        </w:rPr>
        <w:t>upward in age and downward in competence</w:t>
      </w:r>
      <w:r>
        <w:rPr>
          <w:b w:val="0"/>
          <w:i w:val="0"/>
        </w:rPr>
        <w:t xml:space="preserve">, is often legally formalized (power of attorney), and is frequently unwanted by both parties. Consumer vulnerability theory treats vulnerability as a </w:t>
      </w:r>
      <w:r>
        <w:rPr>
          <w:b w:val="0"/>
          <w:i/>
        </w:rPr>
        <w:t>state of the individual</w:t>
      </w:r>
      <w:r>
        <w:rPr>
          <w:b w:val="0"/>
          <w:i w:val="0"/>
        </w:rPr>
        <w:t xml:space="preserve"> interacting with a marketplace; it has no account of vulnerability that is </w:t>
      </w:r>
      <w:r>
        <w:rPr>
          <w:b w:val="0"/>
          <w:i/>
        </w:rPr>
        <w:t>managed by a third party whose own identity, guilt, finances, and siblings' scrutiny shape the purchase</w:t>
      </w:r>
      <w:r>
        <w:rPr>
          <w:b w:val="0"/>
          <w:i w:val="0"/>
        </w:rPr>
        <w:t>. Caregiver research in health services documents burden but not consumption agency. Transformative Service Research has flagged well-being but not the agency-transfer mechanism. Psychological ownership theory is silent on possessions one controls but does not own and will inherit.</w:t>
      </w:r>
    </w:p>
    <w:p>
      <w:r>
        <w:rPr>
          <w:b/>
          <w:i w:val="0"/>
        </w:rPr>
        <w:t>5. Theories Needing Extension or Challenge</w:t>
      </w:r>
      <w:r>
        <w:rPr>
          <w:b w:val="0"/>
          <w:i w:val="0"/>
        </w:rPr>
        <w:t xml:space="preserve"> Family Decision-Making (challenge the symmetry/ascending-competence assumptions); Consumer Vulnerability Theory (extend from state to </w:t>
      </w:r>
      <w:r>
        <w:rPr>
          <w:b w:val="0"/>
          <w:i/>
        </w:rPr>
        <w:t>relational configuration</w:t>
      </w:r>
      <w:r>
        <w:rPr>
          <w:b w:val="0"/>
          <w:i w:val="0"/>
        </w:rPr>
        <w:t>); Psychological Ownership (anticipatory and contested ownership); Identity Theory and Role Theory (caregiver-as-consumer role conflict); Agency Theory (a behavioral, affective version — the proxy is not a rational agent with a contract but a child with guilt); Justice Theory (sibling equity); Self-Determination Theory (autonomy loss as the beneficiary's central harm); Construal Level Theory (proxies decide more abstractly than principals).</w:t>
      </w:r>
    </w:p>
    <w:p>
      <w:r>
        <w:rPr>
          <w:b/>
          <w:i w:val="0"/>
        </w:rPr>
        <w:t>6. Potential Theoretical Contribution</w:t>
      </w:r>
      <w:r>
        <w:rPr>
          <w:b w:val="0"/>
          <w:i w:val="0"/>
        </w:rPr>
        <w:t xml:space="preserve"> A theory of </w:t>
      </w:r>
      <w:r>
        <w:rPr>
          <w:b/>
          <w:i w:val="0"/>
        </w:rPr>
        <w:t>proxy consumption agency</w:t>
      </w:r>
      <w:r>
        <w:rPr>
          <w:b w:val="0"/>
          <w:i w:val="0"/>
        </w:rPr>
        <w:t xml:space="preserve"> specifying: (i) the </w:t>
      </w:r>
      <w:r>
        <w:rPr>
          <w:b w:val="0"/>
          <w:i/>
        </w:rPr>
        <w:t>agency-transfer trajectory</w:t>
      </w:r>
      <w:r>
        <w:rPr>
          <w:b w:val="0"/>
          <w:i w:val="0"/>
        </w:rPr>
        <w:t xml:space="preserve"> (advisory → joint → substitutive → posthumous), (ii) the systematic </w:t>
      </w:r>
      <w:r>
        <w:rPr>
          <w:b/>
          <w:i w:val="0"/>
        </w:rPr>
        <w:t>proxy distortion</w:t>
      </w:r>
      <w:r>
        <w:rPr>
          <w:b w:val="0"/>
          <w:i w:val="0"/>
        </w:rPr>
        <w:t xml:space="preserve"> — proxies over-weight safety, legibility, defensibility to third parties, and their own convenience, and under-weight the principal's hedonic and identity-expressive utility, producing predictable and measurable welfare loss; and (iii) </w:t>
      </w:r>
      <w:r>
        <w:rPr>
          <w:b/>
          <w:i w:val="0"/>
        </w:rPr>
        <w:t>anticipatory ownership</w:t>
      </w:r>
      <w:r>
        <w:rPr>
          <w:b w:val="0"/>
          <w:i w:val="0"/>
        </w:rPr>
        <w:t xml:space="preserve">, where the proxy's future inheritance interest contaminates present decisions. This yields a behaviorally grounded, non-contractual agency theory for consumption, and gives vulnerability research its first </w:t>
      </w:r>
      <w:r>
        <w:rPr>
          <w:b w:val="0"/>
          <w:i/>
        </w:rPr>
        <w:t>dyadic</w:t>
      </w:r>
      <w:r>
        <w:rPr>
          <w:b w:val="0"/>
          <w:i w:val="0"/>
        </w:rPr>
        <w:t xml:space="preserve"> formalization. The welfare implication is sharp and novel: markets can serve proxies excellently while serving beneficiaries poorly, and satisfaction metrics will not detect it.</w:t>
      </w:r>
    </w:p>
    <w:p>
      <w:r>
        <w:rPr>
          <w:b/>
          <w:i w:val="0"/>
        </w:rPr>
        <w:t>7. Level of Novelty</w:t>
      </w:r>
      <w:r>
        <w:rPr>
          <w:b w:val="0"/>
          <w:i w:val="0"/>
        </w:rPr>
        <w:t xml:space="preserve"> </w:t>
      </w:r>
      <w:r>
        <w:rPr>
          <w:b/>
          <w:i w:val="0"/>
        </w:rPr>
        <w:t>High to Breakthrough</w:t>
      </w:r>
      <w:r>
        <w:rPr>
          <w:b w:val="0"/>
          <w:i w:val="0"/>
        </w:rPr>
        <w:t xml:space="preserve"> (the phenomenon is enormous and the theoretical treatment is nearly absent from FT50 outlets).</w:t>
      </w:r>
    </w:p>
    <w:p>
      <w:r>
        <w:rPr>
          <w:b/>
          <w:i w:val="0"/>
        </w:rPr>
        <w:t>8. Potential Managerial Contribution</w:t>
      </w:r>
      <w:r>
        <w:rPr>
          <w:b w:val="0"/>
          <w:i w:val="0"/>
        </w:rPr>
        <w:t xml:space="preserve"> A redesign logic for any firm serving aging customers: dual-audience service design, consent and preference-elicitation architectures that preserve beneficiary autonomy, dyad-level satisfaction measurement (currently no firm measures the beneficiary separately from the payer), and communication that reduces proxy guilt without exploiting it. Directly relevant to insurers, banks, pharmacy retail, senior housing, home care, grocery delivery, and funeral services.</w:t>
      </w:r>
    </w:p>
    <w:p>
      <w:r>
        <w:rPr>
          <w:b/>
          <w:i w:val="0"/>
        </w:rPr>
        <w:t>9. Societal Relevance</w:t>
      </w:r>
      <w:r>
        <w:rPr>
          <w:b w:val="0"/>
          <w:i w:val="0"/>
        </w:rPr>
        <w:t xml:space="preserve"> Very high. This is the marketplace face of population aging, and it sits precisely at the intersection of well-being, dignity, elder financial abuse, and public health. It is also the mechanism through which aging societies will allocate trillions in consumption.</w:t>
      </w:r>
    </w:p>
    <w:p>
      <w:r>
        <w:rPr>
          <w:b/>
          <w:i w:val="0"/>
        </w:rPr>
        <w:t>10. Suitable FT50 Journals</w:t>
      </w:r>
      <w:r>
        <w:rPr>
          <w:b w:val="0"/>
          <w:i w:val="0"/>
        </w:rPr>
        <w:t xml:space="preserve"> </w:t>
      </w:r>
      <w:r>
        <w:rPr>
          <w:b w:val="0"/>
          <w:i/>
        </w:rPr>
        <w:t>Journal of Consumer Research</w:t>
      </w:r>
      <w:r>
        <w:rPr>
          <w:b w:val="0"/>
          <w:i w:val="0"/>
        </w:rPr>
        <w:t xml:space="preserve"> (lead), </w:t>
      </w:r>
      <w:r>
        <w:rPr>
          <w:b w:val="0"/>
          <w:i/>
        </w:rPr>
        <w:t>Journal of Marketing</w:t>
      </w:r>
      <w:r>
        <w:rPr>
          <w:b w:val="0"/>
          <w:i w:val="0"/>
        </w:rPr>
        <w:t xml:space="preserve">, </w:t>
      </w:r>
      <w:r>
        <w:rPr>
          <w:b w:val="0"/>
          <w:i/>
        </w:rPr>
        <w:t>Journal of Public Policy &amp; Marketing</w:t>
      </w:r>
      <w:r>
        <w:rPr>
          <w:b w:val="0"/>
          <w:i w:val="0"/>
        </w:rPr>
        <w:t xml:space="preserve">, </w:t>
      </w:r>
      <w:r>
        <w:rPr>
          <w:b w:val="0"/>
          <w:i/>
        </w:rPr>
        <w:t>Journal of Service Research</w:t>
      </w:r>
      <w:r>
        <w:rPr>
          <w:b w:val="0"/>
          <w:i w:val="0"/>
        </w:rPr>
        <w:t xml:space="preserve">, </w:t>
      </w:r>
      <w:r>
        <w:rPr>
          <w:b w:val="0"/>
          <w:i/>
        </w:rPr>
        <w:t>Journal of the Academy of Marketing Science</w:t>
      </w:r>
      <w:r>
        <w:rPr>
          <w:b w:val="0"/>
          <w:i w:val="0"/>
        </w:rPr>
        <w:t xml:space="preserve">, </w:t>
      </w:r>
      <w:r>
        <w:rPr>
          <w:b w:val="0"/>
          <w:i/>
        </w:rPr>
        <w:t>Management Science</w:t>
      </w:r>
      <w:r>
        <w:rPr>
          <w:b w:val="0"/>
          <w:i w:val="0"/>
        </w:rPr>
        <w:t xml:space="preserve"> (behavioral economics framing).</w:t>
      </w:r>
    </w:p>
    <w:p>
      <w:r>
        <w:rPr>
          <w:b/>
          <w:i w:val="0"/>
        </w:rPr>
        <w:t>11. Type of Paper</w:t>
      </w:r>
      <w:r>
        <w:rPr>
          <w:b w:val="0"/>
          <w:i w:val="0"/>
        </w:rPr>
        <w:t xml:space="preserve"> Mixed Methods: Qualitative Grounded Theory to build the agency-transfer model, followed by Multi-study Behavioral Experiments to establish proxy distortion, plus a Longitudinal Panel or Cross-country Comparative Study.</w:t>
      </w:r>
    </w:p>
    <w:p>
      <w:r>
        <w:rPr>
          <w:b/>
          <w:i w:val="0"/>
        </w:rPr>
        <w:t>12. Recommended Methodology</w:t>
      </w:r>
      <w:r>
        <w:rPr>
          <w:b w:val="0"/>
          <w:i w:val="0"/>
        </w:rPr>
        <w:t xml:space="preserve"> Phase 1: 60–80 matched interviews with beneficiary–proxy dyads (and triads with siblings) across care contexts; longitudinal re-interviews at 12 and 24 months to trace trajectory. Phase 2: dyadic experiments in which principals state preferences privately and proxies choose on their behalf, measuring </w:t>
      </w:r>
      <w:r>
        <w:rPr>
          <w:b w:val="0"/>
          <w:i/>
        </w:rPr>
        <w:t>preference-mismatch magnitude</w:t>
      </w:r>
      <w:r>
        <w:rPr>
          <w:b w:val="0"/>
          <w:i w:val="0"/>
        </w:rPr>
        <w:t xml:space="preserve"> as the core dependent variable — the design gives a clean, quantified welfare loss. Manipulate accountability to siblings, guilt salience, and inheritance salience. Phase 3: field study with a home-care or pharmacy partner measuring beneficiary-reported well-being against proxy-reported satisfaction. Phase 4: cross-country comparison (Japan, Italy, Germany, US, India) to test cultural moderation of filial obligation.</w:t>
      </w:r>
    </w:p>
    <w:p>
      <w:r>
        <w:rPr>
          <w:b/>
          <w:i w:val="0"/>
        </w:rPr>
        <w:t>13. Suitable Theories</w:t>
      </w:r>
      <w:r>
        <w:rPr>
          <w:b w:val="0"/>
          <w:i w:val="0"/>
        </w:rPr>
        <w:t xml:space="preserve"> Family Decision-Making, Consumer Vulnerability, Psychological Ownership, Identity/Role Theory, Behavioral Agency, Justice Theory, Self-Determination Theory, Construal Level Theory, Social Exchange.</w:t>
      </w:r>
    </w:p>
    <w:p>
      <w:r>
        <w:rPr>
          <w:b/>
          <w:i w:val="0"/>
        </w:rPr>
        <w:t>14. Potential Constructs</w:t>
      </w:r>
      <w:r>
        <w:rPr>
          <w:b w:val="0"/>
          <w:i w:val="0"/>
        </w:rPr>
        <w:t xml:space="preserve"> Proxy consumption agency; agency-transfer trajectory; proxy distortion; preference mismatch; anticipatory ownership; defensive choice (choosing what is defensible to others); autonomy residual; filial accountability pressure.</w:t>
      </w:r>
    </w:p>
    <w:p>
      <w:r>
        <w:rPr>
          <w:b/>
          <w:i w:val="0"/>
        </w:rPr>
        <w:t>15. Possible Mediators</w:t>
      </w:r>
      <w:r>
        <w:rPr>
          <w:b w:val="0"/>
          <w:i w:val="0"/>
        </w:rPr>
        <w:t xml:space="preserve"> Guilt; anticipated sibling scrutiny; perceived principal competence; psychological distance from the principal's experience; caregiver burden and depletion; inheritance salience.</w:t>
      </w:r>
    </w:p>
    <w:p>
      <w:r>
        <w:rPr>
          <w:b/>
          <w:i w:val="0"/>
        </w:rPr>
        <w:t>16. Possible Moderators</w:t>
      </w:r>
      <w:r>
        <w:rPr>
          <w:b w:val="0"/>
          <w:i w:val="0"/>
        </w:rPr>
        <w:t xml:space="preserve"> Cultural filial obligation / collectivism; formal legal authority (POA vs. informal); sibling count and geographic dispersion; principal's residual communicative capacity; financial dependence direction; gender of caregiver; welfare-state care provision.</w:t>
      </w:r>
    </w:p>
    <w:p>
      <w:r>
        <w:rPr>
          <w:b/>
          <w:i w:val="0"/>
        </w:rPr>
        <w:t>17. Unit of Analysis</w:t>
      </w:r>
      <w:r>
        <w:rPr>
          <w:b w:val="0"/>
          <w:i w:val="0"/>
        </w:rPr>
        <w:t xml:space="preserve"> Beneficiary–proxy dyad (primary — this is the theoretical unit and its novelty); individual (secondary); household (tertiary).</w:t>
      </w:r>
    </w:p>
    <w:p>
      <w:r>
        <w:rPr>
          <w:b/>
          <w:i w:val="0"/>
        </w:rPr>
        <w:t>18. Potential Datasets</w:t>
      </w:r>
      <w:r>
        <w:rPr>
          <w:b w:val="0"/>
          <w:i w:val="0"/>
        </w:rPr>
        <w:t xml:space="preserve"> HRS (US Health and Retirement Study), ELSA (England), SHARE (Europe), JSTAR (Japan), CHARLS (China), LASI (India) — all contain caregiving and consumption modules and are underused in marketing; pharmacy adherence records; bank power-of-attorney account data; long-term-care insurance claims; grocery delivery logs with delivery-address/payer mismatch.</w:t>
      </w:r>
    </w:p>
    <w:p>
      <w:r>
        <w:rPr>
          <w:b/>
          <w:i w:val="0"/>
        </w:rPr>
        <w:t>19. Countries Where Research Would Be Valuable</w:t>
      </w:r>
      <w:r>
        <w:rPr>
          <w:b w:val="0"/>
          <w:i w:val="0"/>
        </w:rPr>
        <w:t xml:space="preserve"> Japan, Italy, Germany, South Korea, China (advanced aging with divergent family norms); US (market-based care, financial-abuse exposure); India (co-residence norms, low formalization); Nordics (state-provided care as a natural contrast that isolates the market mechanism).</w:t>
      </w:r>
    </w:p>
    <w:p>
      <w:r>
        <w:rPr>
          <w:b/>
          <w:i w:val="0"/>
        </w:rPr>
        <w:t>20. Practical Implications</w:t>
      </w:r>
      <w:r>
        <w:rPr>
          <w:b w:val="0"/>
          <w:i w:val="0"/>
        </w:rPr>
        <w:t xml:space="preserve"> Firms can measure and close the beneficiary–proxy welfare gap; regulators gain an evidence base for consent, suitability, and elder-protection rules; care providers gain autonomy-preserving service protocols.</w:t>
      </w:r>
    </w:p>
    <w:p>
      <w:r>
        <w:rPr>
          <w:b/>
          <w:i w:val="0"/>
        </w:rPr>
        <w:t>21. Risks Reviewers May Identify</w:t>
      </w:r>
      <w:r>
        <w:rPr>
          <w:b w:val="0"/>
          <w:i w:val="0"/>
        </w:rPr>
        <w:t xml:space="preserve"> (a) "Surrogate decision-making is already studied in health psychology and medical decision-making." (b) Dyadic recruitment is hard and selection-prone (consenting dyads are healthier). (c) Ethical constraints on studying cognitively impaired principals. (d) Preference mismatch may reflect superior proxy information rather than distortion. (e) Risk of descriptive richness without theoretical sharpness.</w:t>
      </w:r>
    </w:p>
    <w:p>
      <w:r>
        <w:rPr>
          <w:b/>
          <w:i w:val="0"/>
        </w:rPr>
        <w:t>22. How to Strengthen the Theoretical Contribution</w:t>
      </w:r>
      <w:r>
        <w:rPr>
          <w:b w:val="0"/>
          <w:i w:val="0"/>
        </w:rPr>
        <w:t xml:space="preserve"> Confront the medical surrogate-decision literature head-on and specify what is </w:t>
      </w:r>
      <w:r>
        <w:rPr>
          <w:b w:val="0"/>
          <w:i/>
        </w:rPr>
        <w:t>marketplace-specific</w:t>
      </w:r>
      <w:r>
        <w:rPr>
          <w:b w:val="0"/>
          <w:i w:val="0"/>
        </w:rPr>
        <w:t xml:space="preserve">: money, inheritance, brand identity, and the fact that the proxy is also a customer being marketed to. Rule out the "better information" alternative explanation by including cases where the principal's preference is verifiably known and still overridden. Make the theory </w:t>
      </w:r>
      <w:r>
        <w:rPr>
          <w:b w:val="0"/>
          <w:i/>
        </w:rPr>
        <w:t>predictive of direction</w:t>
      </w:r>
      <w:r>
        <w:rPr>
          <w:b w:val="0"/>
          <w:i w:val="0"/>
        </w:rPr>
        <w:t>: specify ex ante which attribute classes get over- and under-weighted, then confirm. Elevate the dyad to the unit of theory — the paper's identity should be "consumer behavior has been theorizing the wrong unit for an aging world."</w:t>
      </w:r>
    </w:p>
    <w:p>
      <w:pPr>
        <w:pStyle w:val="Heading1"/>
        <w:jc w:val="left"/>
      </w:pPr>
      <w:r>
        <w:rPr>
          <w:b w:val="0"/>
          <w:i w:val="0"/>
          <w:color w:val="1A1A1A"/>
        </w:rPr>
        <w:t>6. The Governed, Not the Governor: Recipient-Side Justice in Multi-Tier Supply Chains</w:t>
      </w:r>
    </w:p>
    <w:p>
      <w:r>
        <w:rPr>
          <w:b/>
          <w:i w:val="0"/>
        </w:rPr>
        <w:t>1. Research Theme</w:t>
      </w:r>
      <w:r>
        <w:rPr>
          <w:b w:val="0"/>
          <w:i w:val="0"/>
        </w:rPr>
        <w:t xml:space="preserve"> Behavioral supply chains / supply chain justice / supply chain transparency / sustainability / farmer market systems.</w:t>
      </w:r>
    </w:p>
    <w:p>
      <w:r>
        <w:rPr>
          <w:b/>
          <w:i w:val="0"/>
        </w:rPr>
        <w:t>2. Exact FT50-Level Research Topic</w:t>
      </w:r>
      <w:r>
        <w:rPr>
          <w:b w:val="0"/>
          <w:i w:val="0"/>
        </w:rPr>
        <w:t xml:space="preserve"> </w:t>
      </w:r>
      <w:r>
        <w:rPr>
          <w:b w:val="0"/>
          <w:i/>
        </w:rPr>
        <w:t>When Governance Is Experienced as Surveillance: A Recipient-Side Theory of Justice, Reactance, and Concealment in Multi-Tier Sustainability Governance.</w:t>
      </w:r>
    </w:p>
    <w:p>
      <w:r>
        <w:rPr>
          <w:b/>
          <w:i w:val="0"/>
        </w:rPr>
        <w:t>3. Why This Topic Matters Now</w:t>
      </w:r>
      <w:r>
        <w:rPr>
          <w:b w:val="0"/>
          <w:i w:val="0"/>
        </w:rPr>
        <w:t xml:space="preserve"> Regulation has decisively shifted the burden upstream: the EU Corporate Sustainability Due Diligence Directive, the Deforestation Regulation, the Forced Labour Regulation, German and French due-diligence laws, and the US UFLPA all require buyers to know and control conditions several tiers deep. The response has been an explosion of audits, certifications, geolocation requirements, and traceability mandates imposed on smallholders and small suppliers in Ghana, Côte d'Ivoire, Ethiopia, Vietnam, India, and Bangladesh. Evidence is accumulating that compliance-based governance underperforms — POM's socio-technical work on modern slavery and research on </w:t>
      </w:r>
      <w:r>
        <w:rPr>
          <w:b w:val="0"/>
          <w:i w:val="0"/>
        </w:rPr>
        <w:t>social intermediaries beyond compliance-based governance (https://journals.sagepub.com/doi/10.1177/10591478231224922)</w:t>
      </w:r>
      <w:r>
        <w:rPr>
          <w:b w:val="0"/>
          <w:i w:val="0"/>
        </w:rPr>
        <w:t xml:space="preserve"> both make this point. What nobody has theorized is </w:t>
      </w:r>
      <w:r>
        <w:rPr>
          <w:b/>
          <w:i w:val="0"/>
        </w:rPr>
        <w:t>why</w:t>
      </w:r>
      <w:r>
        <w:rPr>
          <w:b w:val="0"/>
          <w:i w:val="0"/>
        </w:rPr>
        <w:t>, from the standpoint of the actor being governed.</w:t>
      </w:r>
    </w:p>
    <w:p>
      <w:r>
        <w:rPr>
          <w:b/>
          <w:i w:val="0"/>
        </w:rPr>
        <w:t>4. Why Existing Literature Is Insufficient</w:t>
      </w:r>
      <w:r>
        <w:rPr>
          <w:b w:val="0"/>
          <w:i w:val="0"/>
        </w:rPr>
        <w:t xml:space="preserve"> Behavioral operations and behavioral SCM sample almost exclusively </w:t>
      </w:r>
      <w:r>
        <w:rPr>
          <w:b w:val="0"/>
          <w:i/>
        </w:rPr>
        <w:t>focal-firm managers</w:t>
      </w:r>
      <w:r>
        <w:rPr>
          <w:b w:val="0"/>
          <w:i w:val="0"/>
        </w:rPr>
        <w:t xml:space="preserve"> and MBA students — the governors, not the governed. Justice theory in SCM is dyadic and buyer-centric: it asks how supplier justice perceptions affect </w:t>
      </w:r>
      <w:r>
        <w:rPr>
          <w:b w:val="0"/>
          <w:i/>
        </w:rPr>
        <w:t>the buyer's</w:t>
      </w:r>
      <w:r>
        <w:rPr>
          <w:b w:val="0"/>
          <w:i w:val="0"/>
        </w:rPr>
        <w:t xml:space="preserve"> outcomes (compliance, cooperation, performance). Agency and TCE treatments model the supplier as a rational opportunist responding to monitoring intensity, which predicts that more monitoring yields more compliance — the opposite of what field evidence increasingly shows. Global value chain and governance research operates at the institutional level and skips psychology entirely. Development economics measures certification's income effects but not the </w:t>
      </w:r>
      <w:r>
        <w:rPr>
          <w:b w:val="0"/>
          <w:i/>
        </w:rPr>
        <w:t>psychological experience</w:t>
      </w:r>
      <w:r>
        <w:rPr>
          <w:b w:val="0"/>
          <w:i w:val="0"/>
        </w:rPr>
        <w:t xml:space="preserve"> of being audited. The result: a discipline prescribing governance interventions with no theory of how their targets experience them.</w:t>
      </w:r>
    </w:p>
    <w:p>
      <w:r>
        <w:rPr>
          <w:b/>
          <w:i w:val="0"/>
        </w:rPr>
        <w:t>5. Theories Needing Extension or Challenge</w:t>
      </w:r>
      <w:r>
        <w:rPr>
          <w:b w:val="0"/>
          <w:i w:val="0"/>
        </w:rPr>
        <w:t xml:space="preserve"> Justice Theory (extend to multi-tier, non-dyadic, asymmetric-power settings; add </w:t>
      </w:r>
      <w:r>
        <w:rPr>
          <w:b w:val="0"/>
          <w:i/>
        </w:rPr>
        <w:t>interactional</w:t>
      </w:r>
      <w:r>
        <w:rPr>
          <w:b w:val="0"/>
          <w:i w:val="0"/>
        </w:rPr>
        <w:t xml:space="preserve"> and </w:t>
      </w:r>
      <w:r>
        <w:rPr>
          <w:b w:val="0"/>
          <w:i/>
        </w:rPr>
        <w:t>informational</w:t>
      </w:r>
      <w:r>
        <w:rPr>
          <w:b w:val="0"/>
          <w:i w:val="0"/>
        </w:rPr>
        <w:t xml:space="preserve"> justice as first-class constructs); Agency Theory (challenge the monitoring-compliance monotonicity); Psychological Reactance Theory (import into SCM); Social Exchange Theory (what is exchanged when one party cannot exit?); Resource Dependence (asymmetric dependence as a moderator of justice effects); Institutional Theory (decoupling and ceremonial compliance as </w:t>
      </w:r>
      <w:r>
        <w:rPr>
          <w:b w:val="0"/>
          <w:i/>
        </w:rPr>
        <w:t>rational</w:t>
      </w:r>
      <w:r>
        <w:rPr>
          <w:b w:val="0"/>
          <w:i w:val="0"/>
        </w:rPr>
        <w:t xml:space="preserve"> responses to procedural injustice); Behavioral Operations; Stakeholder Theory.</w:t>
      </w:r>
    </w:p>
    <w:p>
      <w:r>
        <w:rPr>
          <w:b/>
          <w:i w:val="0"/>
        </w:rPr>
        <w:t>6. Potential Theoretical Contribution</w:t>
      </w:r>
      <w:r>
        <w:rPr>
          <w:b w:val="0"/>
          <w:i w:val="0"/>
        </w:rPr>
        <w:t xml:space="preserve"> A </w:t>
      </w:r>
      <w:r>
        <w:rPr>
          <w:b/>
          <w:i w:val="0"/>
        </w:rPr>
        <w:t>recipient-side theory of supply chain governance</w:t>
      </w:r>
      <w:r>
        <w:rPr>
          <w:b w:val="0"/>
          <w:i w:val="0"/>
        </w:rPr>
        <w:t xml:space="preserve"> with three components: (i) the </w:t>
      </w:r>
      <w:r>
        <w:rPr>
          <w:b w:val="0"/>
          <w:i/>
        </w:rPr>
        <w:t>governance-as-surveillance</w:t>
      </w:r>
      <w:r>
        <w:rPr>
          <w:b w:val="0"/>
          <w:i w:val="0"/>
        </w:rPr>
        <w:t xml:space="preserve"> mechanism — monitoring intensity raises compliance only up to a threshold, beyond which perceived interactional injustice produces reactance, strategic concealment, and audit-gaming, generating an inverted-U in true (as opposed to observed) compliance; (ii) </w:t>
      </w:r>
      <w:r>
        <w:rPr>
          <w:b/>
          <w:i w:val="0"/>
        </w:rPr>
        <w:t>transparency asymmetry</w:t>
      </w:r>
      <w:r>
        <w:rPr>
          <w:b w:val="0"/>
          <w:i w:val="0"/>
        </w:rPr>
        <w:t xml:space="preserve"> as an injustice construct: upstream actors are required to disclose everything while learning nothing about buyer margins, price formation, or their own risk classification; and (iii) </w:t>
      </w:r>
      <w:r>
        <w:rPr>
          <w:b/>
          <w:i w:val="0"/>
        </w:rPr>
        <w:t>compliance capacity</w:t>
      </w:r>
      <w:r>
        <w:rPr>
          <w:b w:val="0"/>
          <w:i w:val="0"/>
        </w:rPr>
        <w:t xml:space="preserve"> as the omitted variable — where governance demands exceed the supplier's administrative capacity, injustice perceptions and falsification rise mechanically, independent of intent. This would be one of the first genuinely </w:t>
      </w:r>
      <w:r>
        <w:rPr>
          <w:b w:val="0"/>
          <w:i/>
        </w:rPr>
        <w:t>multi-tier, multi-level</w:t>
      </w:r>
      <w:r>
        <w:rPr>
          <w:b w:val="0"/>
          <w:i w:val="0"/>
        </w:rPr>
        <w:t xml:space="preserve"> behavioral theories in SCM and would explain the field's most embarrassing empirical fact: that a quarter-century of auditing has not eliminated forced labour.</w:t>
      </w:r>
    </w:p>
    <w:p>
      <w:r>
        <w:rPr>
          <w:b/>
          <w:i w:val="0"/>
        </w:rPr>
        <w:t>7. Level of Novelty</w:t>
      </w:r>
      <w:r>
        <w:rPr>
          <w:b w:val="0"/>
          <w:i w:val="0"/>
        </w:rPr>
        <w:t xml:space="preserve"> </w:t>
      </w:r>
      <w:r>
        <w:rPr>
          <w:b/>
          <w:i w:val="0"/>
        </w:rPr>
        <w:t>High.</w:t>
      </w:r>
    </w:p>
    <w:p>
      <w:r>
        <w:rPr>
          <w:b/>
          <w:i w:val="0"/>
        </w:rPr>
        <w:t>8. Potential Managerial Contribution</w:t>
      </w:r>
      <w:r>
        <w:rPr>
          <w:b w:val="0"/>
          <w:i w:val="0"/>
        </w:rPr>
        <w:t xml:space="preserve"> A governance redesign logic: reciprocal transparency, capacity-matched compliance requirements, audit protocols that build rather than extract, and intermediary designs (cooperatives, producer organizations, trusted local brokers) that convert surveillance into legitimate governance. Practically, it tells buyers how to obtain </w:t>
      </w:r>
      <w:r>
        <w:rPr>
          <w:b w:val="0"/>
          <w:i/>
        </w:rPr>
        <w:t>true</w:t>
      </w:r>
      <w:r>
        <w:rPr>
          <w:b w:val="0"/>
          <w:i w:val="0"/>
        </w:rPr>
        <w:t xml:space="preserve"> rather than </w:t>
      </w:r>
      <w:r>
        <w:rPr>
          <w:b w:val="0"/>
          <w:i/>
        </w:rPr>
        <w:t>ceremonial</w:t>
      </w:r>
      <w:r>
        <w:rPr>
          <w:b w:val="0"/>
          <w:i w:val="0"/>
        </w:rPr>
        <w:t xml:space="preserve"> compliance — the difference between legal defensibility and actual risk reduction under CSDDD.</w:t>
      </w:r>
    </w:p>
    <w:p>
      <w:r>
        <w:rPr>
          <w:b/>
          <w:i w:val="0"/>
        </w:rPr>
        <w:t>9. Societal Relevance</w:t>
      </w:r>
      <w:r>
        <w:rPr>
          <w:b w:val="0"/>
          <w:i w:val="0"/>
        </w:rPr>
        <w:t xml:space="preserve"> Very high: roughly 50 million people are estimated to be in modern slavery, much of it linked to global supply chains. Smallholder farmer livelihoods in cocoa, coffee, cotton, and palm are directly at stake, as is the credibility of the entire due-diligence regulatory project.</w:t>
      </w:r>
    </w:p>
    <w:p>
      <w:r>
        <w:rPr>
          <w:b/>
          <w:i w:val="0"/>
        </w:rPr>
        <w:t>10. Suitable FT50 Journals</w:t>
      </w:r>
      <w:r>
        <w:rPr>
          <w:b w:val="0"/>
          <w:i w:val="0"/>
        </w:rPr>
        <w:t xml:space="preserve"> </w:t>
      </w:r>
      <w:r>
        <w:rPr>
          <w:b w:val="0"/>
          <w:i/>
        </w:rPr>
        <w:t>Journal of Supply Chain Management</w:t>
      </w:r>
      <w:r>
        <w:rPr>
          <w:b w:val="0"/>
          <w:i w:val="0"/>
        </w:rPr>
        <w:t xml:space="preserve"> (lead — its theory-building mandate fits perfectly), </w:t>
      </w:r>
      <w:r>
        <w:rPr>
          <w:b w:val="0"/>
          <w:i/>
        </w:rPr>
        <w:t>Journal of Operations Management</w:t>
      </w:r>
      <w:r>
        <w:rPr>
          <w:b w:val="0"/>
          <w:i w:val="0"/>
        </w:rPr>
        <w:t xml:space="preserve">, </w:t>
      </w:r>
      <w:r>
        <w:rPr>
          <w:b w:val="0"/>
          <w:i/>
        </w:rPr>
        <w:t>Production and Operations Management</w:t>
      </w:r>
      <w:r>
        <w:rPr>
          <w:b w:val="0"/>
          <w:i w:val="0"/>
        </w:rPr>
        <w:t xml:space="preserve">, </w:t>
      </w:r>
      <w:r>
        <w:rPr>
          <w:b w:val="0"/>
          <w:i/>
        </w:rPr>
        <w:t>Manufacturing &amp; Service Operations Management</w:t>
      </w:r>
      <w:r>
        <w:rPr>
          <w:b w:val="0"/>
          <w:i w:val="0"/>
        </w:rPr>
        <w:t xml:space="preserve"> (behavioral track), </w:t>
      </w:r>
      <w:r>
        <w:rPr>
          <w:b w:val="0"/>
          <w:i/>
        </w:rPr>
        <w:t>Academy of Management Journal</w:t>
      </w:r>
      <w:r>
        <w:rPr>
          <w:b w:val="0"/>
          <w:i w:val="0"/>
        </w:rPr>
        <w:t xml:space="preserve">, </w:t>
      </w:r>
      <w:r>
        <w:rPr>
          <w:b w:val="0"/>
          <w:i/>
        </w:rPr>
        <w:t>Journal of International Business Studies</w:t>
      </w:r>
      <w:r>
        <w:rPr>
          <w:b w:val="0"/>
          <w:i w:val="0"/>
        </w:rPr>
        <w:t>.</w:t>
      </w:r>
    </w:p>
    <w:p>
      <w:r>
        <w:rPr>
          <w:b/>
          <w:i w:val="0"/>
        </w:rPr>
        <w:t>11. Type of Paper</w:t>
      </w:r>
      <w:r>
        <w:rPr>
          <w:b w:val="0"/>
          <w:i w:val="0"/>
        </w:rPr>
        <w:t xml:space="preserve"> Multi-level Study / Theory + Field Study, combining Qualitative Grounded Theory with Behavioral Experiments and a field experiment.</w:t>
      </w:r>
    </w:p>
    <w:p>
      <w:r>
        <w:rPr>
          <w:b/>
          <w:i w:val="0"/>
        </w:rPr>
        <w:t>12. Recommended Methodology</w:t>
      </w:r>
      <w:r>
        <w:rPr>
          <w:b w:val="0"/>
          <w:i w:val="0"/>
        </w:rPr>
        <w:t xml:space="preserve"> Phase 1: ethnographic and interview fieldwork with tier-2/tier-3 suppliers and smallholders (cocoa in Ghana and Côte d'Ivoire, coffee in Ethiopia and Vietnam, cotton and garments in India and Bangladesh) plus auditors and intermediaries — build the recipient-side construct set. Phase 2: </w:t>
      </w:r>
      <w:r>
        <w:rPr>
          <w:b/>
          <w:i w:val="0"/>
        </w:rPr>
        <w:t>framed field experiments with actual suppliers/farmers</w:t>
      </w:r>
      <w:r>
        <w:rPr>
          <w:b w:val="0"/>
          <w:i w:val="0"/>
        </w:rPr>
        <w:t xml:space="preserve"> (not students) manipulating monitoring intensity, reciprocity of disclosure, and voice in standard-setting; measure incentivized truthful reporting and verified behavior, not stated compliance. Phase 3: multi-level survey across a buyer's supplier base with matched audit outcomes, modelling supplier-level justice perceptions nested in buyer-country and commodity contexts. Phase 4: quasi-experiment exploiting staggered rollout of due-diligence regulation to identify effects on supplier behavior. Triangulate self-reported with unobtrusive measures (satellite land-use, payroll records, worker-voice app data) to detect concealment directly.</w:t>
      </w:r>
    </w:p>
    <w:p>
      <w:r>
        <w:rPr>
          <w:b/>
          <w:i w:val="0"/>
        </w:rPr>
        <w:t>13. Suitable Theories</w:t>
      </w:r>
      <w:r>
        <w:rPr>
          <w:b w:val="0"/>
          <w:i w:val="0"/>
        </w:rPr>
        <w:t xml:space="preserve"> Justice Theory, Psychological Reactance, Agency Theory, Social Exchange, Resource Dependence, Institutional Theory (decoupling), Behavioral Operations, Network Theory, Stakeholder Theory.</w:t>
      </w:r>
    </w:p>
    <w:p>
      <w:r>
        <w:rPr>
          <w:b/>
          <w:i w:val="0"/>
        </w:rPr>
        <w:t>14. Potential Constructs</w:t>
      </w:r>
      <w:r>
        <w:rPr>
          <w:b w:val="0"/>
          <w:i w:val="0"/>
        </w:rPr>
        <w:t xml:space="preserve"> Governance-as-surveillance perception; transparency asymmetry; compliance capacity gap; strategic concealment; audit gaming; ceremonial compliance; voice in standard-setting; upstream procedural justice.</w:t>
      </w:r>
    </w:p>
    <w:p>
      <w:r>
        <w:rPr>
          <w:b/>
          <w:i w:val="0"/>
        </w:rPr>
        <w:t>15. Possible Mediators</w:t>
      </w:r>
      <w:r>
        <w:rPr>
          <w:b w:val="0"/>
          <w:i w:val="0"/>
        </w:rPr>
        <w:t xml:space="preserve"> Perceived interactional and informational injustice; reactance; trust in the buyer; perceived legitimacy of the standard; administrative burden and depletion.</w:t>
      </w:r>
    </w:p>
    <w:p>
      <w:r>
        <w:rPr>
          <w:b/>
          <w:i w:val="0"/>
        </w:rPr>
        <w:t>16. Possible Moderators</w:t>
      </w:r>
      <w:r>
        <w:rPr>
          <w:b w:val="0"/>
          <w:i w:val="0"/>
        </w:rPr>
        <w:t xml:space="preserve"> Dependence asymmetry; alternative-buyer availability; intermediary presence and type; literacy and administrative capacity; local institutional enforcement; commodity price volatility; farmer-organization membership; cultural power distance.</w:t>
      </w:r>
    </w:p>
    <w:p>
      <w:r>
        <w:rPr>
          <w:b/>
          <w:i w:val="0"/>
        </w:rPr>
        <w:t>17. Unit of Analysis</w:t>
      </w:r>
      <w:r>
        <w:rPr>
          <w:b w:val="0"/>
          <w:i w:val="0"/>
        </w:rPr>
        <w:t xml:space="preserve"> Upstream supplier/producer (primary — the theoretical shift); buyer–supplier–subsupplier triad (secondary); supply chain tier (tertiary).</w:t>
      </w:r>
    </w:p>
    <w:p>
      <w:r>
        <w:rPr>
          <w:b/>
          <w:i w:val="0"/>
        </w:rPr>
        <w:t>18. Potential Datasets</w:t>
      </w:r>
      <w:r>
        <w:rPr>
          <w:b w:val="0"/>
          <w:i w:val="0"/>
        </w:rPr>
        <w:t xml:space="preserve"> Audit databases (Sedex/SMETA, amfori BSCI, Fair Labor Association), certification records (Rainforest Alliance, Fairtrade, Better Cotton) merged with producer surveys; buyer traceability platforms; worker-voice platform data (Ulula, &amp;Wider); satellite deforestation/land-use for concealment detection; national household and agricultural surveys (Ghana GLSS, Ethiopia ESS, Vietnam VHLSS); CSDDD-era corporate due-diligence disclosures.</w:t>
      </w:r>
    </w:p>
    <w:p>
      <w:r>
        <w:rPr>
          <w:b/>
          <w:i w:val="0"/>
        </w:rPr>
        <w:t>19. Countries Where Research Would Be Valuable</w:t>
      </w:r>
      <w:r>
        <w:rPr>
          <w:b w:val="0"/>
          <w:i w:val="0"/>
        </w:rPr>
        <w:t xml:space="preserve"> Ghana, Côte d'Ivoire, Ethiopia, Kenya, Vietnam, India, Bangladesh, Indonesia (producer side); Brazil and Peru (deforestation-linked); paired with buyer-side data in Germany, France, Netherlands, UK, US.</w:t>
      </w:r>
    </w:p>
    <w:p>
      <w:r>
        <w:rPr>
          <w:b/>
          <w:i w:val="0"/>
        </w:rPr>
        <w:t>20. Practical Implications</w:t>
      </w:r>
      <w:r>
        <w:rPr>
          <w:b w:val="0"/>
          <w:i w:val="0"/>
        </w:rPr>
        <w:t xml:space="preserve"> Reduces wasted audit expenditure; raises true compliance; protects buyers from the legal exposure created by falsified audit trails; improves smallholder incomes and retention; gives regulators evidence that mandating disclosure without mandating capacity support produces falsification.</w:t>
      </w:r>
    </w:p>
    <w:p>
      <w:r>
        <w:rPr>
          <w:b/>
          <w:i w:val="0"/>
        </w:rPr>
        <w:t>21. Risks Reviewers May Identify</w:t>
      </w:r>
      <w:r>
        <w:rPr>
          <w:b w:val="0"/>
          <w:i w:val="0"/>
        </w:rPr>
        <w:t xml:space="preserve"> (a) Access and sampling feasibility upstream. (b) Social-desirability and fear-of-retaliation bias in reports from dependent suppliers. (c) Ethical risk of exposing non-compliant suppliers. (d) "Reactance is an established theory — where is the new theory?" (e) Generalizability across commodities and regulatory regimes. (f) Endogeneity of monitoring intensity (worse suppliers get monitored more).</w:t>
      </w:r>
    </w:p>
    <w:p>
      <w:r>
        <w:rPr>
          <w:b/>
          <w:i w:val="0"/>
        </w:rPr>
        <w:t>22. How to Strengthen the Theoretical Contribution</w:t>
      </w:r>
      <w:r>
        <w:rPr>
          <w:b w:val="0"/>
          <w:i w:val="0"/>
        </w:rPr>
        <w:t xml:space="preserve"> Make the </w:t>
      </w:r>
      <w:r>
        <w:rPr>
          <w:b/>
          <w:i w:val="0"/>
        </w:rPr>
        <w:t>inverted-U in true compliance</w:t>
      </w:r>
      <w:r>
        <w:rPr>
          <w:b w:val="0"/>
          <w:i w:val="0"/>
        </w:rPr>
        <w:t xml:space="preserve"> the headline claim and identify it cleanly — this is a directional reversal of the agency-theoretic prediction and is what makes the paper theory rather than description. Measure concealment with unobtrusive data so the dependent variable is not self-report. Formalize transparency asymmetry as a novel justice dimension with its own measurement and discriminant validity evidence, since "we imported reactance into SCM" is not a JSCM-level contribution but "justice theory needs a new dimension in asymmetric multi-tier systems" is. Build the multi-level structure explicitly so the paper also answers the JIBS-style call for micro-to-macro linkage.</w:t>
      </w:r>
    </w:p>
    <w:p>
      <w:pPr>
        <w:pStyle w:val="Heading1"/>
        <w:jc w:val="left"/>
      </w:pPr>
      <w:r>
        <w:rPr>
          <w:b w:val="0"/>
          <w:i w:val="0"/>
          <w:color w:val="1A1A1A"/>
        </w:rPr>
        <w:t>7. Verified but Not Trusted: Institutional Trust Displacement and the Fragility It Creates</w:t>
      </w:r>
    </w:p>
    <w:p>
      <w:r>
        <w:rPr>
          <w:b/>
          <w:i w:val="0"/>
        </w:rPr>
        <w:t>1. Research Theme</w:t>
      </w:r>
      <w:r>
        <w:rPr>
          <w:b w:val="0"/>
          <w:i w:val="0"/>
        </w:rPr>
        <w:t xml:space="preserve"> Trust erosion / B2B and relationship marketing / platform governance / supply chain transparency / public trust in markets.</w:t>
      </w:r>
    </w:p>
    <w:p>
      <w:r>
        <w:rPr>
          <w:b/>
          <w:i w:val="0"/>
        </w:rPr>
        <w:t>2. Exact FT50-Level Research Topic</w:t>
      </w:r>
      <w:r>
        <w:rPr>
          <w:b w:val="0"/>
          <w:i w:val="0"/>
        </w:rPr>
        <w:t xml:space="preserve"> </w:t>
      </w:r>
      <w:r>
        <w:rPr>
          <w:b w:val="0"/>
          <w:i/>
        </w:rPr>
        <w:t>Trust Displacement: How Verification Infrastructure Substitutes for Interpersonal Trust, and Why Markets That Function Without Trust Fail Catastrophically Under Shock.</w:t>
      </w:r>
    </w:p>
    <w:p>
      <w:r>
        <w:rPr>
          <w:b/>
          <w:i w:val="0"/>
        </w:rPr>
        <w:t>3. Why This Topic Matters Now</w:t>
      </w:r>
      <w:r>
        <w:rPr>
          <w:b w:val="0"/>
          <w:i w:val="0"/>
        </w:rPr>
        <w:t xml:space="preserve"> Markets have quietly solved the trust problem without producing trust. Ratings, escrow, insurance-backed guarantees, third-party certification, traceability, verified reviews, and platform arbitration allow strangers to transact at scale with zero interpersonal confidence. This is celebrated as institutional progress. But three things now suggest it is a fragility, not a feature: verification systems are themselves gameable and increasingly gamed; when they fail or are disintermediated, no relational substrate remains to fall back on; and generalized social and institutional trust is declining in most advanced economies even as transaction volumes rise. The AMA's own conference framing now treats trust as something </w:t>
      </w:r>
      <w:r>
        <w:rPr>
          <w:b w:val="0"/>
          <w:i/>
        </w:rPr>
        <w:t>governed</w:t>
      </w:r>
      <w:r>
        <w:rPr>
          <w:b w:val="0"/>
          <w:i w:val="0"/>
        </w:rPr>
        <w:t xml:space="preserve"> across paid, owned, and earned channels rather than something </w:t>
      </w:r>
      <w:r>
        <w:rPr>
          <w:b w:val="0"/>
          <w:i/>
        </w:rPr>
        <w:t>earned</w:t>
      </w:r>
      <w:r>
        <w:rPr>
          <w:b w:val="0"/>
          <w:i w:val="0"/>
        </w:rPr>
        <w:t xml:space="preserve"> interpersonally.</w:t>
      </w:r>
    </w:p>
    <w:p>
      <w:r>
        <w:rPr>
          <w:b/>
          <w:i w:val="0"/>
        </w:rPr>
        <w:t>4. Why Existing Literature Is Insufficient</w:t>
      </w:r>
      <w:r>
        <w:rPr>
          <w:b w:val="0"/>
          <w:i w:val="0"/>
        </w:rPr>
        <w:t xml:space="preserve"> Commitment-trust theory (Morgan &amp; Hunt, 1994) remains marketing's dominant relational framework and is now over thirty years old; it treats trust as an accumulating relational asset and monitoring as its substitute, with the classic prediction that monitoring crowds out trust. Modern markets violate this: monitoring and transaction volume rise together while relational trust neither accumulates nor is required. Institutional trust research (Zucker, Bachmann) distinguishes trust types but has not modelled </w:t>
      </w:r>
      <w:r>
        <w:rPr>
          <w:b w:val="0"/>
          <w:i/>
        </w:rPr>
        <w:t>displacement dynamics</w:t>
      </w:r>
      <w:r>
        <w:rPr>
          <w:b w:val="0"/>
          <w:i w:val="0"/>
        </w:rPr>
        <w:t xml:space="preserve"> — the atrophy of relational trust capacity through disuse. Platform-governance and reputation-system research studies mechanism design and gaming, not the second-order consequence for relational capital. Supply chain transparency research assumes visibility produces trust; it may produce </w:t>
      </w:r>
      <w:r>
        <w:rPr>
          <w:b w:val="0"/>
          <w:i/>
        </w:rPr>
        <w:t>the redundancy of trust</w:t>
      </w:r>
      <w:r>
        <w:rPr>
          <w:b w:val="0"/>
          <w:i w:val="0"/>
        </w:rPr>
        <w:t>, which is a different and less robust state. Nothing in the literature predicts differential resilience under shock as a function of trust architecture.</w:t>
      </w:r>
    </w:p>
    <w:p>
      <w:r>
        <w:rPr>
          <w:b/>
          <w:i w:val="0"/>
        </w:rPr>
        <w:t>5. Theories Needing Extension or Challenge</w:t>
      </w:r>
      <w:r>
        <w:rPr>
          <w:b w:val="0"/>
          <w:i w:val="0"/>
        </w:rPr>
        <w:t xml:space="preserve"> Commitment-Trust Theory (challenge directly: its scope conditions assume relational necessity); Social Exchange Theory (what accumulates when exchange is institutionally guaranteed?); Institutional Theory; TCE (challenge the safeguard-substitution logic by adding a </w:t>
      </w:r>
      <w:r>
        <w:rPr>
          <w:b w:val="0"/>
          <w:i/>
        </w:rPr>
        <w:t>resilience</w:t>
      </w:r>
      <w:r>
        <w:rPr>
          <w:b w:val="0"/>
          <w:i w:val="0"/>
        </w:rPr>
        <w:t xml:space="preserve"> cost to safeguards); Signaling Theory (verification as signal-jamming); Resource Dependence; Network Theory (structural embeddedness vs. institutional guarantee as alternative bases of exchange); Complex Adaptive Systems (fragility under correlated failure).</w:t>
      </w:r>
    </w:p>
    <w:p>
      <w:r>
        <w:rPr>
          <w:b/>
          <w:i w:val="0"/>
        </w:rPr>
        <w:t>6. Potential Theoretical Contribution</w:t>
      </w:r>
      <w:r>
        <w:rPr>
          <w:b w:val="0"/>
          <w:i w:val="0"/>
        </w:rPr>
        <w:t xml:space="preserve"> A theory of </w:t>
      </w:r>
      <w:r>
        <w:rPr>
          <w:b/>
          <w:i w:val="0"/>
        </w:rPr>
        <w:t>trust displacement and relational atrophy</w:t>
      </w:r>
      <w:r>
        <w:rPr>
          <w:b w:val="0"/>
          <w:i w:val="0"/>
        </w:rPr>
        <w:t xml:space="preserve">: (i) verification infrastructure does not build trust, it makes trust </w:t>
      </w:r>
      <w:r>
        <w:rPr>
          <w:b w:val="0"/>
          <w:i/>
        </w:rPr>
        <w:t>unnecessary</w:t>
      </w:r>
      <w:r>
        <w:rPr>
          <w:b w:val="0"/>
          <w:i w:val="0"/>
        </w:rPr>
        <w:t xml:space="preserve">, and unused relational capacity decays; (ii) this produces a </w:t>
      </w:r>
      <w:r>
        <w:rPr>
          <w:b/>
          <w:i w:val="0"/>
        </w:rPr>
        <w:t>fragility trade-off</w:t>
      </w:r>
      <w:r>
        <w:rPr>
          <w:b w:val="0"/>
          <w:i w:val="0"/>
        </w:rPr>
        <w:t xml:space="preserve"> — verified markets are more efficient in normal times and </w:t>
      </w:r>
      <w:r>
        <w:rPr>
          <w:b w:val="0"/>
          <w:i/>
        </w:rPr>
        <w:t>less</w:t>
      </w:r>
      <w:r>
        <w:rPr>
          <w:b w:val="0"/>
          <w:i w:val="0"/>
        </w:rPr>
        <w:t xml:space="preserve"> resilient under shock, because shocks are precisely the moments when verification fails and discretion is required; (iii) a typology of exchange architectures (relational, verified, hybrid) with distinct efficiency-resilience frontiers. The headline theoretical move is to reposition trust from an </w:t>
      </w:r>
      <w:r>
        <w:rPr>
          <w:b w:val="0"/>
          <w:i/>
        </w:rPr>
        <w:t>outcome variable</w:t>
      </w:r>
      <w:r>
        <w:rPr>
          <w:b w:val="0"/>
          <w:i w:val="0"/>
        </w:rPr>
        <w:t xml:space="preserve"> (something marketing tries to maximize) to a </w:t>
      </w:r>
      <w:r>
        <w:rPr>
          <w:b/>
          <w:i w:val="0"/>
        </w:rPr>
        <w:t>latent resilience reserve</w:t>
      </w:r>
      <w:r>
        <w:rPr>
          <w:b w:val="0"/>
          <w:i w:val="0"/>
        </w:rPr>
        <w:t xml:space="preserve"> whose value is realized only in disequilibrium. This reframes thirty years of relationship marketing and gives supply chain resilience research a behavioral micro-foundation it currently lacks.</w:t>
      </w:r>
    </w:p>
    <w:p>
      <w:r>
        <w:rPr>
          <w:b/>
          <w:i w:val="0"/>
        </w:rPr>
        <w:t>7. Level of Novelty</w:t>
      </w:r>
      <w:r>
        <w:rPr>
          <w:b w:val="0"/>
          <w:i w:val="0"/>
        </w:rPr>
        <w:t xml:space="preserve"> </w:t>
      </w:r>
      <w:r>
        <w:rPr>
          <w:b/>
          <w:i w:val="0"/>
        </w:rPr>
        <w:t>High.</w:t>
      </w:r>
    </w:p>
    <w:p>
      <w:r>
        <w:rPr>
          <w:b/>
          <w:i w:val="0"/>
        </w:rPr>
        <w:t>8. Potential Managerial Contribution</w:t>
      </w:r>
      <w:r>
        <w:rPr>
          <w:b w:val="0"/>
          <w:i w:val="0"/>
        </w:rPr>
        <w:t xml:space="preserve"> Tells firms which relationships to keep relational and which to institutionalize — a portfolio logic for relational investment. Explains why cost-optimized, fully verified supplier networks collapse in crises while apparently inefficient relational networks flex. Gives platforms a reason to invest in relational depth rather than only in verification, and gives B2B firms a defensible case for relationship investment that survives procurement-led rationalization.</w:t>
      </w:r>
    </w:p>
    <w:p>
      <w:r>
        <w:rPr>
          <w:b/>
          <w:i w:val="0"/>
        </w:rPr>
        <w:t>9. Societal Relevance</w:t>
      </w:r>
      <w:r>
        <w:rPr>
          <w:b w:val="0"/>
          <w:i w:val="0"/>
        </w:rPr>
        <w:t xml:space="preserve"> High. Public trust in markets, institutions, and expertise is eroding across democracies; understanding whether market design is a </w:t>
      </w:r>
      <w:r>
        <w:rPr>
          <w:b w:val="0"/>
          <w:i/>
        </w:rPr>
        <w:t>cause</w:t>
      </w:r>
      <w:r>
        <w:rPr>
          <w:b w:val="0"/>
          <w:i w:val="0"/>
        </w:rPr>
        <w:t xml:space="preserve"> of that erosion — by rendering trust unnecessary and therefore unpracticed — is a first-order social question.</w:t>
      </w:r>
    </w:p>
    <w:p>
      <w:r>
        <w:rPr>
          <w:b/>
          <w:i w:val="0"/>
        </w:rPr>
        <w:t>10. Suitable FT50 Journals</w:t>
      </w:r>
      <w:r>
        <w:rPr>
          <w:b w:val="0"/>
          <w:i w:val="0"/>
        </w:rPr>
        <w:t xml:space="preserve"> </w:t>
      </w:r>
      <w:r>
        <w:rPr>
          <w:b w:val="0"/>
          <w:i/>
        </w:rPr>
        <w:t>Journal of Marketing</w:t>
      </w:r>
      <w:r>
        <w:rPr>
          <w:b w:val="0"/>
          <w:i w:val="0"/>
        </w:rPr>
        <w:t xml:space="preserve"> (lead), </w:t>
      </w:r>
      <w:r>
        <w:rPr>
          <w:b w:val="0"/>
          <w:i/>
        </w:rPr>
        <w:t>Academy of Management Review</w:t>
      </w:r>
      <w:r>
        <w:rPr>
          <w:b w:val="0"/>
          <w:i w:val="0"/>
        </w:rPr>
        <w:t xml:space="preserve"> (theory version), </w:t>
      </w:r>
      <w:r>
        <w:rPr>
          <w:b w:val="0"/>
          <w:i/>
        </w:rPr>
        <w:t>Journal of the Academy of Marketing Science</w:t>
      </w:r>
      <w:r>
        <w:rPr>
          <w:b w:val="0"/>
          <w:i w:val="0"/>
        </w:rPr>
        <w:t xml:space="preserve">, </w:t>
      </w:r>
      <w:r>
        <w:rPr>
          <w:b w:val="0"/>
          <w:i/>
        </w:rPr>
        <w:t>Journal of Supply Chain Management</w:t>
      </w:r>
      <w:r>
        <w:rPr>
          <w:b w:val="0"/>
          <w:i w:val="0"/>
        </w:rPr>
        <w:t xml:space="preserve">, </w:t>
      </w:r>
      <w:r>
        <w:rPr>
          <w:b w:val="0"/>
          <w:i/>
        </w:rPr>
        <w:t>Journal of Service Research</w:t>
      </w:r>
      <w:r>
        <w:rPr>
          <w:b w:val="0"/>
          <w:i w:val="0"/>
        </w:rPr>
        <w:t xml:space="preserve">, </w:t>
      </w:r>
      <w:r>
        <w:rPr>
          <w:b w:val="0"/>
          <w:i/>
        </w:rPr>
        <w:t>MIS Quarterly</w:t>
      </w:r>
      <w:r>
        <w:rPr>
          <w:b w:val="0"/>
          <w:i w:val="0"/>
        </w:rPr>
        <w:t xml:space="preserve"> (platform-governance framing), </w:t>
      </w:r>
      <w:r>
        <w:rPr>
          <w:b w:val="0"/>
          <w:i/>
        </w:rPr>
        <w:t>Organization Science</w:t>
      </w:r>
      <w:r>
        <w:rPr>
          <w:b w:val="0"/>
          <w:i w:val="0"/>
        </w:rPr>
        <w:t>.</w:t>
      </w:r>
    </w:p>
    <w:p>
      <w:r>
        <w:rPr>
          <w:b/>
          <w:i w:val="0"/>
        </w:rPr>
        <w:t>11. Type of Paper</w:t>
      </w:r>
      <w:r>
        <w:rPr>
          <w:b w:val="0"/>
          <w:i w:val="0"/>
        </w:rPr>
        <w:t xml:space="preserve"> Conceptual Framework / Theory Building, plus Multi-study Behavioral Experiments and a Longitudinal Panel exploiting a verification-failure shock.</w:t>
      </w:r>
    </w:p>
    <w:p>
      <w:r>
        <w:rPr>
          <w:b/>
          <w:i w:val="0"/>
        </w:rPr>
        <w:t>12. Recommended Methodology</w:t>
      </w:r>
      <w:r>
        <w:rPr>
          <w:b w:val="0"/>
          <w:i w:val="0"/>
        </w:rPr>
        <w:t xml:space="preserve"> (a) Theory development with an efficiency-resilience frontier formalization. (b) Behavioral experiments: repeated trust/investment games in which an institutional guarantee is introduced and then unexpectedly withdrawn, measuring cooperation in the post-withdrawal period against a never-guaranteed control — this directly tests atrophy and is the study that makes the paper. (c) Field/archival: identify natural verification-failure shocks (major certification scandals, platform arbitration policy reversals, audit-fraud revelations, Wirecard-style assurance failures, food-safety certification collapses) and compare continuity of exchange for dyads with high vs. low relational history using difference-in-differences. (d) B2B panel: buyer-supplier dyads through the 2020–2023 disruption period, testing whether relational history predicted allocation priority once contracts became unenforceable. (e) Cross-country survey linking national verification-infrastructure density to relational trust levels.</w:t>
      </w:r>
    </w:p>
    <w:p>
      <w:r>
        <w:rPr>
          <w:b/>
          <w:i w:val="0"/>
        </w:rPr>
        <w:t>13. Suitable Theories</w:t>
      </w:r>
      <w:r>
        <w:rPr>
          <w:b w:val="0"/>
          <w:i w:val="0"/>
        </w:rPr>
        <w:t xml:space="preserve"> Commitment-Trust Theory, Social Exchange, Institutional Theory, TCE, Signaling Theory, Network Theory / structural embeddedness, Complex Adaptive Systems, Behavioral game theory.</w:t>
      </w:r>
    </w:p>
    <w:p>
      <w:r>
        <w:rPr>
          <w:b/>
          <w:i w:val="0"/>
        </w:rPr>
        <w:t>14. Potential Constructs</w:t>
      </w:r>
      <w:r>
        <w:rPr>
          <w:b w:val="0"/>
          <w:i w:val="0"/>
        </w:rPr>
        <w:t xml:space="preserve"> Trust displacement; relational atrophy; verification density; latent relational reserve; discretionary allocation under shock; efficiency-resilience frontier; exchange architecture type.</w:t>
      </w:r>
    </w:p>
    <w:p>
      <w:r>
        <w:rPr>
          <w:b/>
          <w:i w:val="0"/>
        </w:rPr>
        <w:t>15. Possible Mediators</w:t>
      </w:r>
      <w:r>
        <w:rPr>
          <w:b w:val="0"/>
          <w:i w:val="0"/>
        </w:rPr>
        <w:t xml:space="preserve"> Perceived necessity of trust; relational investment behavior; interpersonal familiarity; willingness to extend discretion; expectation of institutional recourse.</w:t>
      </w:r>
    </w:p>
    <w:p>
      <w:r>
        <w:rPr>
          <w:b/>
          <w:i w:val="0"/>
        </w:rPr>
        <w:t>16. Possible Moderators</w:t>
      </w:r>
      <w:r>
        <w:rPr>
          <w:b w:val="0"/>
          <w:i w:val="0"/>
        </w:rPr>
        <w:t xml:space="preserve"> Shock severity and correlation; asset specificity; relationship duration; verification reliability; national institutional quality; cultural relational orientation (guanxi/wasta contexts); switching cost.</w:t>
      </w:r>
    </w:p>
    <w:p>
      <w:r>
        <w:rPr>
          <w:b/>
          <w:i w:val="0"/>
        </w:rPr>
        <w:t>17. Unit of Analysis</w:t>
      </w:r>
      <w:r>
        <w:rPr>
          <w:b w:val="0"/>
          <w:i w:val="0"/>
        </w:rPr>
        <w:t xml:space="preserve"> Exchange dyad (primary); market/platform (secondary); country institutional regime (comparative).</w:t>
      </w:r>
    </w:p>
    <w:p>
      <w:r>
        <w:rPr>
          <w:b/>
          <w:i w:val="0"/>
        </w:rPr>
        <w:t>18. Potential Datasets</w:t>
      </w:r>
      <w:r>
        <w:rPr>
          <w:b w:val="0"/>
          <w:i w:val="0"/>
        </w:rPr>
        <w:t xml:space="preserve"> Platform transaction and dispute data (Alibaba, Amazon Marketplace, Upwork, Airbnb academic partnerships); B2B panels (Compustat customer-supplier segment data, FactSet Revere supply chain relationships) merged with disruption events; certification-scandal event chronologies; Edelman Trust Barometer and World Values Survey / Eurobarometer trust series; experimental economics platforms.</w:t>
      </w:r>
    </w:p>
    <w:p>
      <w:r>
        <w:rPr>
          <w:b/>
          <w:i w:val="0"/>
        </w:rPr>
        <w:t>19. Countries Where Research Would Be Valuable</w:t>
      </w:r>
      <w:r>
        <w:rPr>
          <w:b w:val="0"/>
          <w:i w:val="0"/>
        </w:rPr>
        <w:t xml:space="preserve"> Germany, Nordics, Netherlands (high verification density, high institutional trust); US and UK (high verification, declining institutional trust); China, India, Nigeria, Brazil, Middle East (relational architectures coexisting with rapid verification build-out) — the cross-country contrast is the strongest identification available for the displacement claim.</w:t>
      </w:r>
    </w:p>
    <w:p>
      <w:r>
        <w:rPr>
          <w:b/>
          <w:i w:val="0"/>
        </w:rPr>
        <w:t>20. Practical Implications</w:t>
      </w:r>
      <w:r>
        <w:rPr>
          <w:b w:val="0"/>
          <w:i w:val="0"/>
        </w:rPr>
        <w:t xml:space="preserve"> Relational investment gets a resilience-based ROI argument; firms learn to maintain a deliberate relational reserve in critical categories; platforms and standard-setters learn that verification monocultures create correlated fragility.</w:t>
      </w:r>
    </w:p>
    <w:p>
      <w:r>
        <w:rPr>
          <w:b/>
          <w:i w:val="0"/>
        </w:rPr>
        <w:t>21. Risks Reviewers May Identify</w:t>
      </w:r>
      <w:r>
        <w:rPr>
          <w:b w:val="0"/>
          <w:i w:val="0"/>
        </w:rPr>
        <w:t xml:space="preserve"> (a) "Trust substitution is well established in TCE and Ostrom-style work." (b) Atrophy is hard to distinguish from selection (relational dyads may differ ex ante). (c) Shock events are rare and confounded. (d) Trust is over-studied; reviewers are fatigued. (e) Conceptual slippage among trust types.</w:t>
      </w:r>
    </w:p>
    <w:p>
      <w:r>
        <w:rPr>
          <w:b/>
          <w:i w:val="0"/>
        </w:rPr>
        <w:t>22. How to Strengthen the Theoretical Contribution</w:t>
      </w:r>
      <w:r>
        <w:rPr>
          <w:b w:val="0"/>
          <w:i w:val="0"/>
        </w:rPr>
        <w:t xml:space="preserve"> Lead with the </w:t>
      </w:r>
      <w:r>
        <w:rPr>
          <w:b/>
          <w:i w:val="0"/>
        </w:rPr>
        <w:t>resilience reframe</w:t>
      </w:r>
      <w:r>
        <w:rPr>
          <w:b w:val="0"/>
          <w:i w:val="0"/>
        </w:rPr>
        <w:t xml:space="preserve">, not with trust. The contribution must be "trust is a reserve asset with option value under disequilibrium," which is a different theoretical object than trust-as-relationship-quality. Nail the atrophy mechanism experimentally with the guarantee-withdrawal design, because that is the one piece of evidence no existing literature has. Be precise about trust types (interpersonal, organizational, institutional, system) and pre-specify which is displaced and which is not. Derive a counterintuitive prediction — e.g., that </w:t>
      </w:r>
      <w:r>
        <w:rPr>
          <w:b w:val="0"/>
          <w:i/>
        </w:rPr>
        <w:t>increasing</w:t>
      </w:r>
      <w:r>
        <w:rPr>
          <w:b w:val="0"/>
          <w:i w:val="0"/>
        </w:rPr>
        <w:t xml:space="preserve"> verification quality decreases market resilience — and test it.</w:t>
      </w:r>
    </w:p>
    <w:p>
      <w:pPr>
        <w:pStyle w:val="Heading1"/>
        <w:jc w:val="left"/>
      </w:pPr>
      <w:r>
        <w:rPr>
          <w:b w:val="0"/>
          <w:i w:val="0"/>
          <w:color w:val="1A1A1A"/>
        </w:rPr>
        <w:t>8. After the Sale, Whose Product Is It? Post-Purchase Sovereignty and the Repair Economy</w:t>
      </w:r>
    </w:p>
    <w:p>
      <w:r>
        <w:rPr>
          <w:b/>
          <w:i w:val="0"/>
        </w:rPr>
        <w:t>1. Research Theme</w:t>
      </w:r>
      <w:r>
        <w:rPr>
          <w:b w:val="0"/>
          <w:i w:val="0"/>
        </w:rPr>
        <w:t xml:space="preserve"> Circular economy / consumer repair behavior / branding / retailing / psychological ownership / reverse logistics.</w:t>
      </w:r>
    </w:p>
    <w:p>
      <w:r>
        <w:rPr>
          <w:b/>
          <w:i w:val="0"/>
        </w:rPr>
        <w:t>2. Exact FT50-Level Research Topic</w:t>
      </w:r>
      <w:r>
        <w:rPr>
          <w:b w:val="0"/>
          <w:i w:val="0"/>
        </w:rPr>
        <w:t xml:space="preserve"> </w:t>
      </w:r>
      <w:r>
        <w:rPr>
          <w:b w:val="0"/>
          <w:i/>
        </w:rPr>
        <w:t>Post-Purchase Sovereignty: How the Legal Redistribution of Repair Rights Reconfigures Psychological Ownership, Brand Meaning, and the Boundaries of the Firm.</w:t>
      </w:r>
    </w:p>
    <w:p>
      <w:r>
        <w:rPr>
          <w:b/>
          <w:i w:val="0"/>
        </w:rPr>
        <w:t>3. Why This Topic Matters Now</w:t>
      </w:r>
      <w:r>
        <w:rPr>
          <w:b w:val="0"/>
          <w:i w:val="0"/>
        </w:rPr>
        <w:t xml:space="preserve"> Right-to-repair legislation in the EU (repair directive, ecodesign and spare-parts rules), a growing majority of US states, and comparable moves in Australia and Canada is doing something marketing theory has never had to absorb: </w:t>
      </w:r>
      <w:r>
        <w:rPr>
          <w:b/>
          <w:i w:val="0"/>
        </w:rPr>
        <w:t>legally transferring control of the product's post-purchase life from the firm to the consumer and to third parties.</w:t>
      </w:r>
      <w:r>
        <w:rPr>
          <w:b w:val="0"/>
          <w:i w:val="0"/>
        </w:rPr>
        <w:t xml:space="preserve"> Practitioner commentary already frames this as a redefinition of the manufacturer-customer relationship (</w:t>
      </w:r>
      <w:r>
        <w:rPr>
          <w:b w:val="0"/>
          <w:i w:val="0"/>
        </w:rPr>
        <w:t>MIT SMR, 2025 (https://sloanreview.mit.edu/article/consumers-are-gaining-the-right-to-repair-are-you-ready/)</w:t>
      </w:r>
      <w:r>
        <w:rPr>
          <w:b w:val="0"/>
          <w:i w:val="0"/>
        </w:rPr>
        <w:t xml:space="preserve">). Simultaneously, subscription and connected-product models are pushing in the </w:t>
      </w:r>
      <w:r>
        <w:rPr>
          <w:b w:val="0"/>
          <w:i/>
        </w:rPr>
        <w:t>opposite</w:t>
      </w:r>
      <w:r>
        <w:rPr>
          <w:b w:val="0"/>
          <w:i w:val="0"/>
        </w:rPr>
        <w:t xml:space="preserve"> direction, retaining firm control over things consumers have paid for. The two trends are colliding, and the field has no theory of who holds sovereignty over a purchased object.</w:t>
      </w:r>
    </w:p>
    <w:p>
      <w:r>
        <w:rPr>
          <w:b/>
          <w:i w:val="0"/>
        </w:rPr>
        <w:t>4. Why Existing Literature Is Insufficient</w:t>
      </w:r>
      <w:r>
        <w:rPr>
          <w:b w:val="0"/>
          <w:i w:val="0"/>
        </w:rPr>
        <w:t xml:space="preserve"> Psychological ownership theory explains how consumers come to feel ownership through control, investment of self, and intimate knowledge — but it has always treated </w:t>
      </w:r>
      <w:r>
        <w:rPr>
          <w:b w:val="0"/>
          <w:i/>
        </w:rPr>
        <w:t>legal</w:t>
      </w:r>
      <w:r>
        <w:rPr>
          <w:b w:val="0"/>
          <w:i w:val="0"/>
        </w:rPr>
        <w:t xml:space="preserve"> ownership as fixed and psychological ownership as the variable. Right-to-repair inverts this: legal control is the variable, and the theory has no prediction for what happens to felt ownership, brand attachment, or brand responsibility when the state grants consumers control the firm withheld. Repair research is overwhelmingly TPB/intention-based, survey-driven, and atheoretical about ownership — a pattern visible across the current stream of repair-intention studies and consumer-repair-journey work. Circular economy research treats repair as a material-flow behavior, not an ownership relation. Brand-equity theory assumes the firm governs product experience; distributed repair means unauthorized third parties now co-produce brand experience with no contractual relationship. Servitization research studies firms </w:t>
      </w:r>
      <w:r>
        <w:rPr>
          <w:b w:val="0"/>
          <w:i/>
        </w:rPr>
        <w:t>retaining</w:t>
      </w:r>
      <w:r>
        <w:rPr>
          <w:b w:val="0"/>
          <w:i w:val="0"/>
        </w:rPr>
        <w:t xml:space="preserve"> control and never the reverse.</w:t>
      </w:r>
    </w:p>
    <w:p>
      <w:r>
        <w:rPr>
          <w:b/>
          <w:i w:val="0"/>
        </w:rPr>
        <w:t>5. Theories Needing Extension or Challenge</w:t>
      </w:r>
      <w:r>
        <w:rPr>
          <w:b w:val="0"/>
          <w:i w:val="0"/>
        </w:rPr>
        <w:t xml:space="preserve"> Psychological Ownership (challenge: legal control as an exogenous shock, not a constant); Self-Extension / Extended Self; Brand Relationship and Brand Equity theory (co-production of brand meaning by non-contracted repairers); Property Rights Theory and TCE (repair rights as a boundary-of-the-firm question); Practice Theory (repair as skilled practice and its re-acquisition); Institutional Theory (legitimation of the repair sector); Self-Determination Theory (competence and autonomy from repairing); Signaling Theory (repairability as a durability signal).</w:t>
      </w:r>
    </w:p>
    <w:p>
      <w:r>
        <w:rPr>
          <w:b/>
          <w:i w:val="0"/>
        </w:rPr>
        <w:t>6. Potential Theoretical Contribution</w:t>
      </w:r>
      <w:r>
        <w:rPr>
          <w:b w:val="0"/>
          <w:i w:val="0"/>
        </w:rPr>
        <w:t xml:space="preserve"> A theory of </w:t>
      </w:r>
      <w:r>
        <w:rPr>
          <w:b/>
          <w:i w:val="0"/>
        </w:rPr>
        <w:t>post-purchase sovereignty</w:t>
      </w:r>
      <w:r>
        <w:rPr>
          <w:b w:val="0"/>
          <w:i w:val="0"/>
        </w:rPr>
        <w:t xml:space="preserve"> that treats control over an object's continuation as a </w:t>
      </w:r>
      <w:r>
        <w:rPr>
          <w:b w:val="0"/>
          <w:i/>
        </w:rPr>
        <w:t>divisible, contested bundle</w:t>
      </w:r>
      <w:r>
        <w:rPr>
          <w:b w:val="0"/>
          <w:i w:val="0"/>
        </w:rPr>
        <w:t xml:space="preserve"> distributed among firm, consumer, third-party repairer, and regulator, and that predicts consequences of each allocation for psychological ownership, brand attachment, and product lifespan. Key novel propositions: (i) </w:t>
      </w:r>
      <w:r>
        <w:rPr>
          <w:b w:val="0"/>
          <w:i/>
        </w:rPr>
        <w:t>earned ownership</w:t>
      </w:r>
      <w:r>
        <w:rPr>
          <w:b w:val="0"/>
          <w:i w:val="0"/>
        </w:rPr>
        <w:t xml:space="preserve"> — consumers who repair develop ownership and attachment that is qualitatively different from purchase-based ownership, and this attaches partly to the </w:t>
      </w:r>
      <w:r>
        <w:rPr>
          <w:b w:val="0"/>
          <w:i/>
        </w:rPr>
        <w:t>object</w:t>
      </w:r>
      <w:r>
        <w:rPr>
          <w:b w:val="0"/>
          <w:i w:val="0"/>
        </w:rPr>
        <w:t xml:space="preserve"> and away from the </w:t>
      </w:r>
      <w:r>
        <w:rPr>
          <w:b w:val="0"/>
          <w:i/>
        </w:rPr>
        <w:t>brand</w:t>
      </w:r>
      <w:r>
        <w:rPr>
          <w:b w:val="0"/>
          <w:i w:val="0"/>
        </w:rPr>
        <w:t xml:space="preserve">; (ii) the </w:t>
      </w:r>
      <w:r>
        <w:rPr>
          <w:b/>
          <w:i w:val="0"/>
        </w:rPr>
        <w:t>repair paradox</w:t>
      </w:r>
      <w:r>
        <w:rPr>
          <w:b w:val="0"/>
          <w:i w:val="0"/>
        </w:rPr>
        <w:t xml:space="preserve"> — repairability increases brand trust and purchase intention while decreasing brand-mediated attachment and replacement revenue, so brand equity and customer lifetime value move in opposite directions; (iii) the </w:t>
      </w:r>
      <w:r>
        <w:rPr>
          <w:b/>
          <w:i w:val="0"/>
        </w:rPr>
        <w:t>sovereignty gradient</w:t>
      </w:r>
      <w:r>
        <w:rPr>
          <w:b w:val="0"/>
          <w:i w:val="0"/>
        </w:rPr>
        <w:t xml:space="preserve"> distinguishing subscription/connected products (firm-sovereign) from repairable durables (consumer-sovereign) and predicting divergent identity and loyalty processes. This gives psychological ownership theory its first exogenous-shock identification strategy and gives circular-economy research an actual behavioral theory.</w:t>
      </w:r>
    </w:p>
    <w:p>
      <w:r>
        <w:rPr>
          <w:b/>
          <w:i w:val="0"/>
        </w:rPr>
        <w:t>7. Level of Novelty</w:t>
      </w:r>
      <w:r>
        <w:rPr>
          <w:b w:val="0"/>
          <w:i w:val="0"/>
        </w:rPr>
        <w:t xml:space="preserve"> </w:t>
      </w:r>
      <w:r>
        <w:rPr>
          <w:b/>
          <w:i w:val="0"/>
        </w:rPr>
        <w:t>High.</w:t>
      </w:r>
    </w:p>
    <w:p>
      <w:r>
        <w:rPr>
          <w:b/>
          <w:i w:val="0"/>
        </w:rPr>
        <w:t>8. Potential Managerial Contribution</w:t>
      </w:r>
      <w:r>
        <w:rPr>
          <w:b w:val="0"/>
          <w:i w:val="0"/>
        </w:rPr>
        <w:t xml:space="preserve"> A strategic framework for the repair transition: whether to fight, comply with, or lead on repairability; how to monetize repair as a relationship channel rather than lose it as a revenue stream; how to price for longevity; how to manage brand risk from third-party repair quality; how to design reverse logistics and parts networks that turn a compliance cost into a loyalty asset. Directly actionable for consumer electronics, appliances, automotive, tools, apparel, and medical devices.</w:t>
      </w:r>
    </w:p>
    <w:p>
      <w:r>
        <w:rPr>
          <w:b/>
          <w:i w:val="0"/>
        </w:rPr>
        <w:t>9. Societal Relevance</w:t>
      </w:r>
      <w:r>
        <w:rPr>
          <w:b w:val="0"/>
          <w:i w:val="0"/>
        </w:rPr>
        <w:t xml:space="preserve"> High: e-waste, resource depletion, planned obsolescence, consumer autonomy, and the livelihoods of a large informal repair sector in the Global South.</w:t>
      </w:r>
    </w:p>
    <w:p>
      <w:r>
        <w:rPr>
          <w:b/>
          <w:i w:val="0"/>
        </w:rPr>
        <w:t>10. Suitable FT50 Journals</w:t>
      </w:r>
      <w:r>
        <w:rPr>
          <w:b w:val="0"/>
          <w:i w:val="0"/>
        </w:rPr>
        <w:t xml:space="preserve"> </w:t>
      </w:r>
      <w:r>
        <w:rPr>
          <w:b w:val="0"/>
          <w:i/>
        </w:rPr>
        <w:t>Journal of Consumer Research</w:t>
      </w:r>
      <w:r>
        <w:rPr>
          <w:b w:val="0"/>
          <w:i w:val="0"/>
        </w:rPr>
        <w:t xml:space="preserve"> (ownership/identity version), </w:t>
      </w:r>
      <w:r>
        <w:rPr>
          <w:b w:val="0"/>
          <w:i/>
        </w:rPr>
        <w:t>Journal of Marketing</w:t>
      </w:r>
      <w:r>
        <w:rPr>
          <w:b w:val="0"/>
          <w:i w:val="0"/>
        </w:rPr>
        <w:t xml:space="preserve"> (strategy/brand version), </w:t>
      </w:r>
      <w:r>
        <w:rPr>
          <w:b w:val="0"/>
          <w:i/>
        </w:rPr>
        <w:t>Journal of Retailing</w:t>
      </w:r>
      <w:r>
        <w:rPr>
          <w:b w:val="0"/>
          <w:i w:val="0"/>
        </w:rPr>
        <w:t xml:space="preserve">, </w:t>
      </w:r>
      <w:r>
        <w:rPr>
          <w:b w:val="0"/>
          <w:i/>
        </w:rPr>
        <w:t>Journal of the Academy of Marketing Science</w:t>
      </w:r>
      <w:r>
        <w:rPr>
          <w:b w:val="0"/>
          <w:i w:val="0"/>
        </w:rPr>
        <w:t xml:space="preserve">, </w:t>
      </w:r>
      <w:r>
        <w:rPr>
          <w:b w:val="0"/>
          <w:i/>
        </w:rPr>
        <w:t>Journal of Public Policy &amp; Marketing</w:t>
      </w:r>
      <w:r>
        <w:rPr>
          <w:b w:val="0"/>
          <w:i w:val="0"/>
        </w:rPr>
        <w:t xml:space="preserve">, </w:t>
      </w:r>
      <w:r>
        <w:rPr>
          <w:b w:val="0"/>
          <w:i/>
        </w:rPr>
        <w:t>Production and Operations Management</w:t>
      </w:r>
      <w:r>
        <w:rPr>
          <w:b w:val="0"/>
          <w:i w:val="0"/>
        </w:rPr>
        <w:t xml:space="preserve"> (design/reverse-logistics version).</w:t>
      </w:r>
    </w:p>
    <w:p>
      <w:r>
        <w:rPr>
          <w:b/>
          <w:i w:val="0"/>
        </w:rPr>
        <w:t>11. Type of Paper</w:t>
      </w:r>
      <w:r>
        <w:rPr>
          <w:b w:val="0"/>
          <w:i w:val="0"/>
        </w:rPr>
        <w:t xml:space="preserve"> Mixed Methods: Qualitative Grounded Theory plus Multi-study Behavioral Experiments plus a natural-experiment Longitudinal Panel exploiting staggered right-to-repair enactment.</w:t>
      </w:r>
    </w:p>
    <w:p>
      <w:r>
        <w:rPr>
          <w:b/>
          <w:i w:val="0"/>
        </w:rPr>
        <w:t>12. Recommended Methodology</w:t>
      </w:r>
      <w:r>
        <w:rPr>
          <w:b w:val="0"/>
          <w:i w:val="0"/>
        </w:rPr>
        <w:t xml:space="preserve"> (a) Ethnography in repair cafés, independent repair shops, and online repair communities across contrasting contexts (Netherlands/Germany repair-café movement; Delhi/Lagos/São Paulo informal repair markets) to build the earned-ownership construct. (b) Longitudinal field study: randomly assign consumers to repair vs. replace vs. authorized-service conditions for a real product failure, measuring psychological ownership, brand attachment, and subsequent purchase over 12 months. (c) Natural experiment: staggered US state right-to-repair enactment and EU implementation dates, with difference-in-differences on brand-equity trackers, repair-market entry, product lifespan, and replacement sales. (d) Experiments manipulating repairability disclosure and sovereignty framing to test the repair paradox. (e) Conjoint studies pricing repairability against warranty and price.</w:t>
      </w:r>
    </w:p>
    <w:p>
      <w:r>
        <w:rPr>
          <w:b/>
          <w:i w:val="0"/>
        </w:rPr>
        <w:t>13. Suitable Theories</w:t>
      </w:r>
      <w:r>
        <w:rPr>
          <w:b w:val="0"/>
          <w:i w:val="0"/>
        </w:rPr>
        <w:t xml:space="preserve"> Psychological Ownership, Extended Self, Brand Relationship Theory, Property Rights Theory, TCE, Practice Theory, Self-Determination Theory, Institutional Theory, Signaling Theory.</w:t>
      </w:r>
    </w:p>
    <w:p>
      <w:r>
        <w:rPr>
          <w:b/>
          <w:i w:val="0"/>
        </w:rPr>
        <w:t>14. Potential Constructs</w:t>
      </w:r>
      <w:r>
        <w:rPr>
          <w:b w:val="0"/>
          <w:i w:val="0"/>
        </w:rPr>
        <w:t xml:space="preserve"> Post-purchase sovereignty; sovereignty gradient; earned ownership; repair self-efficacy; object-directed vs. brand-directed attachment; repair paradox; longevity signal credibility; sovereignty violation (for connected/subscription products).</w:t>
      </w:r>
    </w:p>
    <w:p>
      <w:r>
        <w:rPr>
          <w:b/>
          <w:i w:val="0"/>
        </w:rPr>
        <w:t>15. Possible Mediators</w:t>
      </w:r>
      <w:r>
        <w:rPr>
          <w:b w:val="0"/>
          <w:i w:val="0"/>
        </w:rPr>
        <w:t xml:space="preserve"> Perceived control; investment of self; intimate product knowledge; competence satisfaction; brand gratitude vs. brand resentment; perceived durability.</w:t>
      </w:r>
    </w:p>
    <w:p>
      <w:r>
        <w:rPr>
          <w:b/>
          <w:i w:val="0"/>
        </w:rPr>
        <w:t>16. Possible Moderators</w:t>
      </w:r>
      <w:r>
        <w:rPr>
          <w:b w:val="0"/>
          <w:i w:val="0"/>
        </w:rPr>
        <w:t xml:space="preserve"> Product complexity and modularity; repair-skill availability; local repair-sector density; brand premium; consumer materialism; income; connected/software-dependent product architecture; regulatory regime.</w:t>
      </w:r>
    </w:p>
    <w:p>
      <w:r>
        <w:rPr>
          <w:b/>
          <w:i w:val="0"/>
        </w:rPr>
        <w:t>17. Unit of Analysis</w:t>
      </w:r>
      <w:r>
        <w:rPr>
          <w:b w:val="0"/>
          <w:i w:val="0"/>
        </w:rPr>
        <w:t xml:space="preserve"> Consumer-object relationship (primary — an unusual and defensible unit); brand-market (secondary, for the natural experiment); product model (design analysis).</w:t>
      </w:r>
    </w:p>
    <w:p>
      <w:r>
        <w:rPr>
          <w:b/>
          <w:i w:val="0"/>
        </w:rPr>
        <w:t>18. Potential Datasets</w:t>
      </w:r>
      <w:r>
        <w:rPr>
          <w:b w:val="0"/>
          <w:i w:val="0"/>
        </w:rPr>
        <w:t xml:space="preserve"> iFixit repairability scores and teardown/repair-guide traffic; French repairability index scores (mandatory since 2021 — an outstanding and underused dataset with a hard start date); state-level right-to-repair enactment dates; NPD/GfK/Circana appliance and electronics sales and replacement cycles; warranty and service-call records; e-waste flows (Eurostat, Global E-waste Monitor); brand-tracker panels (YouGov BrandIndex); repair-shop business registrations.</w:t>
      </w:r>
    </w:p>
    <w:p>
      <w:r>
        <w:rPr>
          <w:b/>
          <w:i w:val="0"/>
        </w:rPr>
        <w:t>19. Countries Where Research Would Be Valuable</w:t>
      </w:r>
      <w:r>
        <w:rPr>
          <w:b w:val="0"/>
          <w:i w:val="0"/>
        </w:rPr>
        <w:t xml:space="preserve"> France (repairability index — the single best identification setting globally), Netherlands, Germany, Sweden, US (staggered state adoption), Australia; and Nigeria, India, Ghana, Brazil, Vietnam, where large informal repair economies already embody consumer sovereignty and provide a cultural contrast that inverts the Western framing.</w:t>
      </w:r>
    </w:p>
    <w:p>
      <w:r>
        <w:rPr>
          <w:b/>
          <w:i w:val="0"/>
        </w:rPr>
        <w:t>20. Practical Implications</w:t>
      </w:r>
      <w:r>
        <w:rPr>
          <w:b w:val="0"/>
          <w:i w:val="0"/>
        </w:rPr>
        <w:t xml:space="preserve"> Converts regulatory compliance into competitive positioning; quantifies the brand-equity return to repairability against replacement-revenue loss; informs modular design decisions and parts-pricing strategy; guides policymakers on which disclosure instruments actually change behavior.</w:t>
      </w:r>
    </w:p>
    <w:p>
      <w:r>
        <w:rPr>
          <w:b/>
          <w:i w:val="0"/>
        </w:rPr>
        <w:t>21. Risks Reviewers May Identify</w:t>
      </w:r>
      <w:r>
        <w:rPr>
          <w:b w:val="0"/>
          <w:i w:val="0"/>
        </w:rPr>
        <w:t xml:space="preserve"> (a) "Repair intention has been studied extensively." (b) Right-to-repair effects may be too recent for long-run outcomes. (c) Confounded policy adoption (states adopting repair laws differ systematically). (d) Psychological ownership is a mature literature — is this an extension or a contribution? (e) Selection: people who repair are different.</w:t>
      </w:r>
    </w:p>
    <w:p>
      <w:r>
        <w:rPr>
          <w:b/>
          <w:i w:val="0"/>
        </w:rPr>
        <w:t>22. How to Strengthen the Theoretical Contribution</w:t>
      </w:r>
      <w:r>
        <w:rPr>
          <w:b w:val="0"/>
          <w:i w:val="0"/>
        </w:rPr>
        <w:t xml:space="preserve"> Anchor the paper on the </w:t>
      </w:r>
      <w:r>
        <w:rPr>
          <w:b/>
          <w:i w:val="0"/>
        </w:rPr>
        <w:t>exogenous legal shock</w:t>
      </w:r>
      <w:r>
        <w:rPr>
          <w:b w:val="0"/>
          <w:i w:val="0"/>
        </w:rPr>
        <w:t xml:space="preserve">, which is what distinguishes it from the entire existing repair literature: ownership theory has never had legal control experimentally or quasi-experimentally varied. Foreground the </w:t>
      </w:r>
      <w:r>
        <w:rPr>
          <w:b w:val="0"/>
          <w:i/>
        </w:rPr>
        <w:t>repair paradox</w:t>
      </w:r>
      <w:r>
        <w:rPr>
          <w:b w:val="0"/>
          <w:i w:val="0"/>
        </w:rPr>
        <w:t xml:space="preserve"> because a documented divergence between brand equity and CLV is the kind of result that gets a JM lead article. Explicitly bring the subscription/connected-product case in as the opposite pole, so the theory covers sovereignty </w:t>
      </w:r>
      <w:r>
        <w:rPr>
          <w:b w:val="0"/>
          <w:i/>
        </w:rPr>
        <w:t>loss</w:t>
      </w:r>
      <w:r>
        <w:rPr>
          <w:b w:val="0"/>
          <w:i w:val="0"/>
        </w:rPr>
        <w:t xml:space="preserve"> as well as gain and thereby becomes general rather than topical. Use the French repairability index for hard identification and the informal-repair ethnography to prevent a Western-centric framing.</w:t>
      </w:r>
    </w:p>
    <w:p>
      <w:pPr>
        <w:pStyle w:val="Heading1"/>
        <w:jc w:val="left"/>
      </w:pPr>
      <w:r>
        <w:rPr>
          <w:b w:val="0"/>
          <w:i w:val="0"/>
          <w:color w:val="1A1A1A"/>
        </w:rPr>
        <w:t>9. Buying Company: Does Market-Provided Connection Crowd Out Community?</w:t>
      </w:r>
    </w:p>
    <w:p>
      <w:r>
        <w:rPr>
          <w:b/>
          <w:i w:val="0"/>
        </w:rPr>
        <w:t>1. Research Theme</w:t>
      </w:r>
      <w:r>
        <w:rPr>
          <w:b w:val="0"/>
          <w:i w:val="0"/>
        </w:rPr>
        <w:t xml:space="preserve"> Consumer loneliness / well-being / community-based consumption / service marketing / social marketing.</w:t>
      </w:r>
    </w:p>
    <w:p>
      <w:r>
        <w:rPr>
          <w:b/>
          <w:i w:val="0"/>
        </w:rPr>
        <w:t>2. Exact FT50-Level Research Topic</w:t>
      </w:r>
      <w:r>
        <w:rPr>
          <w:b w:val="0"/>
          <w:i w:val="0"/>
        </w:rPr>
        <w:t xml:space="preserve"> </w:t>
      </w:r>
      <w:r>
        <w:rPr>
          <w:b w:val="0"/>
          <w:i/>
        </w:rPr>
        <w:t>Relational Crowding-Out: When Market Provision of Connection Substitutes for, Rather Than Scaffolds, Non-Market Community — and the Well-Being Consequences.</w:t>
      </w:r>
    </w:p>
    <w:p>
      <w:r>
        <w:rPr>
          <w:b/>
          <w:i w:val="0"/>
        </w:rPr>
        <w:t>3. Why This Topic Matters Now</w:t>
      </w:r>
      <w:r>
        <w:rPr>
          <w:b w:val="0"/>
          <w:i w:val="0"/>
        </w:rPr>
        <w:t xml:space="preserve"> Loneliness has been declared a public health priority in the US, UK, Japan, and Denmark, and markets have responded at scale: paid companionship and befriending services, co-living and co-working, "third place" hospitality, group fitness communities, subscription social clubs, dining-for-one services, rent-a-family services in Japan, professional cuddling, care-worker relational labor, and para-social membership products. The dominant scholarly and managerial assumption is additive: market-provided connection </w:t>
      </w:r>
      <w:r>
        <w:rPr>
          <w:b w:val="0"/>
          <w:i/>
        </w:rPr>
        <w:t>supplements</w:t>
      </w:r>
      <w:r>
        <w:rPr>
          <w:b w:val="0"/>
          <w:i w:val="0"/>
        </w:rPr>
        <w:t xml:space="preserve"> deficient social ties. That assumption has never been tested, and there is a strong theoretical reason to doubt it.</w:t>
      </w:r>
    </w:p>
    <w:p>
      <w:r>
        <w:rPr>
          <w:b/>
          <w:i w:val="0"/>
        </w:rPr>
        <w:t>4. Why Existing Literature Is Insufficient</w:t>
      </w:r>
      <w:r>
        <w:rPr>
          <w:b w:val="0"/>
          <w:i w:val="0"/>
        </w:rPr>
        <w:t xml:space="preserve"> Consumer loneliness research is almost entirely </w:t>
      </w:r>
      <w:r>
        <w:rPr>
          <w:b w:val="0"/>
          <w:i/>
        </w:rPr>
        <w:t>compensatory</w:t>
      </w:r>
      <w:r>
        <w:rPr>
          <w:b w:val="0"/>
          <w:i w:val="0"/>
        </w:rPr>
        <w:t xml:space="preserve">: lonely consumers anthropomorphize brands, form para-social bonds, prefer certain products, or consume materialistically. It treats consumption as a symptom or a palliative, never as a </w:t>
      </w:r>
      <w:r>
        <w:rPr>
          <w:b w:val="0"/>
          <w:i/>
        </w:rPr>
        <w:t>structural competitor</w:t>
      </w:r>
      <w:r>
        <w:rPr>
          <w:b w:val="0"/>
          <w:i w:val="0"/>
        </w:rPr>
        <w:t xml:space="preserve"> to community formation. Transformative Service Research and the well-being literature document that services can enhance well-being, but measure short-run subjective well-being for participants rather than long-run community-level effects — and there is no work on the counterfactual (what would the person have built if the service had not existed?). Sharing-economy and brand-community research examines commercially organized sociality but assumes it is net-additive. Social capital theory has the crowding-out logic (from the state-provision and volunteering literatures) but has never been applied to </w:t>
      </w:r>
      <w:r>
        <w:rPr>
          <w:b w:val="0"/>
          <w:i/>
        </w:rPr>
        <w:t>market</w:t>
      </w:r>
      <w:r>
        <w:rPr>
          <w:b w:val="0"/>
          <w:i w:val="0"/>
        </w:rPr>
        <w:t xml:space="preserve"> provision of relational goods. Crucially, the field is measuring the wrong outcome at the wrong level.</w:t>
      </w:r>
    </w:p>
    <w:p>
      <w:r>
        <w:rPr>
          <w:b/>
          <w:i w:val="0"/>
        </w:rPr>
        <w:t>5. Theories Needing Extension or Challenge</w:t>
      </w:r>
      <w:r>
        <w:rPr>
          <w:b w:val="0"/>
          <w:i w:val="0"/>
        </w:rPr>
        <w:t xml:space="preserve"> Self-Determination Theory (relatedness satisfied transactionally — is it satisfied at all?); Social Exchange Theory (paid reciprocity vs. generalized reciprocity); Belongingness Theory; Social Capital Theory (import crowding-out into consumption); Consumer Culture Theory (commodification of relational goods); Service-Dominant Logic (value co-creation when the co-created value </w:t>
      </w:r>
      <w:r>
        <w:rPr>
          <w:b w:val="0"/>
          <w:i/>
        </w:rPr>
        <w:t>is</w:t>
      </w:r>
      <w:r>
        <w:rPr>
          <w:b w:val="0"/>
          <w:i w:val="0"/>
        </w:rPr>
        <w:t xml:space="preserve"> the relationship); Practice Theory (community as skilled practice that atrophies); Attribution Theory (does knowing connection is paid for undermine its relational value?).</w:t>
      </w:r>
    </w:p>
    <w:p>
      <w:r>
        <w:rPr>
          <w:b/>
          <w:i w:val="0"/>
        </w:rPr>
        <w:t>6. Potential Theoretical Contribution</w:t>
      </w:r>
      <w:r>
        <w:rPr>
          <w:b w:val="0"/>
          <w:i w:val="0"/>
        </w:rPr>
        <w:t xml:space="preserve"> A theory of </w:t>
      </w:r>
      <w:r>
        <w:rPr>
          <w:b/>
          <w:i w:val="0"/>
        </w:rPr>
        <w:t>relational crowding-out</w:t>
      </w:r>
      <w:r>
        <w:rPr>
          <w:b w:val="0"/>
          <w:i w:val="0"/>
        </w:rPr>
        <w:t xml:space="preserve"> specifying: (i) the </w:t>
      </w:r>
      <w:r>
        <w:rPr>
          <w:b w:val="0"/>
          <w:i/>
        </w:rPr>
        <w:t>substitution condition</w:t>
      </w:r>
      <w:r>
        <w:rPr>
          <w:b w:val="0"/>
          <w:i w:val="0"/>
        </w:rPr>
        <w:t xml:space="preserve"> — market provision crowds out community formation when it satisfies the surface need (contact, activity, presence) without requiring the costly investments (reciprocal obligation, conflict repair, unchosen interdependence) through which durable ties form; (ii) </w:t>
      </w:r>
      <w:r>
        <w:rPr>
          <w:b/>
          <w:i w:val="0"/>
        </w:rPr>
        <w:t>transactional relatedness</w:t>
      </w:r>
      <w:r>
        <w:rPr>
          <w:b w:val="0"/>
          <w:i w:val="0"/>
        </w:rPr>
        <w:t xml:space="preserve"> — a distinct, incomplete form of relatedness satisfaction that reduces felt loneliness in the short run while lowering the motivation to invest in non-market ties, producing a </w:t>
      </w:r>
      <w:r>
        <w:rPr>
          <w:b w:val="0"/>
          <w:i/>
        </w:rPr>
        <w:t>loneliness trap</w:t>
      </w:r>
      <w:r>
        <w:rPr>
          <w:b w:val="0"/>
          <w:i w:val="0"/>
        </w:rPr>
        <w:t xml:space="preserve">; (iii) the design distinction between </w:t>
      </w:r>
      <w:r>
        <w:rPr>
          <w:b/>
          <w:i w:val="0"/>
        </w:rPr>
        <w:t>scaffolding</w:t>
      </w:r>
      <w:r>
        <w:rPr>
          <w:b w:val="0"/>
          <w:i w:val="0"/>
        </w:rPr>
        <w:t xml:space="preserve"> and </w:t>
      </w:r>
      <w:r>
        <w:rPr>
          <w:b/>
          <w:i w:val="0"/>
        </w:rPr>
        <w:t>substituting</w:t>
      </w:r>
      <w:r>
        <w:rPr>
          <w:b w:val="0"/>
          <w:i w:val="0"/>
        </w:rPr>
        <w:t xml:space="preserve"> services, with a testable typology. This is a genuinely new mechanism in consumer well-being research, and it makes marketing scholarship capable of asking whether the market's response to loneliness is part of the cure or part of the disease.</w:t>
      </w:r>
    </w:p>
    <w:p>
      <w:r>
        <w:rPr>
          <w:b/>
          <w:i w:val="0"/>
        </w:rPr>
        <w:t>7. Level of Novelty</w:t>
      </w:r>
      <w:r>
        <w:rPr>
          <w:b w:val="0"/>
          <w:i w:val="0"/>
        </w:rPr>
        <w:t xml:space="preserve"> </w:t>
      </w:r>
      <w:r>
        <w:rPr>
          <w:b/>
          <w:i w:val="0"/>
        </w:rPr>
        <w:t>High.</w:t>
      </w:r>
    </w:p>
    <w:p>
      <w:r>
        <w:rPr>
          <w:b/>
          <w:i w:val="0"/>
        </w:rPr>
        <w:t>8. Potential Managerial Contribution</w:t>
      </w:r>
      <w:r>
        <w:rPr>
          <w:b w:val="0"/>
          <w:i w:val="0"/>
        </w:rPr>
        <w:t xml:space="preserve"> A design principle for the fast-growing "connection economy": services can be engineered to scaffold rather than substitute (requiring member reciprocity, enabling relationships that persist off-platform, deliberately introducing productive friction and interdependence) — and, importantly, scaffolding designs plausibly produce </w:t>
      </w:r>
      <w:r>
        <w:rPr>
          <w:b w:val="0"/>
          <w:i/>
        </w:rPr>
        <w:t>better</w:t>
      </w:r>
      <w:r>
        <w:rPr>
          <w:b w:val="0"/>
          <w:i w:val="0"/>
        </w:rPr>
        <w:t xml:space="preserve"> retention through network lock-in. Directly relevant to fitness, co-living, hospitality, senior care, higher education, health services, and membership businesses.</w:t>
      </w:r>
    </w:p>
    <w:p>
      <w:r>
        <w:rPr>
          <w:b/>
          <w:i w:val="0"/>
        </w:rPr>
        <w:t>9. Societal Relevance</w:t>
      </w:r>
      <w:r>
        <w:rPr>
          <w:b w:val="0"/>
          <w:i w:val="0"/>
        </w:rPr>
        <w:t xml:space="preserve"> Very high. Loneliness is associated with mortality risk comparable to major physical risk factors, and it is deeply entangled with civic disengagement and political polarization. Whether markets can supply belonging is one of the defining questions of contemporary consumer society.</w:t>
      </w:r>
    </w:p>
    <w:p>
      <w:r>
        <w:rPr>
          <w:b/>
          <w:i w:val="0"/>
        </w:rPr>
        <w:t>10. Suitable FT50 Journals</w:t>
      </w:r>
      <w:r>
        <w:rPr>
          <w:b w:val="0"/>
          <w:i w:val="0"/>
        </w:rPr>
        <w:t xml:space="preserve"> </w:t>
      </w:r>
      <w:r>
        <w:rPr>
          <w:b w:val="0"/>
          <w:i/>
        </w:rPr>
        <w:t>Journal of Consumer Research</w:t>
      </w:r>
      <w:r>
        <w:rPr>
          <w:b w:val="0"/>
          <w:i w:val="0"/>
        </w:rPr>
        <w:t xml:space="preserve"> (lead), </w:t>
      </w:r>
      <w:r>
        <w:rPr>
          <w:b w:val="0"/>
          <w:i/>
        </w:rPr>
        <w:t>Journal of Marketing</w:t>
      </w:r>
      <w:r>
        <w:rPr>
          <w:b w:val="0"/>
          <w:i w:val="0"/>
        </w:rPr>
        <w:t xml:space="preserve">, </w:t>
      </w:r>
      <w:r>
        <w:rPr>
          <w:b w:val="0"/>
          <w:i/>
        </w:rPr>
        <w:t>Journal of Service Research</w:t>
      </w:r>
      <w:r>
        <w:rPr>
          <w:b w:val="0"/>
          <w:i w:val="0"/>
        </w:rPr>
        <w:t xml:space="preserve">, </w:t>
      </w:r>
      <w:r>
        <w:rPr>
          <w:b w:val="0"/>
          <w:i/>
        </w:rPr>
        <w:t>Journal of the Academy of Marketing Science</w:t>
      </w:r>
      <w:r>
        <w:rPr>
          <w:b w:val="0"/>
          <w:i w:val="0"/>
        </w:rPr>
        <w:t xml:space="preserve">, </w:t>
      </w:r>
      <w:r>
        <w:rPr>
          <w:b w:val="0"/>
          <w:i/>
        </w:rPr>
        <w:t>Journal of Public Policy &amp; Marketing</w:t>
      </w:r>
      <w:r>
        <w:rPr>
          <w:b w:val="0"/>
          <w:i w:val="0"/>
        </w:rPr>
        <w:t xml:space="preserve">, </w:t>
      </w:r>
      <w:r>
        <w:rPr>
          <w:b w:val="0"/>
          <w:i/>
        </w:rPr>
        <w:t>Management Science</w:t>
      </w:r>
      <w:r>
        <w:rPr>
          <w:b w:val="0"/>
          <w:i w:val="0"/>
        </w:rPr>
        <w:t xml:space="preserve"> (behavioral/field-experiment version).</w:t>
      </w:r>
    </w:p>
    <w:p>
      <w:r>
        <w:rPr>
          <w:b/>
          <w:i w:val="0"/>
        </w:rPr>
        <w:t>11. Type of Paper</w:t>
      </w:r>
      <w:r>
        <w:rPr>
          <w:b w:val="0"/>
          <w:i w:val="0"/>
        </w:rPr>
        <w:t xml:space="preserve"> Multi-study Behavioral Experiments + Longitudinal Panel Study + Theory + Field Study (the longitudinal component is essential and is what will differentiate it).</w:t>
      </w:r>
    </w:p>
    <w:p>
      <w:r>
        <w:rPr>
          <w:b/>
          <w:i w:val="0"/>
        </w:rPr>
        <w:t>12. Recommended Methodology</w:t>
      </w:r>
      <w:r>
        <w:rPr>
          <w:b w:val="0"/>
          <w:i w:val="0"/>
        </w:rPr>
        <w:t xml:space="preserve"> (a) Experiments establishing transactional relatedness: manipulate whether connection is paid/provided vs. mutually created, measure loneliness reduction </w:t>
      </w:r>
      <w:r>
        <w:rPr>
          <w:b w:val="0"/>
          <w:i/>
        </w:rPr>
        <w:t>and</w:t>
      </w:r>
      <w:r>
        <w:rPr>
          <w:b w:val="0"/>
          <w:i w:val="0"/>
        </w:rPr>
        <w:t xml:space="preserve"> subsequent willingness to invest in non-market ties (behavioral measure: actual outreach, time allocation, volunteering sign-up). (b) Longitudinal field study over 9–18 months with members of connection-providing services vs. matched waitlist controls, tracking loneliness, network size and density (ego-network measurement), and community participation — the crowding-out claim requires </w:t>
      </w:r>
      <w:r>
        <w:rPr>
          <w:b w:val="0"/>
          <w:i/>
        </w:rPr>
        <w:t>within-person trajectories</w:t>
      </w:r>
      <w:r>
        <w:rPr>
          <w:b w:val="0"/>
          <w:i w:val="0"/>
        </w:rPr>
        <w:t>, not cross-sections. (c) Field experiment with a service partner comparing scaffolding vs. substituting service designs on both well-being and retention. (d) Quasi-experimental: exploit the entry of commercial third places or co-living into local areas and test effects on local civic and associational participation using administrative data. (e) Cross-cultural comparison of Japan (institutionalized market provision of relational services) with Southern Europe (dense family/community provision) and the US.</w:t>
      </w:r>
    </w:p>
    <w:p>
      <w:r>
        <w:rPr>
          <w:b/>
          <w:i w:val="0"/>
        </w:rPr>
        <w:t>13. Suitable Theories</w:t>
      </w:r>
      <w:r>
        <w:rPr>
          <w:b w:val="0"/>
          <w:i w:val="0"/>
        </w:rPr>
        <w:t xml:space="preserve"> Self-Determination Theory, Belongingness, Social Exchange, Social Capital / crowding-out, Consumer Culture Theory, Service-Dominant Logic, Practice Theory, Attribution Theory.</w:t>
      </w:r>
    </w:p>
    <w:p>
      <w:r>
        <w:rPr>
          <w:b/>
          <w:i w:val="0"/>
        </w:rPr>
        <w:t>14. Potential Constructs</w:t>
      </w:r>
      <w:r>
        <w:rPr>
          <w:b w:val="0"/>
          <w:i w:val="0"/>
        </w:rPr>
        <w:t xml:space="preserve"> Relational crowding-out; transactional relatedness; loneliness trap; scaffolding vs. substituting service design; relational investment propensity; obligation density; off-platform tie persistence.</w:t>
      </w:r>
    </w:p>
    <w:p>
      <w:r>
        <w:rPr>
          <w:b/>
          <w:i w:val="0"/>
        </w:rPr>
        <w:t>15. Possible Mediators</w:t>
      </w:r>
      <w:r>
        <w:rPr>
          <w:b w:val="0"/>
          <w:i w:val="0"/>
        </w:rPr>
        <w:t xml:space="preserve"> Short-run loneliness relief; perceived sufficiency of current connection; effort/cost salience of relationship building; attribution of the provider's motive; reciprocity expectation.</w:t>
      </w:r>
    </w:p>
    <w:p>
      <w:r>
        <w:rPr>
          <w:b/>
          <w:i w:val="0"/>
        </w:rPr>
        <w:t>16. Possible Moderators</w:t>
      </w:r>
      <w:r>
        <w:rPr>
          <w:b w:val="0"/>
          <w:i w:val="0"/>
        </w:rPr>
        <w:t xml:space="preserve"> Baseline loneliness severity; social skill and social anxiety; life-stage transition (relocation, bereavement, retirement, new parenthood); cultural individualism; availability of non-market alternatives; service design features; income.</w:t>
      </w:r>
    </w:p>
    <w:p>
      <w:r>
        <w:rPr>
          <w:b/>
          <w:i w:val="0"/>
        </w:rPr>
        <w:t>17. Unit of Analysis</w:t>
      </w:r>
      <w:r>
        <w:rPr>
          <w:b w:val="0"/>
          <w:i w:val="0"/>
        </w:rPr>
        <w:t xml:space="preserve"> Individual over time (primary); ego-network (secondary); locality (for the crowding-out quasi-experiment).</w:t>
      </w:r>
    </w:p>
    <w:p>
      <w:r>
        <w:rPr>
          <w:b/>
          <w:i w:val="0"/>
        </w:rPr>
        <w:t>18. Potential Datasets</w:t>
      </w:r>
      <w:r>
        <w:rPr>
          <w:b w:val="0"/>
          <w:i w:val="0"/>
        </w:rPr>
        <w:t xml:space="preserve"> UCLA Loneliness Scale panels; UK Understanding Society and Community Life Survey; US Social Capital Project and General Social Survey; Japanese Cabinet Office loneliness surveys; German SOEP; membership and attendance logs from fitness/co-living/social-club partners; Meetup and community-organization registries; local associational density data.</w:t>
      </w:r>
    </w:p>
    <w:p>
      <w:r>
        <w:rPr>
          <w:b/>
          <w:i w:val="0"/>
        </w:rPr>
        <w:t>19. Countries Where Research Would Be Valuable</w:t>
      </w:r>
      <w:r>
        <w:rPr>
          <w:b w:val="0"/>
          <w:i w:val="0"/>
        </w:rPr>
        <w:t xml:space="preserve"> Japan (the most advanced market for relational services, plus </w:t>
      </w:r>
      <w:r>
        <w:rPr>
          <w:b w:val="0"/>
          <w:i/>
        </w:rPr>
        <w:t>hikikomori</w:t>
      </w:r>
      <w:r>
        <w:rPr>
          <w:b w:val="0"/>
          <w:i w:val="0"/>
        </w:rPr>
        <w:t xml:space="preserve"> and </w:t>
      </w:r>
      <w:r>
        <w:rPr>
          <w:b w:val="0"/>
          <w:i/>
        </w:rPr>
        <w:t>kodokushi</w:t>
      </w:r>
      <w:r>
        <w:rPr>
          <w:b w:val="0"/>
          <w:i w:val="0"/>
        </w:rPr>
        <w:t xml:space="preserve"> as extreme outcomes), UK (loneliness ministry, policy demand), US, Denmark and Netherlands (high institutional trust, strong associational baselines), South Korea, and Italy/Spain (family-dense contrast). India and Brazil for urban-migration loneliness.</w:t>
      </w:r>
    </w:p>
    <w:p>
      <w:r>
        <w:rPr>
          <w:b/>
          <w:i w:val="0"/>
        </w:rPr>
        <w:t>20. Practical Implications</w:t>
      </w:r>
      <w:r>
        <w:rPr>
          <w:b w:val="0"/>
          <w:i w:val="0"/>
        </w:rPr>
        <w:t xml:space="preserve"> Gives providers a defensible, evidence-based design standard (and a retention rationale for it); gives public-health commissioners criteria for which market solutions to fund; warns against the current default of subsidizing substituting services.</w:t>
      </w:r>
    </w:p>
    <w:p>
      <w:r>
        <w:rPr>
          <w:b/>
          <w:i w:val="0"/>
        </w:rPr>
        <w:t>21. Risks Reviewers May Identify</w:t>
      </w:r>
      <w:r>
        <w:rPr>
          <w:b w:val="0"/>
          <w:i w:val="0"/>
        </w:rPr>
        <w:t xml:space="preserve"> (a) Reverse causality: lonely people select into these services. (b) Long-run community outcomes are hard to attribute. (c) "Crowding out" is borrowed from another literature. (d) Ethical concerns about withholding connection services in a control condition. (e) Risk of moralizing about commodification rather than theorizing it. (f) Effect sizes may be small relative to macro-social drivers.</w:t>
      </w:r>
    </w:p>
    <w:p>
      <w:r>
        <w:rPr>
          <w:b/>
          <w:i w:val="0"/>
        </w:rPr>
        <w:t>22. How to Strengthen the Theoretical Contribution</w:t>
      </w:r>
      <w:r>
        <w:rPr>
          <w:b w:val="0"/>
          <w:i w:val="0"/>
        </w:rPr>
        <w:t xml:space="preserve"> Make </w:t>
      </w:r>
      <w:r>
        <w:rPr>
          <w:b/>
          <w:i w:val="0"/>
        </w:rPr>
        <w:t>transactional relatedness</w:t>
      </w:r>
      <w:r>
        <w:rPr>
          <w:b w:val="0"/>
          <w:i w:val="0"/>
        </w:rPr>
        <w:t xml:space="preserve"> a precisely specified, separately measured construct with discriminant validity from relatedness satisfaction — that construct is the paper's contribution. Insist on the behavioral downstream measure (does relief reduce subsequent relational investment?) because that is the crowding-out mechanism and self-report will not carry it. Use a waitlist rather than a no-service control to defuse the ethical objection. Present the scaffolding-versus-substituting typology with a </w:t>
      </w:r>
      <w:r>
        <w:rPr>
          <w:b w:val="0"/>
          <w:i/>
        </w:rPr>
        <w:t>managerially attractive</w:t>
      </w:r>
      <w:r>
        <w:rPr>
          <w:b w:val="0"/>
          <w:i w:val="0"/>
        </w:rPr>
        <w:t xml:space="preserve"> prediction (scaffolding improves retention), which converts a critical thesis into a JM/JSR-publishable strategy contribution.</w:t>
      </w:r>
    </w:p>
    <w:p>
      <w:pPr>
        <w:pStyle w:val="Heading1"/>
        <w:jc w:val="left"/>
      </w:pPr>
      <w:r>
        <w:rPr>
          <w:b w:val="0"/>
          <w:i w:val="0"/>
          <w:color w:val="1A1A1A"/>
        </w:rPr>
        <w:t>10. The Formalization Trap: What Formal Market Institutions Cannot Replicate</w:t>
      </w:r>
    </w:p>
    <w:p>
      <w:r>
        <w:rPr>
          <w:b/>
          <w:i w:val="0"/>
        </w:rPr>
        <w:t>1. Research Theme</w:t>
      </w:r>
      <w:r>
        <w:rPr>
          <w:b w:val="0"/>
          <w:i w:val="0"/>
        </w:rPr>
        <w:t xml:space="preserve"> Informal markets / institutional theory / emerging economies / marketing channels / retail transformation / market resilience.</w:t>
      </w:r>
    </w:p>
    <w:p>
      <w:r>
        <w:rPr>
          <w:b/>
          <w:i w:val="0"/>
        </w:rPr>
        <w:t>2. Exact FT50-Level Research Topic</w:t>
      </w:r>
      <w:r>
        <w:rPr>
          <w:b w:val="0"/>
          <w:i w:val="0"/>
        </w:rPr>
        <w:t xml:space="preserve"> </w:t>
      </w:r>
      <w:r>
        <w:rPr>
          <w:b w:val="0"/>
          <w:i/>
        </w:rPr>
        <w:t>The Formalization Trap: How the Substitution of Formal Market Institutions for Informal Ones Destroys Non-Contractible Capabilities and Reduces Market Resilience.</w:t>
      </w:r>
    </w:p>
    <w:p>
      <w:r>
        <w:rPr>
          <w:b/>
          <w:i w:val="0"/>
        </w:rPr>
        <w:t>3. Why This Topic Matters Now</w:t>
      </w:r>
      <w:r>
        <w:rPr>
          <w:b w:val="0"/>
          <w:i w:val="0"/>
        </w:rPr>
        <w:t xml:space="preserve"> Formalization is accelerating in the world's largest emerging markets — digital payments mandates and demonetization, GST-style tax integration, e-invoicing, platform intermediation of small retail, quick-commerce displacement of traditional trade (India's roughly 13 million </w:t>
      </w:r>
      <w:r>
        <w:rPr>
          <w:b w:val="0"/>
          <w:i/>
        </w:rPr>
        <w:t>kirana</w:t>
      </w:r>
      <w:r>
        <w:rPr>
          <w:b w:val="0"/>
          <w:i w:val="0"/>
        </w:rPr>
        <w:t xml:space="preserve"> stores, Indonesia's </w:t>
      </w:r>
      <w:r>
        <w:rPr>
          <w:b w:val="0"/>
          <w:i/>
        </w:rPr>
        <w:t>warungs</w:t>
      </w:r>
      <w:r>
        <w:rPr>
          <w:b w:val="0"/>
          <w:i w:val="0"/>
        </w:rPr>
        <w:t xml:space="preserve">, Nigeria's open markets, Latin America's </w:t>
      </w:r>
      <w:r>
        <w:rPr>
          <w:b w:val="0"/>
          <w:i/>
        </w:rPr>
        <w:t>tienditas</w:t>
      </w:r>
      <w:r>
        <w:rPr>
          <w:b w:val="0"/>
          <w:i w:val="0"/>
        </w:rPr>
        <w:t xml:space="preserve">), and organized-retail penetration. Development orthodoxy and management theory both treat this as unambiguous progress: formal institutions reduce transaction costs, improve access to credit, and enable scale. But the informal institutions being replaced were performing functions the formal replacements </w:t>
      </w:r>
      <w:r>
        <w:rPr>
          <w:b w:val="0"/>
          <w:i/>
        </w:rPr>
        <w:t>cannot</w:t>
      </w:r>
      <w:r>
        <w:rPr>
          <w:b w:val="0"/>
          <w:i w:val="0"/>
        </w:rPr>
        <w:t xml:space="preserve"> perform — relationship-based consumption credit calibrated to a family's known circumstances, extreme unit-size flexibility, informal risk pooling, instant renegotiation, and social insurance embedded in exchange.</w:t>
      </w:r>
    </w:p>
    <w:p>
      <w:r>
        <w:rPr>
          <w:b/>
          <w:i w:val="0"/>
        </w:rPr>
        <w:t>4. Why Existing Literature Is Insufficient</w:t>
      </w:r>
      <w:r>
        <w:rPr>
          <w:b w:val="0"/>
          <w:i w:val="0"/>
        </w:rPr>
        <w:t xml:space="preserve"> Institutional void theory frames informality as a </w:t>
      </w:r>
      <w:r>
        <w:rPr>
          <w:b w:val="0"/>
          <w:i/>
        </w:rPr>
        <w:t>deficit</w:t>
      </w:r>
      <w:r>
        <w:rPr>
          <w:b w:val="0"/>
          <w:i w:val="0"/>
        </w:rPr>
        <w:t xml:space="preserve"> to be remedied, so it cannot conceive of formalization as loss. New institutional economics evaluates institutions on transaction-cost efficiency, which is the wrong metric for insurance and resilience functions. Base-of-pyramid and subsistence-marketplace research richly documents informal market practices but has largely stopped short of theorizing what happens when they are </w:t>
      </w:r>
      <w:r>
        <w:rPr>
          <w:b w:val="0"/>
          <w:i/>
        </w:rPr>
        <w:t>displaced</w:t>
      </w:r>
      <w:r>
        <w:rPr>
          <w:b w:val="0"/>
          <w:i w:val="0"/>
        </w:rPr>
        <w:t xml:space="preserve">, and rarely engages formal institutional design. Development economics measures the income and consumption effects of formalization but not the capability loss or the resilience consequences. Channel and retailing research treats traditional trade as a distribution problem to be modernized. There is, remarkably, no theory of </w:t>
      </w:r>
      <w:r>
        <w:rPr>
          <w:b/>
          <w:i w:val="0"/>
        </w:rPr>
        <w:t>institutional substitution costs</w:t>
      </w:r>
      <w:r>
        <w:rPr>
          <w:b w:val="0"/>
          <w:i w:val="0"/>
        </w:rPr>
        <w:t>.</w:t>
      </w:r>
    </w:p>
    <w:p>
      <w:r>
        <w:rPr>
          <w:b/>
          <w:i w:val="0"/>
        </w:rPr>
        <w:t>5. Theories Needing Extension or Challenge</w:t>
      </w:r>
      <w:r>
        <w:rPr>
          <w:b w:val="0"/>
          <w:i w:val="0"/>
        </w:rPr>
        <w:t xml:space="preserve"> Institutional Theory and Institutional Voids (challenge the deficit framing and the substitution assumption); Transaction Cost Economics (challenge: formal institutions lower transaction costs while destroying non-contractible value); Social Exchange Theory (embedded credit and generalized reciprocity); Network Theory (structural embeddedness as insurance); Resource Dependence; Complex Adaptive Systems (diversity and modularity as resilience sources); Practice Theory; Consumer Vulnerability (who bears the cost of formalization).</w:t>
      </w:r>
    </w:p>
    <w:p>
      <w:r>
        <w:rPr>
          <w:b/>
          <w:i w:val="0"/>
        </w:rPr>
        <w:t>6. Potential Theoretical Contribution</w:t>
      </w:r>
      <w:r>
        <w:rPr>
          <w:b w:val="0"/>
          <w:i w:val="0"/>
        </w:rPr>
        <w:t xml:space="preserve"> A theory of </w:t>
      </w:r>
      <w:r>
        <w:rPr>
          <w:b/>
          <w:i w:val="0"/>
        </w:rPr>
        <w:t>institutional substitution costs</w:t>
      </w:r>
      <w:r>
        <w:rPr>
          <w:b w:val="0"/>
          <w:i w:val="0"/>
        </w:rPr>
        <w:t xml:space="preserve"> with three components: (i) informal market institutions perform </w:t>
      </w:r>
      <w:r>
        <w:rPr>
          <w:b w:val="0"/>
          <w:i/>
        </w:rPr>
        <w:t>bundled</w:t>
      </w:r>
      <w:r>
        <w:rPr>
          <w:b w:val="0"/>
          <w:i w:val="0"/>
        </w:rPr>
        <w:t xml:space="preserve"> functions — exchange, credit, insurance, information, and social membership — that formal institutions unbundle and provision only partially, so substitution is never function-complete; (ii) the </w:t>
      </w:r>
      <w:r>
        <w:rPr>
          <w:b/>
          <w:i w:val="0"/>
        </w:rPr>
        <w:t>resilience-efficiency inversion</w:t>
      </w:r>
      <w:r>
        <w:rPr>
          <w:b w:val="0"/>
          <w:i w:val="0"/>
        </w:rPr>
        <w:t xml:space="preserve">: formalization raises steady-state efficiency and lowers shock absorption, because the discretion, renegotiability, and local knowledge that absorbed shocks are precisely what formalization removes; (iii) </w:t>
      </w:r>
      <w:r>
        <w:rPr>
          <w:b/>
          <w:i w:val="0"/>
        </w:rPr>
        <w:t>substitution sequencing</w:t>
      </w:r>
      <w:r>
        <w:rPr>
          <w:b w:val="0"/>
          <w:i w:val="0"/>
        </w:rPr>
        <w:t xml:space="preserve"> determines outcomes — formalizing exchange before provisioning substitute credit and insurance produces the trap, whereas reverse or simultaneous sequencing does not. This reverses institutional void theory's implicit welfare gradient and gives marketing a theory of market </w:t>
      </w:r>
      <w:r>
        <w:rPr>
          <w:b w:val="0"/>
          <w:i/>
        </w:rPr>
        <w:t>modernization</w:t>
      </w:r>
      <w:r>
        <w:rPr>
          <w:b w:val="0"/>
          <w:i w:val="0"/>
        </w:rPr>
        <w:t xml:space="preserve"> that is neither romanticizing nor teleological.</w:t>
      </w:r>
    </w:p>
    <w:p>
      <w:r>
        <w:rPr>
          <w:b/>
          <w:i w:val="0"/>
        </w:rPr>
        <w:t>7. Level of Novelty</w:t>
      </w:r>
      <w:r>
        <w:rPr>
          <w:b w:val="0"/>
          <w:i w:val="0"/>
        </w:rPr>
        <w:t xml:space="preserve"> </w:t>
      </w:r>
      <w:r>
        <w:rPr>
          <w:b/>
          <w:i w:val="0"/>
        </w:rPr>
        <w:t>High.</w:t>
      </w:r>
    </w:p>
    <w:p>
      <w:r>
        <w:rPr>
          <w:b/>
          <w:i w:val="0"/>
        </w:rPr>
        <w:t>8. Potential Managerial Contribution</w:t>
      </w:r>
      <w:r>
        <w:rPr>
          <w:b w:val="0"/>
          <w:i w:val="0"/>
        </w:rPr>
        <w:t xml:space="preserve"> For multinationals, platforms, and quick-commerce entrants: which informal functions must be replicated to avoid demand collapse among low-income segments, and how to design hybrid channel architectures (agent networks, credit-enabled digital ordering, community-anchored micro-fulfilment) that formalize without destroying. For FMCG firms, an evidence-based answer to the question of whether traditional-trade decline is inevitable or self-inflicted. For financial-services firms, product design for the credit and insurance functions being stranded.</w:t>
      </w:r>
    </w:p>
    <w:p>
      <w:r>
        <w:rPr>
          <w:b/>
          <w:i w:val="0"/>
        </w:rPr>
        <w:t>9. Societal Relevance</w:t>
      </w:r>
      <w:r>
        <w:rPr>
          <w:b w:val="0"/>
          <w:i w:val="0"/>
        </w:rPr>
        <w:t xml:space="preserve"> Very high. Informal retail and market activity is the primary livelihood for hundreds of millions of people, and the embedded credit it provides is the </w:t>
      </w:r>
      <w:r>
        <w:rPr>
          <w:b w:val="0"/>
          <w:i/>
        </w:rPr>
        <w:t>de facto</w:t>
      </w:r>
      <w:r>
        <w:rPr>
          <w:b w:val="0"/>
          <w:i w:val="0"/>
        </w:rPr>
        <w:t xml:space="preserve"> consumption safety net for low-income households in much of the world. Formalization policy is being made at scale with no theory of its distributional and resilience consequences.</w:t>
      </w:r>
    </w:p>
    <w:p>
      <w:r>
        <w:rPr>
          <w:b/>
          <w:i w:val="0"/>
        </w:rPr>
        <w:t>10. Suitable FT50 Journals</w:t>
      </w:r>
      <w:r>
        <w:rPr>
          <w:b w:val="0"/>
          <w:i w:val="0"/>
        </w:rPr>
        <w:t xml:space="preserve"> </w:t>
      </w:r>
      <w:r>
        <w:rPr>
          <w:b w:val="0"/>
          <w:i/>
        </w:rPr>
        <w:t>Journal of International Business Studies</w:t>
      </w:r>
      <w:r>
        <w:rPr>
          <w:b w:val="0"/>
          <w:i w:val="0"/>
        </w:rPr>
        <w:t xml:space="preserve"> (lead for the institutional version), </w:t>
      </w:r>
      <w:r>
        <w:rPr>
          <w:b w:val="0"/>
          <w:i/>
        </w:rPr>
        <w:t>Academy of Management Journal</w:t>
      </w:r>
      <w:r>
        <w:rPr>
          <w:b w:val="0"/>
          <w:i w:val="0"/>
        </w:rPr>
        <w:t xml:space="preserve">, </w:t>
      </w:r>
      <w:r>
        <w:rPr>
          <w:b w:val="0"/>
          <w:i/>
        </w:rPr>
        <w:t>Journal of Marketing</w:t>
      </w:r>
      <w:r>
        <w:rPr>
          <w:b w:val="0"/>
          <w:i w:val="0"/>
        </w:rPr>
        <w:t xml:space="preserve">, </w:t>
      </w:r>
      <w:r>
        <w:rPr>
          <w:b w:val="0"/>
          <w:i/>
        </w:rPr>
        <w:t>Journal of Retailing</w:t>
      </w:r>
      <w:r>
        <w:rPr>
          <w:b w:val="0"/>
          <w:i w:val="0"/>
        </w:rPr>
        <w:t xml:space="preserve">, </w:t>
      </w:r>
      <w:r>
        <w:rPr>
          <w:b w:val="0"/>
          <w:i/>
        </w:rPr>
        <w:t>Journal of Public Policy &amp; Marketing</w:t>
      </w:r>
      <w:r>
        <w:rPr>
          <w:b w:val="0"/>
          <w:i w:val="0"/>
        </w:rPr>
        <w:t xml:space="preserve">, </w:t>
      </w:r>
      <w:r>
        <w:rPr>
          <w:b w:val="0"/>
          <w:i/>
        </w:rPr>
        <w:t>Journal of the Academy of Marketing Science</w:t>
      </w:r>
      <w:r>
        <w:rPr>
          <w:b w:val="0"/>
          <w:i w:val="0"/>
        </w:rPr>
        <w:t xml:space="preserve">, </w:t>
      </w:r>
      <w:r>
        <w:rPr>
          <w:b w:val="0"/>
          <w:i/>
        </w:rPr>
        <w:t>Organization Science</w:t>
      </w:r>
      <w:r>
        <w:rPr>
          <w:b w:val="0"/>
          <w:i w:val="0"/>
        </w:rPr>
        <w:t>.</w:t>
      </w:r>
    </w:p>
    <w:p>
      <w:r>
        <w:rPr>
          <w:b/>
          <w:i w:val="0"/>
        </w:rPr>
        <w:t>11. Type of Paper</w:t>
      </w:r>
      <w:r>
        <w:rPr>
          <w:b w:val="0"/>
          <w:i w:val="0"/>
        </w:rPr>
        <w:t xml:space="preserve"> Qualitative Grounded Theory + Historical Institutional Analysis, with a Cross-country Comparative Study and a quasi-experimental Longitudinal Panel.</w:t>
      </w:r>
    </w:p>
    <w:p>
      <w:r>
        <w:rPr>
          <w:b/>
          <w:i w:val="0"/>
        </w:rPr>
        <w:t>12. Recommended Methodology</w:t>
      </w:r>
      <w:r>
        <w:rPr>
          <w:b w:val="0"/>
          <w:i w:val="0"/>
        </w:rPr>
        <w:t xml:space="preserve"> (a) Deep multi-sited ethnography and interviews with traditional retailers and their customers across contexts at different formalization stages (India, Indonesia, Nigeria, Mexico, Kenya) to specify the bundled-function set and its non-contractible components. (b) Historical institutional analysis of completed formalization episodes (South Korea's and Taiwan's retail modernization, Mexico's OXXO-led transition, Thailand's convenience transition) to identify sequencing effects and long-run outcomes. (c) Quasi-experiment: exploit sharply timed formalization shocks — India's 2016 demonetization and GST rollout, Indonesian platform expansion, quick-commerce dark-store entry with geographic staggering — with difference-in-differences on household consumption smoothing, retailer survival, and credit access. (d) Household panel analysis of consumption volatility before and after loss of informal credit access. (e) Field experiment with a formal provider offering a designed substitute for informal credit, testing whether the function can be replicated at all.</w:t>
      </w:r>
    </w:p>
    <w:p>
      <w:r>
        <w:rPr>
          <w:b/>
          <w:i w:val="0"/>
        </w:rPr>
        <w:t>13. Suitable Theories</w:t>
      </w:r>
      <w:r>
        <w:rPr>
          <w:b w:val="0"/>
          <w:i w:val="0"/>
        </w:rPr>
        <w:t xml:space="preserve"> Institutional Theory / voids, TCE, Social Exchange, Network Theory, Complex Adaptive Systems, Practice Theory, Resource Dependence, Consumer Vulnerability.</w:t>
      </w:r>
    </w:p>
    <w:p>
      <w:r>
        <w:rPr>
          <w:b/>
          <w:i w:val="0"/>
        </w:rPr>
        <w:t>14. Potential Constructs</w:t>
      </w:r>
      <w:r>
        <w:rPr>
          <w:b w:val="0"/>
          <w:i w:val="0"/>
        </w:rPr>
        <w:t xml:space="preserve"> Institutional substitution cost; bundled institutional function; non-contractible market capability; embedded consumption credit; substitution sequencing; formalization-induced volatility; resilience-efficiency inversion.</w:t>
      </w:r>
    </w:p>
    <w:p>
      <w:r>
        <w:rPr>
          <w:b/>
          <w:i w:val="0"/>
        </w:rPr>
        <w:t>15. Possible Mediators</w:t>
      </w:r>
      <w:r>
        <w:rPr>
          <w:b w:val="0"/>
          <w:i w:val="0"/>
        </w:rPr>
        <w:t xml:space="preserve"> Loss of relationship-based credit; loss of unit-size flexibility; erosion of local information flow; reduced renegotiability; loss of social membership in exchange.</w:t>
      </w:r>
    </w:p>
    <w:p>
      <w:r>
        <w:rPr>
          <w:b/>
          <w:i w:val="0"/>
        </w:rPr>
        <w:t>16. Possible Moderators</w:t>
      </w:r>
      <w:r>
        <w:rPr>
          <w:b w:val="0"/>
          <w:i w:val="0"/>
        </w:rPr>
        <w:t xml:space="preserve"> Formal credit availability; digital and financial literacy; income volatility; state social-protection coverage; population density; commodity price shocks; strength of retailer associations; regulatory pace.</w:t>
      </w:r>
    </w:p>
    <w:p>
      <w:r>
        <w:rPr>
          <w:b/>
          <w:i w:val="0"/>
        </w:rPr>
        <w:t>17. Unit of Analysis</w:t>
      </w:r>
      <w:r>
        <w:rPr>
          <w:b w:val="0"/>
          <w:i w:val="0"/>
        </w:rPr>
        <w:t xml:space="preserve"> Local market system (primary); retailer (secondary); household (tertiary) — a genuinely multi-level design.</w:t>
      </w:r>
    </w:p>
    <w:p>
      <w:r>
        <w:rPr>
          <w:b/>
          <w:i w:val="0"/>
        </w:rPr>
        <w:t>18. Potential Datasets</w:t>
      </w:r>
      <w:r>
        <w:rPr>
          <w:b w:val="0"/>
          <w:i w:val="0"/>
        </w:rPr>
        <w:t xml:space="preserve"> India: NSSO/PLFS consumption and employment rounds, CMIE Consumer Pyramids (high-frequency household panel — ideal for consumption-smoothing tests), GST registration records, Nielsen retail census; Indonesia: SUSENAS and IFLS; Nigeria: NBS General Household Survey; Mexico: ENIGH plus OXXO/store-census data; Kenya: FinAccess and M-Pesa research datasets; quick-commerce dark-store location and launch-date data.</w:t>
      </w:r>
    </w:p>
    <w:p>
      <w:r>
        <w:rPr>
          <w:b/>
          <w:i w:val="0"/>
        </w:rPr>
        <w:t>19. Countries Where Research Would Be Valuable</w:t>
      </w:r>
      <w:r>
        <w:rPr>
          <w:b w:val="0"/>
          <w:i w:val="0"/>
        </w:rPr>
        <w:t xml:space="preserve"> India, Indonesia, Nigeria, Kenya, Mexico, Brazil, Bangladesh, Vietnam, Egypt, Philippines. Historical comparators: South Korea, Taiwan, Thailand, Poland.</w:t>
      </w:r>
    </w:p>
    <w:p>
      <w:r>
        <w:rPr>
          <w:b/>
          <w:i w:val="0"/>
        </w:rPr>
        <w:t>20. Practical Implications</w:t>
      </w:r>
      <w:r>
        <w:rPr>
          <w:b w:val="0"/>
          <w:i w:val="0"/>
        </w:rPr>
        <w:t xml:space="preserve"> Gives policymakers a sequencing rule (provision substitute credit and insurance before mandating formal exchange); gives firms a channel-design framework that protects low-income demand; identifies which informal functions are commercially replicable and therefore represent product opportunities.</w:t>
      </w:r>
    </w:p>
    <w:p>
      <w:r>
        <w:rPr>
          <w:b/>
          <w:i w:val="0"/>
        </w:rPr>
        <w:t>21. Risks Reviewers May Identify</w:t>
      </w:r>
      <w:r>
        <w:rPr>
          <w:b w:val="0"/>
          <w:i w:val="0"/>
        </w:rPr>
        <w:t xml:space="preserve"> (a) "This is development economics." (b) Romanticizing informality / ignoring its exploitative aspects and tax-base costs. (c) Identification: formalization is endogenous to growth. (d) Measurement of informal credit is inherently difficult. (e) Generalizability across very different informal institutions. (f) Reviewer skepticism that the resilience benefit outweighs the efficiency gain.</w:t>
      </w:r>
    </w:p>
    <w:p>
      <w:r>
        <w:rPr>
          <w:b/>
          <w:i w:val="0"/>
        </w:rPr>
        <w:t>22. How to Strengthen the Theoretical Contribution</w:t>
      </w:r>
      <w:r>
        <w:rPr>
          <w:b w:val="0"/>
          <w:i w:val="0"/>
        </w:rPr>
        <w:t xml:space="preserve"> Refuse to romanticize: build the theory so it also specifies where formalization is </w:t>
      </w:r>
      <w:r>
        <w:rPr>
          <w:b w:val="0"/>
          <w:i/>
        </w:rPr>
        <w:t>unambiguously welfare-improving</w:t>
      </w:r>
      <w:r>
        <w:rPr>
          <w:b w:val="0"/>
          <w:i w:val="0"/>
        </w:rPr>
        <w:t xml:space="preserve">, and be explicit that informal institutions also impose usury, exclusion, and gender costs. The theory's credibility rests on being </w:t>
      </w:r>
      <w:r>
        <w:rPr>
          <w:b w:val="0"/>
          <w:i/>
        </w:rPr>
        <w:t>conditional</w:t>
      </w:r>
      <w:r>
        <w:rPr>
          <w:b w:val="0"/>
          <w:i w:val="0"/>
        </w:rPr>
        <w:t xml:space="preserve">. Make </w:t>
      </w:r>
      <w:r>
        <w:rPr>
          <w:b/>
          <w:i w:val="0"/>
        </w:rPr>
        <w:t>substitution sequencing</w:t>
      </w:r>
      <w:r>
        <w:rPr>
          <w:b w:val="0"/>
          <w:i w:val="0"/>
        </w:rPr>
        <w:t xml:space="preserve"> the actionable core, because a sequencing theory is falsifiable and policy-relevant in a way that a "loss" narrative is not. Use a high-frequency household panel to demonstrate the consumption-volatility mechanism quantitatively, which is what will move this from an area-studies paper to a JIBS/AMJ paper. And show the resilience inversion during an actual shock (COVID, a price spike, a monsoon failure).</w:t>
      </w:r>
    </w:p>
    <w:p>
      <w:pPr>
        <w:pStyle w:val="Heading1"/>
        <w:jc w:val="left"/>
      </w:pPr>
      <w:r>
        <w:rPr>
          <w:b w:val="0"/>
          <w:i w:val="0"/>
          <w:color w:val="1A1A1A"/>
        </w:rPr>
        <w:t>11. Resilience That Fails Elsewhere: Fragility Transfer and Resilience Externalities in Supply Networks</w:t>
      </w:r>
    </w:p>
    <w:p>
      <w:r>
        <w:rPr>
          <w:b/>
          <w:i w:val="0"/>
        </w:rPr>
        <w:t>1. Research Theme</w:t>
      </w:r>
      <w:r>
        <w:rPr>
          <w:b w:val="0"/>
          <w:i w:val="0"/>
        </w:rPr>
        <w:t xml:space="preserve"> Behavioral operations / supply chain resilience / market resilience under crises / supply chain justice.</w:t>
      </w:r>
    </w:p>
    <w:p>
      <w:r>
        <w:rPr>
          <w:b/>
          <w:i w:val="0"/>
        </w:rPr>
        <w:t>2. Exact FT50-Level Research Topic</w:t>
      </w:r>
      <w:r>
        <w:rPr>
          <w:b w:val="0"/>
          <w:i w:val="0"/>
        </w:rPr>
        <w:t xml:space="preserve"> </w:t>
      </w:r>
      <w:r>
        <w:rPr>
          <w:b w:val="0"/>
          <w:i/>
        </w:rPr>
        <w:t>Resilience Externalities: How Focal-Firm Resilience Strategies Transfer Fragility to Weaker Network Members and Reduce System-Level Resilience.</w:t>
      </w:r>
    </w:p>
    <w:p>
      <w:r>
        <w:rPr>
          <w:b/>
          <w:i w:val="0"/>
        </w:rPr>
        <w:t>3. Why This Topic Matters Now</w:t>
      </w:r>
      <w:r>
        <w:rPr>
          <w:b w:val="0"/>
          <w:i w:val="0"/>
        </w:rPr>
        <w:t xml:space="preserve"> Post-2020, resilience became the dominant objective function in supply chain management, and firms invested heavily in buffers, dual sourcing, nearshoring, and flexible contracts. But resilience is a </w:t>
      </w:r>
      <w:r>
        <w:rPr>
          <w:b w:val="0"/>
          <w:i/>
        </w:rPr>
        <w:t>relative</w:t>
      </w:r>
      <w:r>
        <w:rPr>
          <w:b w:val="0"/>
          <w:i w:val="0"/>
        </w:rPr>
        <w:t xml:space="preserve"> property in an interdependent network: a buyer's safety stock is a supplier's demand volatility; a buyer's dual sourcing is a supplier's capacity underutilization and volume uncertainty; a buyer's flexible contract is a supplier's absorbed risk; nearshoring strands upstream partners who made relationship-specific investments. As geopolitical fragmentation, climate disruption, and tariff volatility raise resilience investment further, the field is optimizing a variable it has only ever measured at one node.</w:t>
      </w:r>
    </w:p>
    <w:p>
      <w:r>
        <w:rPr>
          <w:b/>
          <w:i w:val="0"/>
        </w:rPr>
        <w:t>4. Why Existing Literature Is Insufficient</w:t>
      </w:r>
      <w:r>
        <w:rPr>
          <w:b w:val="0"/>
          <w:i w:val="0"/>
        </w:rPr>
        <w:t xml:space="preserve"> Supply chain resilience research is overwhelmingly </w:t>
      </w:r>
      <w:r>
        <w:rPr>
          <w:b w:val="0"/>
          <w:i/>
        </w:rPr>
        <w:t>focal-firm centric</w:t>
      </w:r>
      <w:r>
        <w:rPr>
          <w:b w:val="0"/>
          <w:i w:val="0"/>
        </w:rPr>
        <w:t xml:space="preserve">: resilience is conceptualized and measured as the focal firm's ability to absorb and recover, with supplier outcomes appearing only as inputs to focal-firm performance. The literature therefore cannot detect fragility transfer by construction. Risk-management research treats risk as exogenous rather than as </w:t>
      </w:r>
      <w:r>
        <w:rPr>
          <w:b w:val="0"/>
          <w:i/>
        </w:rPr>
        <w:t>redistributed by other actors' risk management</w:t>
      </w:r>
      <w:r>
        <w:rPr>
          <w:b w:val="0"/>
          <w:i w:val="0"/>
        </w:rPr>
        <w:t xml:space="preserve">. Network and complexity approaches to supply chains have the conceptual apparatus for systemic properties but rarely link it to firm-level resilience decisions. Behavioral operations has studied the bullwhip effect — which is the closest analogue — but frames it as an information/coordination failure rather than as a </w:t>
      </w:r>
      <w:r>
        <w:rPr>
          <w:b w:val="0"/>
          <w:i/>
        </w:rPr>
        <w:t>deliberate risk-shifting strategy</w:t>
      </w:r>
      <w:r>
        <w:rPr>
          <w:b w:val="0"/>
          <w:i w:val="0"/>
        </w:rPr>
        <w:t xml:space="preserve">, and has not connected it to justice, power, or supplier survival. Bargaining-power and resource-dependence research explains who </w:t>
      </w:r>
      <w:r>
        <w:rPr>
          <w:b w:val="0"/>
          <w:i/>
        </w:rPr>
        <w:t>can</w:t>
      </w:r>
      <w:r>
        <w:rPr>
          <w:b w:val="0"/>
          <w:i w:val="0"/>
        </w:rPr>
        <w:t xml:space="preserve"> shift risk but not the systemic consequence.</w:t>
      </w:r>
    </w:p>
    <w:p>
      <w:r>
        <w:rPr>
          <w:b/>
          <w:i w:val="0"/>
        </w:rPr>
        <w:t>5. Theories Needing Extension or Challenge</w:t>
      </w:r>
      <w:r>
        <w:rPr>
          <w:b w:val="0"/>
          <w:i w:val="0"/>
        </w:rPr>
        <w:t xml:space="preserve"> Supply Chain Resilience theory (challenge the node-level definition); Resource Dependence Theory (power as the mechanism of fragility transfer); Complex Adaptive Systems and Network Theory (systemic vs. node resilience; correlated failure); Behavioral Operations (managerial risk perception is bounded to the first tier); Justice Theory (distributive justice of risk allocation); TCE (safeguards as externality generators); Real Options (options held by the buyer are obligations written by the supplier); Prospect Theory (loss-framed disruption memory driving over-buffering).</w:t>
      </w:r>
    </w:p>
    <w:p>
      <w:r>
        <w:rPr>
          <w:b/>
          <w:i w:val="0"/>
        </w:rPr>
        <w:t>6. Potential Theoretical Contribution</w:t>
      </w:r>
      <w:r>
        <w:rPr>
          <w:b w:val="0"/>
          <w:i w:val="0"/>
        </w:rPr>
        <w:t xml:space="preserve"> A theory of </w:t>
      </w:r>
      <w:r>
        <w:rPr>
          <w:b/>
          <w:i w:val="0"/>
        </w:rPr>
        <w:t>resilience externalities</w:t>
      </w:r>
      <w:r>
        <w:rPr>
          <w:b w:val="0"/>
          <w:i w:val="0"/>
        </w:rPr>
        <w:t xml:space="preserve"> establishing: (i) </w:t>
      </w:r>
      <w:r>
        <w:rPr>
          <w:b/>
          <w:i w:val="0"/>
        </w:rPr>
        <w:t>fragility transfer</w:t>
      </w:r>
      <w:r>
        <w:rPr>
          <w:b w:val="0"/>
          <w:i w:val="0"/>
        </w:rPr>
        <w:t xml:space="preserve"> — resilience strategies redistribute rather than reduce variance, and the direction of transfer follows dependence asymmetry, so risk concentrates in the least resilient network members; (ii) the </w:t>
      </w:r>
      <w:r>
        <w:rPr>
          <w:b/>
          <w:i w:val="0"/>
        </w:rPr>
        <w:t>resilience paradox</w:t>
      </w:r>
      <w:r>
        <w:rPr>
          <w:b w:val="0"/>
          <w:i w:val="0"/>
        </w:rPr>
        <w:t xml:space="preserve"> — beyond a threshold, aggregate focal-firm resilience investment </w:t>
      </w:r>
      <w:r>
        <w:rPr>
          <w:b w:val="0"/>
          <w:i/>
        </w:rPr>
        <w:t>reduces</w:t>
      </w:r>
      <w:r>
        <w:rPr>
          <w:b w:val="0"/>
          <w:i w:val="0"/>
        </w:rPr>
        <w:t xml:space="preserve"> system resilience by weakening or eliminating the suppliers on whom recovery depends, and by inducing correlated behavior (everyone dual-sources to the same alternate, everyone nearshores to the same region); (iii) </w:t>
      </w:r>
      <w:r>
        <w:rPr>
          <w:b/>
          <w:i w:val="0"/>
        </w:rPr>
        <w:t>bounded resilience cognition</w:t>
      </w:r>
      <w:r>
        <w:rPr>
          <w:b w:val="0"/>
          <w:i w:val="0"/>
        </w:rPr>
        <w:t xml:space="preserve"> — managers systematically fail to internalize second-tier consequences, and this is measurable and correctable. This is a genuine level-of-analysis correction for one of operations management's largest contemporary literatures, and it links behavioral operations to supply chain justice for the first time.</w:t>
      </w:r>
    </w:p>
    <w:p>
      <w:r>
        <w:rPr>
          <w:b/>
          <w:i w:val="0"/>
        </w:rPr>
        <w:t>7. Level of Novelty</w:t>
      </w:r>
      <w:r>
        <w:rPr>
          <w:b w:val="0"/>
          <w:i w:val="0"/>
        </w:rPr>
        <w:t xml:space="preserve"> </w:t>
      </w:r>
      <w:r>
        <w:rPr>
          <w:b/>
          <w:i w:val="0"/>
        </w:rPr>
        <w:t>High.</w:t>
      </w:r>
    </w:p>
    <w:p>
      <w:r>
        <w:rPr>
          <w:b/>
          <w:i w:val="0"/>
        </w:rPr>
        <w:t>8. Potential Managerial Contribution</w:t>
      </w:r>
      <w:r>
        <w:rPr>
          <w:b w:val="0"/>
          <w:i w:val="0"/>
        </w:rPr>
        <w:t xml:space="preserve"> Extremely direct: firms are currently buying resilience that will not be there when needed. The work would yield (a) diagnostics for network-level rather than node-level resilience, (b) contract designs that share rather than shift variance (capacity reservation, minimum-volume commitments, jointly held inventory, risk-sharing pricing), (c) warnings about correlated resilience strategies across an industry, and (d) a supplier-viability lens on procurement decisions. It also gives supplier-development spending a hard-nosed risk rationale rather than a CSR one.</w:t>
      </w:r>
    </w:p>
    <w:p>
      <w:r>
        <w:rPr>
          <w:b/>
          <w:i w:val="0"/>
        </w:rPr>
        <w:t>9. Societal Relevance</w:t>
      </w:r>
      <w:r>
        <w:rPr>
          <w:b w:val="0"/>
          <w:i w:val="0"/>
        </w:rPr>
        <w:t xml:space="preserve"> High. Fragility is transferred disproportionately to small suppliers and to producers in lower-income economies, so this is simultaneously a systemic-risk question (medicines, food, semiconductors, critical minerals) and a distributive-justice one.</w:t>
      </w:r>
    </w:p>
    <w:p>
      <w:r>
        <w:rPr>
          <w:b/>
          <w:i w:val="0"/>
        </w:rPr>
        <w:t>10. Suitable FT50 Journals</w:t>
      </w:r>
      <w:r>
        <w:rPr>
          <w:b w:val="0"/>
          <w:i w:val="0"/>
        </w:rPr>
        <w:t xml:space="preserve"> </w:t>
      </w:r>
      <w:r>
        <w:rPr>
          <w:b w:val="0"/>
          <w:i/>
        </w:rPr>
        <w:t>Journal of Operations Management</w:t>
      </w:r>
      <w:r>
        <w:rPr>
          <w:b w:val="0"/>
          <w:i w:val="0"/>
        </w:rPr>
        <w:t xml:space="preserve"> (lead), </w:t>
      </w:r>
      <w:r>
        <w:rPr>
          <w:b w:val="0"/>
          <w:i/>
        </w:rPr>
        <w:t>Manufacturing &amp; Service Operations Management</w:t>
      </w:r>
      <w:r>
        <w:rPr>
          <w:b w:val="0"/>
          <w:i w:val="0"/>
        </w:rPr>
        <w:t xml:space="preserve">, </w:t>
      </w:r>
      <w:r>
        <w:rPr>
          <w:b w:val="0"/>
          <w:i/>
        </w:rPr>
        <w:t>Production and Operations Management</w:t>
      </w:r>
      <w:r>
        <w:rPr>
          <w:b w:val="0"/>
          <w:i w:val="0"/>
        </w:rPr>
        <w:t xml:space="preserve">, </w:t>
      </w:r>
      <w:r>
        <w:rPr>
          <w:b w:val="0"/>
          <w:i/>
        </w:rPr>
        <w:t>Journal of Supply Chain Management</w:t>
      </w:r>
      <w:r>
        <w:rPr>
          <w:b w:val="0"/>
          <w:i w:val="0"/>
        </w:rPr>
        <w:t xml:space="preserve"> (theory version), </w:t>
      </w:r>
      <w:r>
        <w:rPr>
          <w:b w:val="0"/>
          <w:i/>
        </w:rPr>
        <w:t>Management Science</w:t>
      </w:r>
      <w:r>
        <w:rPr>
          <w:b w:val="0"/>
          <w:i w:val="0"/>
        </w:rPr>
        <w:t xml:space="preserve">, </w:t>
      </w:r>
      <w:r>
        <w:rPr>
          <w:b w:val="0"/>
          <w:i/>
        </w:rPr>
        <w:t>Academy of Management Journal</w:t>
      </w:r>
      <w:r>
        <w:rPr>
          <w:b w:val="0"/>
          <w:i w:val="0"/>
        </w:rPr>
        <w:t xml:space="preserve"> (multi-level version).</w:t>
      </w:r>
    </w:p>
    <w:p>
      <w:r>
        <w:rPr>
          <w:b/>
          <w:i w:val="0"/>
        </w:rPr>
        <w:t>11. Type of Paper</w:t>
      </w:r>
      <w:r>
        <w:rPr>
          <w:b w:val="0"/>
          <w:i w:val="0"/>
        </w:rPr>
        <w:t xml:space="preserve"> Multi-level Study / Behavioral Experiments + Theory + Field Study, with analytical modelling of the systemic result.</w:t>
      </w:r>
    </w:p>
    <w:p>
      <w:r>
        <w:rPr>
          <w:b/>
          <w:i w:val="0"/>
        </w:rPr>
        <w:t>12. Recommended Methodology</w:t>
      </w:r>
      <w:r>
        <w:rPr>
          <w:b w:val="0"/>
          <w:i w:val="0"/>
        </w:rPr>
        <w:t xml:space="preserve"> (a) Analytical model of a multi-tier network in which each node optimizes its own resilience, deriving conditions under which aggregate investment reduces system resilience (the formal existence proof for the resilience paradox). (b) Behavioral experiments with procurement managers: a multi-tier supply chain game in which participants choose resilience strategies, measuring whether they internalize downstream-of-them consequences; manipulate visibility of tier-2 outcomes and accountability to test bounded resilience cognition and its correction. (c) Matched dyadic/triadic field survey measuring buyer resilience investments against supplier-reported variance, financial distress, and justice perceptions. (d) Archival: FactSet Revere/Compustat supply chain links plus disruption events; test whether buyers' resilience actions predict supplier financial distress and subsequent buyer recovery failure. (e) Case studies of resilience-strategy correlation in semiconductors, pharmaceuticals API, and automotive wiring harnesses.</w:t>
      </w:r>
    </w:p>
    <w:p>
      <w:r>
        <w:rPr>
          <w:b/>
          <w:i w:val="0"/>
        </w:rPr>
        <w:t>13. Suitable Theories</w:t>
      </w:r>
      <w:r>
        <w:rPr>
          <w:b w:val="0"/>
          <w:i w:val="0"/>
        </w:rPr>
        <w:t xml:space="preserve"> Supply Chain Resilience, Resource Dependence, Complex Adaptive Systems, Network Theory, Behavioral Operations, Justice Theory, TCE, Real Options, Prospect Theory.</w:t>
      </w:r>
    </w:p>
    <w:p>
      <w:r>
        <w:rPr>
          <w:b/>
          <w:i w:val="0"/>
        </w:rPr>
        <w:t>14. Potential Constructs</w:t>
      </w:r>
      <w:r>
        <w:rPr>
          <w:b w:val="0"/>
          <w:i w:val="0"/>
        </w:rPr>
        <w:t xml:space="preserve"> Resilience externality; fragility transfer; variance redistribution; supplier viability erosion; resilience correlation (herding); bounded resilience cognition; system vs. node resilience.</w:t>
      </w:r>
    </w:p>
    <w:p>
      <w:r>
        <w:rPr>
          <w:b/>
          <w:i w:val="0"/>
        </w:rPr>
        <w:t>15. Possible Mediators</w:t>
      </w:r>
      <w:r>
        <w:rPr>
          <w:b w:val="0"/>
          <w:i w:val="0"/>
        </w:rPr>
        <w:t xml:space="preserve"> Supplier demand variance; supplier capacity utilization and financial slack; relationship-specific investment stranding; supplier justice perceptions and reciprocal hedging.</w:t>
      </w:r>
    </w:p>
    <w:p>
      <w:r>
        <w:rPr>
          <w:b/>
          <w:i w:val="0"/>
        </w:rPr>
        <w:t>16. Possible Moderators</w:t>
      </w:r>
      <w:r>
        <w:rPr>
          <w:b w:val="0"/>
          <w:i w:val="0"/>
        </w:rPr>
        <w:t xml:space="preserve"> Dependence asymmetry; supplier financial slack and access to capital; tier depth; contract type; industry concentration; visibility of lower tiers; geographic concentration of alternates; regulatory mandates (e.g., pharmaceutical stockpiling rules).</w:t>
      </w:r>
    </w:p>
    <w:p>
      <w:r>
        <w:rPr>
          <w:b/>
          <w:i w:val="0"/>
        </w:rPr>
        <w:t>17. Unit of Analysis</w:t>
      </w:r>
      <w:r>
        <w:rPr>
          <w:b w:val="0"/>
          <w:i w:val="0"/>
        </w:rPr>
        <w:t xml:space="preserve"> Supply network (primary — the corrective); buyer-supplier dyad/triad (secondary); manager decision (experimental).</w:t>
      </w:r>
    </w:p>
    <w:p>
      <w:r>
        <w:rPr>
          <w:b/>
          <w:i w:val="0"/>
        </w:rPr>
        <w:t>18. Potential Datasets</w:t>
      </w:r>
      <w:r>
        <w:rPr>
          <w:b w:val="0"/>
          <w:i w:val="0"/>
        </w:rPr>
        <w:t xml:space="preserve"> FactSet Revere and Bloomberg SPLC supply chain relationship data; Compustat/Orbis for supplier financial distress; Resilinc and Everstream disruption event feeds; automotive and electronics tier maps; pharmaceutical API sourcing data (FDA/EMA registrations); customs and trade-flow data for nearshoring detection; procurement-manager experimental panels.</w:t>
      </w:r>
    </w:p>
    <w:p>
      <w:r>
        <w:rPr>
          <w:b/>
          <w:i w:val="0"/>
        </w:rPr>
        <w:t>19. Countries Where Research Would Be Valuable</w:t>
      </w:r>
      <w:r>
        <w:rPr>
          <w:b w:val="0"/>
          <w:i w:val="0"/>
        </w:rPr>
        <w:t xml:space="preserve"> US, Germany, Japan, South Korea (focal-firm side); Mexico, Vietnam, Thailand, Poland, Morocco, India (nearshoring recipients and stranded suppliers); China (displaced incumbents); Taiwan (concentration risk).</w:t>
      </w:r>
    </w:p>
    <w:p>
      <w:r>
        <w:rPr>
          <w:b/>
          <w:i w:val="0"/>
        </w:rPr>
        <w:t>20. Practical Implications</w:t>
      </w:r>
      <w:r>
        <w:rPr>
          <w:b w:val="0"/>
          <w:i w:val="0"/>
        </w:rPr>
        <w:t xml:space="preserve"> Boards get a way to test whether their resilience spending is real or merely relocated; procurement gets contract templates that share variance; industry bodies get a reason to coordinate on non-correlated resilience strategies; policymakers designing stockpiling and reshoring incentives learn how those mandates propagate upstream.</w:t>
      </w:r>
    </w:p>
    <w:p>
      <w:r>
        <w:rPr>
          <w:b/>
          <w:i w:val="0"/>
        </w:rPr>
        <w:t>21. Risks Reviewers May Identify</w:t>
      </w:r>
      <w:r>
        <w:rPr>
          <w:b w:val="0"/>
          <w:i w:val="0"/>
        </w:rPr>
        <w:t xml:space="preserve"> (a) "This is the bullwhip effect renamed." (b) Data on tier-2 and tier-3 outcomes is scarce and low quality. (c) Endogeneity: distressed suppliers may cause buyer resilience investment, not the reverse. (d) The analytical model may be too stylized to be believed, or the empirics too coarse to test it. (e) Externality logic is standard in economics — where is the OM contribution?</w:t>
      </w:r>
    </w:p>
    <w:p>
      <w:r>
        <w:rPr>
          <w:b/>
          <w:i w:val="0"/>
        </w:rPr>
        <w:t>22. How to Strengthen the Theoretical Contribution</w:t>
      </w:r>
      <w:r>
        <w:rPr>
          <w:b w:val="0"/>
          <w:i w:val="0"/>
        </w:rPr>
        <w:t xml:space="preserve"> Separate the contribution from the bullwhip effect explicitly and early: bullwhip is unintentional amplification from information distortion; fragility transfer is </w:t>
      </w:r>
      <w:r>
        <w:rPr>
          <w:b w:val="0"/>
          <w:i/>
        </w:rPr>
        <w:t>intentional, power-mediated variance reallocation</w:t>
      </w:r>
      <w:r>
        <w:rPr>
          <w:b w:val="0"/>
          <w:i w:val="0"/>
        </w:rPr>
        <w:t xml:space="preserve">, and the two have different remedies. Prove the resilience paradox analytically </w:t>
      </w:r>
      <w:r>
        <w:rPr>
          <w:b/>
          <w:i w:val="0"/>
        </w:rPr>
        <w:t>and</w:t>
      </w:r>
      <w:r>
        <w:rPr>
          <w:b w:val="0"/>
          <w:i w:val="0"/>
        </w:rPr>
        <w:t xml:space="preserve"> demonstrate bounded resilience cognition behaviorally — the pairing of a formal impossibility-style result with a measurable managerial blind spot is what will make this a JOM/MSOM lead article rather than a commentary. Add the justice layer to give the paper an ethical dimension the resilience literature currently lacks, and derive the counterintuitive managerial prescription: under some conditions, a firm should </w:t>
      </w:r>
      <w:r>
        <w:rPr>
          <w:b w:val="0"/>
          <w:i/>
        </w:rPr>
        <w:t>reduce</w:t>
      </w:r>
      <w:r>
        <w:rPr>
          <w:b w:val="0"/>
          <w:i w:val="0"/>
        </w:rPr>
        <w:t xml:space="preserve"> its own buffers to increase its realized resilience.</w:t>
      </w:r>
    </w:p>
    <w:p>
      <w:pPr>
        <w:pStyle w:val="Heading1"/>
        <w:jc w:val="left"/>
      </w:pPr>
      <w:r>
        <w:rPr>
          <w:b w:val="0"/>
          <w:i w:val="0"/>
          <w:color w:val="1A1A1A"/>
        </w:rPr>
        <w:t>12. When the Industry Is the Identity: Occupational Identity Under Deliberate Industrial Phase-Out</w:t>
      </w:r>
    </w:p>
    <w:p>
      <w:r>
        <w:rPr>
          <w:b/>
          <w:i w:val="0"/>
        </w:rPr>
        <w:t>1. Research Theme</w:t>
      </w:r>
      <w:r>
        <w:rPr>
          <w:b w:val="0"/>
          <w:i w:val="0"/>
        </w:rPr>
        <w:t xml:space="preserve"> Organizational behavior / identity / sustainability transitions / innovation / work and workforce change.</w:t>
      </w:r>
    </w:p>
    <w:p>
      <w:r>
        <w:rPr>
          <w:b/>
          <w:i w:val="0"/>
        </w:rPr>
        <w:t>2. Exact FT50-Level Research Topic</w:t>
      </w:r>
      <w:r>
        <w:rPr>
          <w:b w:val="0"/>
          <w:i w:val="0"/>
        </w:rPr>
        <w:t xml:space="preserve"> </w:t>
      </w:r>
      <w:r>
        <w:rPr>
          <w:b w:val="0"/>
          <w:i/>
        </w:rPr>
        <w:t>Sanctioned Obsolescence: How Workers and Organizations Construct Identity and Meaning When Society Has Decided Their Industry Should Not Exist.</w:t>
      </w:r>
    </w:p>
    <w:p>
      <w:r>
        <w:rPr>
          <w:b/>
          <w:i w:val="0"/>
        </w:rPr>
        <w:t>3. Why This Topic Matters Now</w:t>
      </w:r>
      <w:r>
        <w:rPr>
          <w:b w:val="0"/>
          <w:i w:val="0"/>
        </w:rPr>
        <w:t xml:space="preserve"> Decarbonization requires the </w:t>
      </w:r>
      <w:r>
        <w:rPr>
          <w:b w:val="0"/>
          <w:i/>
        </w:rPr>
        <w:t>deliberate, planned elimination</w:t>
      </w:r>
      <w:r>
        <w:rPr>
          <w:b w:val="0"/>
          <w:i w:val="0"/>
        </w:rPr>
        <w:t xml:space="preserve"> of specific industries: coal mining and generation, internal-combustion vehicle manufacture and its component supply base, oil and gas extraction in some jurisdictions, peat, some intensive livestock sectors. Millions of workers — and thousands of organizations — are being asked to perform competently within an activity that public policy, media, and often their own children have defined as illegitimate. Germany's coal exit, the EU's 2035 ICE phase-out, Dutch livestock buyouts, and UK North Sea transition are all live cases. Organizational scholarship has extensive theory about </w:t>
      </w:r>
      <w:r>
        <w:rPr>
          <w:b w:val="0"/>
          <w:i/>
        </w:rPr>
        <w:t>stigmatized</w:t>
      </w:r>
      <w:r>
        <w:rPr>
          <w:b w:val="0"/>
          <w:i w:val="0"/>
        </w:rPr>
        <w:t xml:space="preserve"> ("dirty") work and about decline, but almost nothing about </w:t>
      </w:r>
      <w:r>
        <w:rPr>
          <w:b w:val="0"/>
          <w:i/>
        </w:rPr>
        <w:t>legitimately, democratically sanctioned</w:t>
      </w:r>
      <w:r>
        <w:rPr>
          <w:b w:val="0"/>
          <w:i w:val="0"/>
        </w:rPr>
        <w:t xml:space="preserve"> obsolescence with a scheduled end date.</w:t>
      </w:r>
    </w:p>
    <w:p>
      <w:r>
        <w:rPr>
          <w:b/>
          <w:i w:val="0"/>
        </w:rPr>
        <w:t>4. Why Existing Literature Is Insufficient</w:t>
      </w:r>
      <w:r>
        <w:rPr>
          <w:b w:val="0"/>
          <w:i w:val="0"/>
        </w:rPr>
        <w:t xml:space="preserve"> Dirty-work and stigmatized-occupation research studies work that is socially devalued but </w:t>
      </w:r>
      <w:r>
        <w:rPr>
          <w:b w:val="0"/>
          <w:i/>
        </w:rPr>
        <w:t>ongoing and needed</w:t>
      </w:r>
      <w:r>
        <w:rPr>
          <w:b w:val="0"/>
          <w:i w:val="0"/>
        </w:rPr>
        <w:t xml:space="preserve"> — the identity work available includes reframing necessity ("someone has to do it"). Sanctioned obsolescence removes that defense: society has explicitly said the work should stop. Organizational decline and turnaround research assumes decline is a failure to be reversed, not a mandate to be executed. Job-insecurity and layoff research studies individual loss inside a continuing industry, not the dissolution of an occupational category and the community built around it. Retirement and career-transition research assumes voluntary or age-normed exit. Sustainability-transitions research (in Research Policy and adjacent outlets) is systems-level and rarely examines micro-level identity. The result: policy is designing "just transition" programs with no theory of the psychological mechanism they must address, which is why retraining programs with sound economics keep failing on take-up.</w:t>
      </w:r>
    </w:p>
    <w:p>
      <w:r>
        <w:rPr>
          <w:b/>
          <w:i w:val="0"/>
        </w:rPr>
        <w:t>5. Theories Needing Extension or Challenge</w:t>
      </w:r>
      <w:r>
        <w:rPr>
          <w:b w:val="0"/>
          <w:i w:val="0"/>
        </w:rPr>
        <w:t xml:space="preserve"> Social Identity Theory and Organizational Identification (identification with a </w:t>
      </w:r>
      <w:r>
        <w:rPr>
          <w:b w:val="0"/>
          <w:i/>
        </w:rPr>
        <w:t>terminal</w:t>
      </w:r>
      <w:r>
        <w:rPr>
          <w:b w:val="0"/>
          <w:i w:val="0"/>
        </w:rPr>
        <w:t xml:space="preserve"> organization); Occupational and Role Identity; Identity Work and Identity Threat theory (extend to </w:t>
      </w:r>
      <w:r>
        <w:rPr>
          <w:b w:val="0"/>
          <w:i/>
        </w:rPr>
        <w:t>legitimate</w:t>
      </w:r>
      <w:r>
        <w:rPr>
          <w:b w:val="0"/>
          <w:i w:val="0"/>
        </w:rPr>
        <w:t xml:space="preserve"> threat, which cannot be resisted by delegitimizing the source); Meaning of Work / Job Crafting; Justice Theory (procedural justice of phase-out design); Terror Management and anticipated-ending literatures; Institutional Theory (de-legitimation and its micro-transmission); Upper Echelons (leading an organization to a planned end); Sensemaking; Stakeholder Theory.</w:t>
      </w:r>
    </w:p>
    <w:p>
      <w:r>
        <w:rPr>
          <w:b/>
          <w:i w:val="0"/>
        </w:rPr>
        <w:t>6. Potential Theoretical Contribution</w:t>
      </w:r>
      <w:r>
        <w:rPr>
          <w:b w:val="0"/>
          <w:i w:val="0"/>
        </w:rPr>
        <w:t xml:space="preserve"> A theory of </w:t>
      </w:r>
      <w:r>
        <w:rPr>
          <w:b/>
          <w:i w:val="0"/>
        </w:rPr>
        <w:t>identity under sanctioned obsolescence</w:t>
      </w:r>
      <w:r>
        <w:rPr>
          <w:b w:val="0"/>
          <w:i w:val="0"/>
        </w:rPr>
        <w:t xml:space="preserve"> with three moves: (i) identify a distinct threat type — </w:t>
      </w:r>
      <w:r>
        <w:rPr>
          <w:b w:val="0"/>
          <w:i/>
        </w:rPr>
        <w:t>legitimate identity threat</w:t>
      </w:r>
      <w:r>
        <w:rPr>
          <w:b w:val="0"/>
          <w:i w:val="0"/>
        </w:rPr>
        <w:t xml:space="preserve">, where the standard defensive repertoire (source derogation, positive distinctiveness, reframing) is unavailable because the delegitimizing claim is broadly accepted, including by in-group members' own families; (ii) specify the resulting identity strategies (temporal relocation of pride into the past, transfer of identity from </w:t>
      </w:r>
      <w:r>
        <w:rPr>
          <w:b w:val="0"/>
          <w:i/>
        </w:rPr>
        <w:t>product</w:t>
      </w:r>
      <w:r>
        <w:rPr>
          <w:b w:val="0"/>
          <w:i w:val="0"/>
        </w:rPr>
        <w:t xml:space="preserve"> to </w:t>
      </w:r>
      <w:r>
        <w:rPr>
          <w:b w:val="0"/>
          <w:i/>
        </w:rPr>
        <w:t>craft</w:t>
      </w:r>
      <w:r>
        <w:rPr>
          <w:b w:val="0"/>
          <w:i w:val="0"/>
        </w:rPr>
        <w:t xml:space="preserve">, custodial identity as "the ones who close it well," and reactive politicization as an identity-preserving alternative); and (iii) a theory of </w:t>
      </w:r>
      <w:r>
        <w:rPr>
          <w:b/>
          <w:i w:val="0"/>
        </w:rPr>
        <w:t>terminal organizing</w:t>
      </w:r>
      <w:r>
        <w:rPr>
          <w:b w:val="0"/>
          <w:i w:val="0"/>
        </w:rPr>
        <w:t xml:space="preserve"> — how leaders generate commitment and safety performance in an organization with a legislated end date, where all conventional future-oriented motivational levers are void. The third element is close to a new organizational form and is theoretically wide open.</w:t>
      </w:r>
    </w:p>
    <w:p>
      <w:r>
        <w:rPr>
          <w:b/>
          <w:i w:val="0"/>
        </w:rPr>
        <w:t>7. Level of Novelty</w:t>
      </w:r>
      <w:r>
        <w:rPr>
          <w:b w:val="0"/>
          <w:i w:val="0"/>
        </w:rPr>
        <w:t xml:space="preserve"> </w:t>
      </w:r>
      <w:r>
        <w:rPr>
          <w:b/>
          <w:i w:val="0"/>
        </w:rPr>
        <w:t>High to Breakthrough</w:t>
      </w:r>
      <w:r>
        <w:rPr>
          <w:b w:val="0"/>
          <w:i w:val="0"/>
        </w:rPr>
        <w:t xml:space="preserve"> (the phenomenon is enormous, dated, and observable; the theory is nearly absent).</w:t>
      </w:r>
    </w:p>
    <w:p>
      <w:r>
        <w:rPr>
          <w:b/>
          <w:i w:val="0"/>
        </w:rPr>
        <w:t>8. Potential Managerial Contribution</w:t>
      </w:r>
      <w:r>
        <w:rPr>
          <w:b w:val="0"/>
          <w:i w:val="0"/>
        </w:rPr>
        <w:t xml:space="preserve"> Practical, urgently needed guidance for firms executing phase-outs: how to retain critical staff through a wind-down, how to sustain safety and quality when the future is void, how to design retraining that is </w:t>
      </w:r>
      <w:r>
        <w:rPr>
          <w:b w:val="0"/>
          <w:i/>
        </w:rPr>
        <w:t>identity-compatible</w:t>
      </w:r>
      <w:r>
        <w:rPr>
          <w:b w:val="0"/>
          <w:i w:val="0"/>
        </w:rPr>
        <w:t xml:space="preserve"> rather than merely economically rational (the likely reason take-up is low), how to structure legacy and commemoration, and how to sequence announcements to preserve procedural justice. Also relevant to any firm exiting a business line for ESG reasons.</w:t>
      </w:r>
    </w:p>
    <w:p>
      <w:r>
        <w:rPr>
          <w:b/>
          <w:i w:val="0"/>
        </w:rPr>
        <w:t>9. Societal Relevance</w:t>
      </w:r>
      <w:r>
        <w:rPr>
          <w:b w:val="0"/>
          <w:i w:val="0"/>
        </w:rPr>
        <w:t xml:space="preserve"> Very high, and unusually consequential: the political viability of climate policy in democracies depends substantially on whether phase-outs are experienced as just or as humiliation. Failed transitions have already produced durable political backlash in coal and industrial regions in the US, Germany, Poland, and Australia. This links OB scholarship to the central political economy risk of decarbonization.</w:t>
      </w:r>
    </w:p>
    <w:p>
      <w:r>
        <w:rPr>
          <w:b/>
          <w:i w:val="0"/>
        </w:rPr>
        <w:t>10. Suitable FT50 Journals</w:t>
      </w:r>
      <w:r>
        <w:rPr>
          <w:b w:val="0"/>
          <w:i w:val="0"/>
        </w:rPr>
        <w:t xml:space="preserve"> </w:t>
      </w:r>
      <w:r>
        <w:rPr>
          <w:b w:val="0"/>
          <w:i/>
        </w:rPr>
        <w:t>Academy of Management Journal</w:t>
      </w:r>
      <w:r>
        <w:rPr>
          <w:b w:val="0"/>
          <w:i w:val="0"/>
        </w:rPr>
        <w:t xml:space="preserve"> (lead — qualitative process theory), </w:t>
      </w:r>
      <w:r>
        <w:rPr>
          <w:b w:val="0"/>
          <w:i/>
        </w:rPr>
        <w:t>Academy of Management Review</w:t>
      </w:r>
      <w:r>
        <w:rPr>
          <w:b w:val="0"/>
          <w:i w:val="0"/>
        </w:rPr>
        <w:t xml:space="preserve"> (theory version), </w:t>
      </w:r>
      <w:r>
        <w:rPr>
          <w:b w:val="0"/>
          <w:i/>
        </w:rPr>
        <w:t>Organization Science</w:t>
      </w:r>
      <w:r>
        <w:rPr>
          <w:b w:val="0"/>
          <w:i w:val="0"/>
        </w:rPr>
        <w:t xml:space="preserve">, </w:t>
      </w:r>
      <w:r>
        <w:rPr>
          <w:b w:val="0"/>
          <w:i/>
        </w:rPr>
        <w:t>Administrative Science Quarterly</w:t>
      </w:r>
      <w:r>
        <w:rPr>
          <w:b w:val="0"/>
          <w:i w:val="0"/>
        </w:rPr>
        <w:t xml:space="preserve">, </w:t>
      </w:r>
      <w:r>
        <w:rPr>
          <w:b w:val="0"/>
          <w:i/>
        </w:rPr>
        <w:t>Journal of Management Studies</w:t>
      </w:r>
      <w:r>
        <w:rPr>
          <w:b w:val="0"/>
          <w:i w:val="0"/>
        </w:rPr>
        <w:t xml:space="preserve">, </w:t>
      </w:r>
      <w:r>
        <w:rPr>
          <w:b w:val="0"/>
          <w:i/>
        </w:rPr>
        <w:t>Research Policy</w:t>
      </w:r>
      <w:r>
        <w:rPr>
          <w:b w:val="0"/>
          <w:i w:val="0"/>
        </w:rPr>
        <w:t xml:space="preserve"> (transitions framing), </w:t>
      </w:r>
      <w:r>
        <w:rPr>
          <w:b w:val="0"/>
          <w:i/>
        </w:rPr>
        <w:t>Human Relations</w:t>
      </w:r>
      <w:r>
        <w:rPr>
          <w:b w:val="0"/>
          <w:i w:val="0"/>
        </w:rPr>
        <w:t>.</w:t>
      </w:r>
    </w:p>
    <w:p>
      <w:r>
        <w:rPr>
          <w:b/>
          <w:i w:val="0"/>
        </w:rPr>
        <w:t>11. Type of Paper</w:t>
      </w:r>
      <w:r>
        <w:rPr>
          <w:b w:val="0"/>
          <w:i w:val="0"/>
        </w:rPr>
        <w:t xml:space="preserve"> Qualitative Grounded Theory (longitudinal, multi-site) with a Multi-level Study extension and a Cross-country Comparative component.</w:t>
      </w:r>
    </w:p>
    <w:p>
      <w:r>
        <w:rPr>
          <w:b/>
          <w:i w:val="0"/>
        </w:rPr>
        <w:t>12. Recommended Methodology</w:t>
      </w:r>
      <w:r>
        <w:rPr>
          <w:b w:val="0"/>
          <w:i w:val="0"/>
        </w:rPr>
        <w:t xml:space="preserve"> Longitudinal multi-site qualitative study (3–4 years, spanning announcement through closure) in contrasting phase-out settings: German Ruhr/Lusatia coal, Dutch livestock buyout farms, an EU ICE-component supplier plant, and UK North Sea. Repeated interviews with workers, supervisors, plant leaders, union officials, and family members; observation; documentary and local-media analysis. Extend with: a multi-wave survey panel of affected workers measuring identity threat type, retraining take-up, well-being, and political attitudes; a vignette experiment isolating legitimate vs. illegitimate threat framings and their effect on identity defense and retraining willingness; and a comparative analysis of phase-out governance designs (worker voice, notice period, compensation, commemoration) against outcomes across regions — a design that produces both deep theory and policy-grade evidence.</w:t>
      </w:r>
    </w:p>
    <w:p>
      <w:r>
        <w:rPr>
          <w:b/>
          <w:i w:val="0"/>
        </w:rPr>
        <w:t>13. Suitable Theories</w:t>
      </w:r>
      <w:r>
        <w:rPr>
          <w:b w:val="0"/>
          <w:i w:val="0"/>
        </w:rPr>
        <w:t xml:space="preserve"> Social Identity Theory, Occupational/Role Identity, Identity Work and Threat, Sensemaking, Meaning of Work, Justice Theory, Institutional Theory (de-legitimation), Upper Echelons, Terror Management, Social Exchange.</w:t>
      </w:r>
    </w:p>
    <w:p>
      <w:r>
        <w:rPr>
          <w:b/>
          <w:i w:val="0"/>
        </w:rPr>
        <w:t>14. Potential Constructs</w:t>
      </w:r>
      <w:r>
        <w:rPr>
          <w:b w:val="0"/>
          <w:i w:val="0"/>
        </w:rPr>
        <w:t xml:space="preserve"> Sanctioned obsolescence; legitimate identity threat; temporal identity relocation; custodial identity; craft-product identity decoupling; terminal organizing; identity-compatible retraining; transition procedural justice.</w:t>
      </w:r>
    </w:p>
    <w:p>
      <w:r>
        <w:rPr>
          <w:b/>
          <w:i w:val="0"/>
        </w:rPr>
        <w:t>15. Possible Mediators</w:t>
      </w:r>
      <w:r>
        <w:rPr>
          <w:b w:val="0"/>
          <w:i w:val="0"/>
        </w:rPr>
        <w:t xml:space="preserve"> Identity threat appraisal; shame vs. pride attribution; perceived procedural justice; perceived respect from society/media; family and community identity reinforcement; future-self clarity.</w:t>
      </w:r>
    </w:p>
    <w:p>
      <w:r>
        <w:rPr>
          <w:b/>
          <w:i w:val="0"/>
        </w:rPr>
        <w:t>16. Possible Moderators</w:t>
      </w:r>
      <w:r>
        <w:rPr>
          <w:b w:val="0"/>
          <w:i w:val="0"/>
        </w:rPr>
        <w:t xml:space="preserve"> Notice period and phase-out schedule certainty; union strength and worker voice; regional occupational concentration (single-industry town vs. diversified); age and career stage; skill transferability; availability of adjacent green employment; national welfare and retraining infrastructure; political salience.</w:t>
      </w:r>
    </w:p>
    <w:p>
      <w:r>
        <w:rPr>
          <w:b/>
          <w:i w:val="0"/>
        </w:rPr>
        <w:t>17. Unit of Analysis</w:t>
      </w:r>
      <w:r>
        <w:rPr>
          <w:b w:val="0"/>
          <w:i w:val="0"/>
        </w:rPr>
        <w:t xml:space="preserve"> Worker over time (primary); organization/plant (secondary); region (tertiary) — genuinely multi-level.</w:t>
      </w:r>
    </w:p>
    <w:p>
      <w:r>
        <w:rPr>
          <w:b/>
          <w:i w:val="0"/>
        </w:rPr>
        <w:t>18. Potential Datasets</w:t>
      </w:r>
      <w:r>
        <w:rPr>
          <w:b w:val="0"/>
          <w:i w:val="0"/>
        </w:rPr>
        <w:t xml:space="preserve"> German SOEP and IAB linked employer-employee data (Lusatia/Ruhr coal regions — outstanding for this design); Dutch CBS microdata with livestock buyout registries; UK Longitudinal Study and North Sea employment records; US coal-county ARC and BLS data plus county-level political outcomes; EU Just Transition Fund program administrative data on retraining take-up; local media corpora for de-legitimation discourse.</w:t>
      </w:r>
    </w:p>
    <w:p>
      <w:r>
        <w:rPr>
          <w:b/>
          <w:i w:val="0"/>
        </w:rPr>
        <w:t>19. Countries Where Research Would Be Valuable</w:t>
      </w:r>
      <w:r>
        <w:rPr>
          <w:b w:val="0"/>
          <w:i w:val="0"/>
        </w:rPr>
        <w:t xml:space="preserve"> Germany, Poland, Netherlands, Spain (Asturias), UK, Australia (Latrobe Valley, Hunter Valley), US (Appalachia, Wyoming), Canada (Alberta), South Africa (Mpumalanga — where the justice stakes are highest), India (Jharkhand/Chhattisgarh coal).</w:t>
      </w:r>
    </w:p>
    <w:p>
      <w:r>
        <w:rPr>
          <w:b/>
          <w:i w:val="0"/>
        </w:rPr>
        <w:t>20. Practical Implications</w:t>
      </w:r>
      <w:r>
        <w:rPr>
          <w:b w:val="0"/>
          <w:i w:val="0"/>
        </w:rPr>
        <w:t xml:space="preserve"> Redesign of just-transition programs around identity compatibility rather than wage replacement alone; wind-down management playbooks for firms; guidance for governments on phase-out sequencing, notice, and commemoration that reduces political backlash.</w:t>
      </w:r>
    </w:p>
    <w:p>
      <w:r>
        <w:rPr>
          <w:b/>
          <w:i w:val="0"/>
        </w:rPr>
        <w:t>21. Risks Reviewers May Identify</w:t>
      </w:r>
      <w:r>
        <w:rPr>
          <w:b w:val="0"/>
          <w:i w:val="0"/>
        </w:rPr>
        <w:t xml:space="preserve"> (a) "Dirty work and organizational decline already cover this." (b) Access to closing sites during politically charged periods. (c) Long field commitment and attrition. (d) Risk of advocacy or sentimentality replacing analysis. (e) Difficulty isolating the </w:t>
      </w:r>
      <w:r>
        <w:rPr>
          <w:b w:val="0"/>
          <w:i/>
        </w:rPr>
        <w:t>legitimacy</w:t>
      </w:r>
      <w:r>
        <w:rPr>
          <w:b w:val="0"/>
          <w:i w:val="0"/>
        </w:rPr>
        <w:t xml:space="preserve"> of the threat from ordinary job loss. (f) The vignette experiment may feel thin next to the qualitative core.</w:t>
      </w:r>
    </w:p>
    <w:p>
      <w:r>
        <w:rPr>
          <w:b/>
          <w:i w:val="0"/>
        </w:rPr>
        <w:t>22. How to Strengthen the Theoretical Contribution</w:t>
      </w:r>
      <w:r>
        <w:rPr>
          <w:b w:val="0"/>
          <w:i w:val="0"/>
        </w:rPr>
        <w:t xml:space="preserve"> Define </w:t>
      </w:r>
      <w:r>
        <w:rPr>
          <w:b/>
          <w:i w:val="0"/>
        </w:rPr>
        <w:t>legitimate identity threat</w:t>
      </w:r>
      <w:r>
        <w:rPr>
          <w:b w:val="0"/>
          <w:i w:val="0"/>
        </w:rPr>
        <w:t xml:space="preserve"> as a formal construct and demonstrate — ideally experimentally — that it triggers </w:t>
      </w:r>
      <w:r>
        <w:rPr>
          <w:b w:val="0"/>
          <w:i/>
        </w:rPr>
        <w:t>different</w:t>
      </w:r>
      <w:r>
        <w:rPr>
          <w:b w:val="0"/>
          <w:i w:val="0"/>
        </w:rPr>
        <w:t xml:space="preserve"> identity strategies than illegitimate/stigma threat. That contrast is the entire theoretical claim and must be shown, not asserted. Include at least one comparison case of </w:t>
      </w:r>
      <w:r>
        <w:rPr>
          <w:b w:val="0"/>
          <w:i/>
        </w:rPr>
        <w:t>unsanctioned</w:t>
      </w:r>
      <w:r>
        <w:rPr>
          <w:b w:val="0"/>
          <w:i w:val="0"/>
        </w:rPr>
        <w:t xml:space="preserve"> decline (a plant closing for ordinary competitive reasons) in the same region to isolate the legitimacy mechanism. Push hard on </w:t>
      </w:r>
      <w:r>
        <w:rPr>
          <w:b/>
          <w:i w:val="0"/>
        </w:rPr>
        <w:t>terminal organizing</w:t>
      </w:r>
      <w:r>
        <w:rPr>
          <w:b w:val="0"/>
          <w:i w:val="0"/>
        </w:rPr>
        <w:t>, which is the most original element and speaks to Organization Science and ASQ audiences. Connect micro identity outcomes to the macro political outcome, so the paper delivers the micro-to-macro linkage that top OB and strategy journals are currently prioritizing.</w:t>
      </w:r>
    </w:p>
    <w:p>
      <w:pPr>
        <w:pStyle w:val="Heading2"/>
      </w:pPr>
      <w:r>
        <w:rPr>
          <w:b w:val="0"/>
          <w:i w:val="0"/>
          <w:color w:val="1A1A1A"/>
        </w:rPr>
        <w:t>Part III — Watchlist: Six Further Opportunities (compressed)</w:t>
      </w:r>
    </w:p>
    <w:p>
      <w:r>
        <w:rPr>
          <w:b w:val="0"/>
          <w:i w:val="0"/>
        </w:rPr>
        <w:t>These are real opportunities that scored slightly below the twelve, usually because saturation risk is rising or the theoretical anomaly is less sharply identified. Each is stated as an anomaly plus a target contribution.</w:t>
      </w:r>
    </w:p>
    <w:p>
      <w:r>
        <w:rPr>
          <w:b/>
          <w:i w:val="0"/>
        </w:rPr>
        <w:t>W1. Oppositional Demand: Market Structure Under Antagonistic Preferences.</w:t>
      </w:r>
      <w:r>
        <w:rPr>
          <w:b w:val="0"/>
          <w:i w:val="0"/>
        </w:rPr>
        <w:t xml:space="preserve"> </w:t>
      </w:r>
      <w:r>
        <w:rPr>
          <w:b w:val="0"/>
          <w:i/>
        </w:rPr>
        <w:t>Anomaly:</w:t>
      </w:r>
      <w:r>
        <w:rPr>
          <w:b w:val="0"/>
          <w:i w:val="0"/>
        </w:rPr>
        <w:t xml:space="preserve"> Segmentation theory assumes preferences are independent and exogenous. Under political polarization, a growing share of demand is </w:t>
      </w:r>
      <w:r>
        <w:rPr>
          <w:b w:val="0"/>
          <w:i/>
        </w:rPr>
        <w:t>oppositional</w:t>
      </w:r>
      <w:r>
        <w:rPr>
          <w:b w:val="0"/>
          <w:i w:val="0"/>
        </w:rPr>
        <w:t xml:space="preserve"> — consumers choose against what an out-group chooses, making preferences endogenous to others' consumption and rendering brand positioning a zero-sum identity contest. </w:t>
      </w:r>
      <w:r>
        <w:rPr>
          <w:b w:val="0"/>
          <w:i/>
        </w:rPr>
        <w:t>Contribution:</w:t>
      </w:r>
      <w:r>
        <w:rPr>
          <w:b w:val="0"/>
          <w:i w:val="0"/>
        </w:rPr>
        <w:t xml:space="preserve"> a theory of negative-identity segmentation and identity-contaminated demand, with implications for optimal positioning, distribution, and portfolio separation. Not another brand-activism study — the unit is market structure, not attitude. </w:t>
      </w:r>
      <w:r>
        <w:rPr>
          <w:b w:val="0"/>
          <w:i/>
        </w:rPr>
        <w:t>Journals:</w:t>
      </w:r>
      <w:r>
        <w:rPr>
          <w:b w:val="0"/>
          <w:i w:val="0"/>
        </w:rPr>
        <w:t xml:space="preserve"> JM, JMR, Marketing Science, SMJ. </w:t>
      </w:r>
      <w:r>
        <w:rPr>
          <w:b w:val="0"/>
          <w:i/>
        </w:rPr>
        <w:t>Novelty:</w:t>
      </w:r>
      <w:r>
        <w:rPr>
          <w:b w:val="0"/>
          <w:i w:val="0"/>
        </w:rPr>
        <w:t xml:space="preserve"> Medium-High. </w:t>
      </w:r>
      <w:r>
        <w:rPr>
          <w:b w:val="0"/>
          <w:i/>
        </w:rPr>
        <w:t>Saturation warning:</w:t>
      </w:r>
      <w:r>
        <w:rPr>
          <w:b w:val="0"/>
          <w:i w:val="0"/>
        </w:rPr>
        <w:t xml:space="preserve"> the brand-activism adjacency is crowded; survival depends on making market structure, not consumer attitude, the dependent variable.</w:t>
      </w:r>
    </w:p>
    <w:p>
      <w:r>
        <w:rPr>
          <w:b/>
          <w:i w:val="0"/>
        </w:rPr>
        <w:t>W2. Epistemic Identity: Why Correction Backfires in Low-Trust Health Markets.</w:t>
      </w:r>
      <w:r>
        <w:rPr>
          <w:b w:val="0"/>
          <w:i w:val="0"/>
        </w:rPr>
        <w:t xml:space="preserve"> </w:t>
      </w:r>
      <w:r>
        <w:rPr>
          <w:b w:val="0"/>
          <w:i/>
        </w:rPr>
        <w:t>Anomaly:</w:t>
      </w:r>
      <w:r>
        <w:rPr>
          <w:b w:val="0"/>
          <w:i w:val="0"/>
        </w:rPr>
        <w:t xml:space="preserve"> Inoculation and correction research assumes accurate belief is the consumer's goal and institutional expertise is a credible source. Where institutional trust has collapsed, authoritative correction </w:t>
      </w:r>
      <w:r>
        <w:rPr>
          <w:b w:val="0"/>
          <w:i/>
        </w:rPr>
        <w:t>strengthens</w:t>
      </w:r>
      <w:r>
        <w:rPr>
          <w:b w:val="0"/>
          <w:i w:val="0"/>
        </w:rPr>
        <w:t xml:space="preserve"> the false belief because the belief is doing identity work. </w:t>
      </w:r>
      <w:r>
        <w:rPr>
          <w:b w:val="0"/>
          <w:i/>
        </w:rPr>
        <w:t>Contribution:</w:t>
      </w:r>
      <w:r>
        <w:rPr>
          <w:b w:val="0"/>
          <w:i w:val="0"/>
        </w:rPr>
        <w:t xml:space="preserve"> a theory of belief-as-consumption, in which health and product beliefs are held for identity-signalling rather than epistemic reasons, predicting which corrections backfire and why peer- and market-mediated correction outperforms authority. </w:t>
      </w:r>
      <w:r>
        <w:rPr>
          <w:b w:val="0"/>
          <w:i/>
        </w:rPr>
        <w:t>Journals:</w:t>
      </w:r>
      <w:r>
        <w:rPr>
          <w:b w:val="0"/>
          <w:i w:val="0"/>
        </w:rPr>
        <w:t xml:space="preserve"> JCR, JM, JPPM, Management Science. </w:t>
      </w:r>
      <w:r>
        <w:rPr>
          <w:b w:val="0"/>
          <w:i/>
        </w:rPr>
        <w:t>Novelty:</w:t>
      </w:r>
      <w:r>
        <w:rPr>
          <w:b w:val="0"/>
          <w:i w:val="0"/>
        </w:rPr>
        <w:t xml:space="preserve"> Medium-High. </w:t>
      </w:r>
      <w:r>
        <w:rPr>
          <w:b w:val="0"/>
          <w:i/>
        </w:rPr>
        <w:t>Saturation warning:</w:t>
      </w:r>
      <w:r>
        <w:rPr>
          <w:b w:val="0"/>
          <w:i w:val="0"/>
        </w:rPr>
        <w:t xml:space="preserve"> misinformation is a fashionable area; the identity-function framing is the differentiator.</w:t>
      </w:r>
    </w:p>
    <w:p>
      <w:r>
        <w:rPr>
          <w:b/>
          <w:i w:val="0"/>
        </w:rPr>
        <w:t>W3. The Retail Modernization–Nutrition Paradox in Emerging Markets.</w:t>
      </w:r>
      <w:r>
        <w:rPr>
          <w:b w:val="0"/>
          <w:i w:val="0"/>
        </w:rPr>
        <w:t xml:space="preserve"> </w:t>
      </w:r>
      <w:r>
        <w:rPr>
          <w:b w:val="0"/>
          <w:i/>
        </w:rPr>
        <w:t>Anomaly:</w:t>
      </w:r>
      <w:r>
        <w:rPr>
          <w:b w:val="0"/>
          <w:i w:val="0"/>
        </w:rPr>
        <w:t xml:space="preserve"> Channel and retailing theory treats modern-format penetration as welfare-improving via assortment, price, and safety. In middle-income countries it is simultaneously the primary vector for ultra-processed food availability, and the health cost may exceed the access benefit. </w:t>
      </w:r>
      <w:r>
        <w:rPr>
          <w:b w:val="0"/>
          <w:i/>
        </w:rPr>
        <w:t>Contribution:</w:t>
      </w:r>
      <w:r>
        <w:rPr>
          <w:b w:val="0"/>
          <w:i w:val="0"/>
        </w:rPr>
        <w:t xml:space="preserve"> a theory of </w:t>
      </w:r>
      <w:r>
        <w:rPr>
          <w:b w:val="0"/>
          <w:i/>
        </w:rPr>
        <w:t>channel-mediated consumption externalities</w:t>
      </w:r>
      <w:r>
        <w:rPr>
          <w:b w:val="0"/>
          <w:i w:val="0"/>
        </w:rPr>
        <w:t xml:space="preserve"> — how distribution structure, not just marketing communication, determines population diet — extending channel theory to public-health outcomes. </w:t>
      </w:r>
      <w:r>
        <w:rPr>
          <w:b w:val="0"/>
          <w:i/>
        </w:rPr>
        <w:t>Journals:</w:t>
      </w:r>
      <w:r>
        <w:rPr>
          <w:b w:val="0"/>
          <w:i w:val="0"/>
        </w:rPr>
        <w:t xml:space="preserve"> JM, JPPM, Journal of Retailing, JAMS. </w:t>
      </w:r>
      <w:r>
        <w:rPr>
          <w:b w:val="0"/>
          <w:i/>
        </w:rPr>
        <w:t>Novelty:</w:t>
      </w:r>
      <w:r>
        <w:rPr>
          <w:b w:val="0"/>
          <w:i w:val="0"/>
        </w:rPr>
        <w:t xml:space="preserve"> Medium-High. </w:t>
      </w:r>
      <w:r>
        <w:rPr>
          <w:b w:val="0"/>
          <w:i/>
        </w:rPr>
        <w:t>Best settings:</w:t>
      </w:r>
      <w:r>
        <w:rPr>
          <w:b w:val="0"/>
          <w:i w:val="0"/>
        </w:rPr>
        <w:t xml:space="preserve"> Mexico, Brazil, India, Indonesia, South Africa, Egypt.</w:t>
      </w:r>
    </w:p>
    <w:p>
      <w:r>
        <w:rPr>
          <w:b/>
          <w:i w:val="0"/>
        </w:rPr>
        <w:t>W4. Innovating for Longevity: Innovation Theory Without Obsolescence.</w:t>
      </w:r>
      <w:r>
        <w:rPr>
          <w:b w:val="0"/>
          <w:i w:val="0"/>
        </w:rPr>
        <w:t xml:space="preserve"> </w:t>
      </w:r>
      <w:r>
        <w:rPr>
          <w:b w:val="0"/>
          <w:i/>
        </w:rPr>
        <w:t>Anomaly:</w:t>
      </w:r>
      <w:r>
        <w:rPr>
          <w:b w:val="0"/>
          <w:i w:val="0"/>
        </w:rPr>
        <w:t xml:space="preserve"> Innovation theory is built on replacement — product life cycles, generational upgrades, and the diffusion of the new. Durability and repairability requirements ask firms to innovate in ways that </w:t>
      </w:r>
      <w:r>
        <w:rPr>
          <w:b w:val="0"/>
          <w:i/>
        </w:rPr>
        <w:t>reduce</w:t>
      </w:r>
      <w:r>
        <w:rPr>
          <w:b w:val="0"/>
          <w:i w:val="0"/>
        </w:rPr>
        <w:t xml:space="preserve"> future sales, which the appropriability logic of innovation research cannot rationalize. </w:t>
      </w:r>
      <w:r>
        <w:rPr>
          <w:b w:val="0"/>
          <w:i/>
        </w:rPr>
        <w:t>Contribution:</w:t>
      </w:r>
      <w:r>
        <w:rPr>
          <w:b w:val="0"/>
          <w:i w:val="0"/>
        </w:rPr>
        <w:t xml:space="preserve"> a theory of longevity-oriented innovation and its appropriability regime; how firms capture returns from innovation that suppresses replacement demand. Pairs naturally with Opportunities 1 and 8. </w:t>
      </w:r>
      <w:r>
        <w:rPr>
          <w:b w:val="0"/>
          <w:i/>
        </w:rPr>
        <w:t>Journals:</w:t>
      </w:r>
      <w:r>
        <w:rPr>
          <w:b w:val="0"/>
          <w:i w:val="0"/>
        </w:rPr>
        <w:t xml:space="preserve"> Research Policy, Management Science, Journal of Product Innovation Management (non-FT50 fallback), SMJ, POM. </w:t>
      </w:r>
      <w:r>
        <w:rPr>
          <w:b w:val="0"/>
          <w:i/>
        </w:rPr>
        <w:t>Novelty:</w:t>
      </w:r>
      <w:r>
        <w:rPr>
          <w:b w:val="0"/>
          <w:i w:val="0"/>
        </w:rPr>
        <w:t xml:space="preserve"> High. </w:t>
      </w:r>
      <w:r>
        <w:rPr>
          <w:b w:val="0"/>
          <w:i/>
        </w:rPr>
        <w:t>Reason it is on the watchlist rather than the main list:</w:t>
      </w:r>
      <w:r>
        <w:rPr>
          <w:b w:val="0"/>
          <w:i w:val="0"/>
        </w:rPr>
        <w:t xml:space="preserve"> it is best executed as the innovation-side companion to Opportunity 1 rather than standalone.</w:t>
      </w:r>
    </w:p>
    <w:p>
      <w:r>
        <w:rPr>
          <w:b/>
          <w:i w:val="0"/>
        </w:rPr>
        <w:t>W5. Consumption Under Forced Displacement: Acculturation Without Choice.</w:t>
      </w:r>
      <w:r>
        <w:rPr>
          <w:b w:val="0"/>
          <w:i w:val="0"/>
        </w:rPr>
        <w:t xml:space="preserve"> </w:t>
      </w:r>
      <w:r>
        <w:rPr>
          <w:b w:val="0"/>
          <w:i/>
        </w:rPr>
        <w:t>Anomaly:</w:t>
      </w:r>
      <w:r>
        <w:rPr>
          <w:b w:val="0"/>
          <w:i w:val="0"/>
        </w:rPr>
        <w:t xml:space="preserve"> Consumer acculturation theory was developed for voluntary migrants with an expectation of permanence and some agency over identity negotiation. Forced displacement — record refugee and climate-displaced populations, often in protracted temporary status — removes both, producing identity strategies acculturation theory does not predict, plus market systems (camp economies, aid vouchers, remittance-dependent consumption) with no established theoretical treatment. </w:t>
      </w:r>
      <w:r>
        <w:rPr>
          <w:b w:val="0"/>
          <w:i/>
        </w:rPr>
        <w:t>Contribution:</w:t>
      </w:r>
      <w:r>
        <w:rPr>
          <w:b w:val="0"/>
          <w:i w:val="0"/>
        </w:rPr>
        <w:t xml:space="preserve"> a theory of suspended consumer identity and provisional market systems. </w:t>
      </w:r>
      <w:r>
        <w:rPr>
          <w:b w:val="0"/>
          <w:i/>
        </w:rPr>
        <w:t>Journals:</w:t>
      </w:r>
      <w:r>
        <w:rPr>
          <w:b w:val="0"/>
          <w:i w:val="0"/>
        </w:rPr>
        <w:t xml:space="preserve"> JCR, JM, JPPM, JIBS. </w:t>
      </w:r>
      <w:r>
        <w:rPr>
          <w:b w:val="0"/>
          <w:i/>
        </w:rPr>
        <w:t>Novelty:</w:t>
      </w:r>
      <w:r>
        <w:rPr>
          <w:b w:val="0"/>
          <w:i w:val="0"/>
        </w:rPr>
        <w:t xml:space="preserve"> High. </w:t>
      </w:r>
      <w:r>
        <w:rPr>
          <w:b w:val="0"/>
          <w:i/>
        </w:rPr>
        <w:t>Reason for watchlist:</w:t>
      </w:r>
      <w:r>
        <w:rPr>
          <w:b w:val="0"/>
          <w:i w:val="0"/>
        </w:rPr>
        <w:t xml:space="preserve"> access, ethics, and IRB complexity make execution risk very high; best pursued with an established humanitarian research partner.</w:t>
      </w:r>
    </w:p>
    <w:p>
      <w:r>
        <w:rPr>
          <w:b/>
          <w:i w:val="0"/>
        </w:rPr>
        <w:t>W6. Perpetual Payment: Ownership Erosion in Subscription and Connected Products.</w:t>
      </w:r>
      <w:r>
        <w:rPr>
          <w:b w:val="0"/>
          <w:i w:val="0"/>
        </w:rPr>
        <w:t xml:space="preserve"> </w:t>
      </w:r>
      <w:r>
        <w:rPr>
          <w:b w:val="0"/>
          <w:i/>
        </w:rPr>
        <w:t>Anomaly:</w:t>
      </w:r>
      <w:r>
        <w:rPr>
          <w:b w:val="0"/>
          <w:i w:val="0"/>
        </w:rPr>
        <w:t xml:space="preserve"> Consumers increasingly pay indefinitely for things they never own, and firms retain the ability to alter or disable products post-purchase (feature removal, remote deactivation, subscription-gated hardware capability). Psychological ownership and endowment effect theory predict strong reactions; contract and consumer-protection frameworks assume ownership is settled at purchase. </w:t>
      </w:r>
      <w:r>
        <w:rPr>
          <w:b w:val="0"/>
          <w:i/>
        </w:rPr>
        <w:t>Contribution:</w:t>
      </w:r>
      <w:r>
        <w:rPr>
          <w:b w:val="0"/>
          <w:i w:val="0"/>
        </w:rPr>
        <w:t xml:space="preserve"> a theory of ownership erosion and </w:t>
      </w:r>
      <w:r>
        <w:rPr>
          <w:b w:val="0"/>
          <w:i/>
        </w:rPr>
        <w:t>retroactive value expropriation</w:t>
      </w:r>
      <w:r>
        <w:rPr>
          <w:b w:val="0"/>
          <w:i w:val="0"/>
        </w:rPr>
        <w:t xml:space="preserve">, and its consequences for trust, brand betrayal, and willingness to pay for permanence. </w:t>
      </w:r>
      <w:r>
        <w:rPr>
          <w:b w:val="0"/>
          <w:i/>
        </w:rPr>
        <w:t>Journals:</w:t>
      </w:r>
      <w:r>
        <w:rPr>
          <w:b w:val="0"/>
          <w:i w:val="0"/>
        </w:rPr>
        <w:t xml:space="preserve"> JCR, JMR, JM, JPPM, Marketing Science. </w:t>
      </w:r>
      <w:r>
        <w:rPr>
          <w:b w:val="0"/>
          <w:i/>
        </w:rPr>
        <w:t>Novelty:</w:t>
      </w:r>
      <w:r>
        <w:rPr>
          <w:b w:val="0"/>
          <w:i w:val="0"/>
        </w:rPr>
        <w:t xml:space="preserve"> Medium-High. </w:t>
      </w:r>
      <w:r>
        <w:rPr>
          <w:b w:val="0"/>
          <w:i/>
        </w:rPr>
        <w:t>Note:</w:t>
      </w:r>
      <w:r>
        <w:rPr>
          <w:b w:val="0"/>
          <w:i w:val="0"/>
        </w:rPr>
        <w:t xml:space="preserve"> this is the mirror image of Opportunity 8 and is strongest when theorized jointly with it as a single sovereignty framework.</w:t>
      </w:r>
    </w:p>
    <w:p>
      <w:pPr>
        <w:pStyle w:val="Heading2"/>
      </w:pPr>
      <w:r>
        <w:rPr>
          <w:b w:val="0"/>
          <w:i w:val="0"/>
          <w:color w:val="1A1A1A"/>
        </w:rPr>
        <w:t>Part IV — Ranking and FT50 Publication Potential Scores</w:t>
      </w:r>
    </w:p>
    <w:p>
      <w:r>
        <w:rPr>
          <w:b/>
          <w:i w:val="0"/>
        </w:rPr>
        <w:t>Scoring weights (editor's expected-contribution function):</w:t>
      </w:r>
      <w:r>
        <w:rPr>
          <w:b w:val="0"/>
          <w:i w:val="0"/>
        </w:rPr>
        <w:t xml:space="preserve"> Novelty </w:t>
      </w:r>
      <w:r>
        <w:rPr>
          <w:b/>
          <w:i w:val="0"/>
        </w:rPr>
        <w:t>25</w:t>
      </w:r>
      <w:r>
        <w:rPr>
          <w:b w:val="0"/>
          <w:i w:val="0"/>
        </w:rPr>
        <w:t xml:space="preserve"> · Theory Gap </w:t>
      </w:r>
      <w:r>
        <w:rPr>
          <w:b/>
          <w:i w:val="0"/>
        </w:rPr>
        <w:t>25</w:t>
      </w:r>
      <w:r>
        <w:rPr>
          <w:b w:val="0"/>
          <w:i w:val="0"/>
        </w:rPr>
        <w:t xml:space="preserve"> · Managerial Impact </w:t>
      </w:r>
      <w:r>
        <w:rPr>
          <w:b/>
          <w:i w:val="0"/>
        </w:rPr>
        <w:t>15</w:t>
      </w:r>
      <w:r>
        <w:rPr>
          <w:b w:val="0"/>
          <w:i w:val="0"/>
        </w:rPr>
        <w:t xml:space="preserve"> · Societal Impact </w:t>
      </w:r>
      <w:r>
        <w:rPr>
          <w:b/>
          <w:i w:val="0"/>
        </w:rPr>
        <w:t>15</w:t>
      </w:r>
      <w:r>
        <w:rPr>
          <w:b w:val="0"/>
          <w:i w:val="0"/>
        </w:rPr>
        <w:t xml:space="preserve"> · Likelihood of FT50 Publication </w:t>
      </w:r>
      <w:r>
        <w:rPr>
          <w:b/>
          <w:i w:val="0"/>
        </w:rPr>
        <w:t>20</w:t>
      </w:r>
      <w:r>
        <w:rPr>
          <w:b w:val="0"/>
          <w:i w:val="0"/>
        </w:rPr>
        <w:t xml:space="preserve"> = </w:t>
      </w:r>
      <w:r>
        <w:rPr>
          <w:b/>
          <w:i w:val="0"/>
        </w:rPr>
        <w:t>100</w:t>
      </w:r>
    </w:p>
    <w:p>
      <w:r>
        <w:rPr>
          <w:b w:val="0"/>
          <w:i/>
        </w:rPr>
        <w:t>Note on the likelihood dimension:</w:t>
      </w:r>
      <w:r>
        <w:rPr>
          <w:b w:val="0"/>
          <w:i w:val="0"/>
        </w:rPr>
        <w:t xml:space="preserve"> it is scored as the probability that a competently executed project reaches an FT50 acceptance, which penalizes projects with severe data-access, identification, or reviewer-resistance risk. Deliberately, the highest-novelty items do </w:t>
      </w:r>
      <w:r>
        <w:rPr>
          <w:b/>
          <w:i w:val="0"/>
        </w:rPr>
        <w:t>not</w:t>
      </w:r>
      <w:r>
        <w:rPr>
          <w:b w:val="0"/>
          <w:i w:val="0"/>
        </w:rPr>
        <w:t xml:space="preserve"> score highest on likelihood — that tension is the real portfolio problem for any researcher.</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8"/>
              </w:rPr>
            </w:r>
            <w:r>
              <w:rPr>
                <w:b/>
                <w:i w:val="0"/>
                <w:sz w:val="18"/>
              </w:rPr>
              <w:t>Rank</w:t>
            </w:r>
          </w:p>
        </w:tc>
        <w:tc>
          <w:tcPr>
            <w:tcW w:type="dxa" w:w="1080"/>
          </w:tcPr>
          <w:p>
            <w:r>
              <w:rPr>
                <w:b/>
                <w:sz w:val="18"/>
              </w:rPr>
            </w:r>
            <w:r>
              <w:rPr>
                <w:b/>
                <w:i w:val="0"/>
                <w:sz w:val="18"/>
              </w:rPr>
              <w:t>Opportunity</w:t>
            </w:r>
          </w:p>
        </w:tc>
        <w:tc>
          <w:tcPr>
            <w:tcW w:type="dxa" w:w="1080"/>
          </w:tcPr>
          <w:p>
            <w:r>
              <w:rPr>
                <w:b/>
                <w:sz w:val="18"/>
              </w:rPr>
            </w:r>
            <w:r>
              <w:rPr>
                <w:b/>
                <w:i w:val="0"/>
                <w:sz w:val="18"/>
              </w:rPr>
              <w:t>Novelty /25</w:t>
            </w:r>
          </w:p>
        </w:tc>
        <w:tc>
          <w:tcPr>
            <w:tcW w:type="dxa" w:w="1080"/>
          </w:tcPr>
          <w:p>
            <w:r>
              <w:rPr>
                <w:b/>
                <w:sz w:val="18"/>
              </w:rPr>
            </w:r>
            <w:r>
              <w:rPr>
                <w:b/>
                <w:i w:val="0"/>
                <w:sz w:val="18"/>
              </w:rPr>
              <w:t>Theory Gap /25</w:t>
            </w:r>
          </w:p>
        </w:tc>
        <w:tc>
          <w:tcPr>
            <w:tcW w:type="dxa" w:w="1080"/>
          </w:tcPr>
          <w:p>
            <w:r>
              <w:rPr>
                <w:b/>
                <w:sz w:val="18"/>
              </w:rPr>
            </w:r>
            <w:r>
              <w:rPr>
                <w:b/>
                <w:i w:val="0"/>
                <w:sz w:val="18"/>
              </w:rPr>
              <w:t>Managerial /15</w:t>
            </w:r>
          </w:p>
        </w:tc>
        <w:tc>
          <w:tcPr>
            <w:tcW w:type="dxa" w:w="1080"/>
          </w:tcPr>
          <w:p>
            <w:r>
              <w:rPr>
                <w:b/>
                <w:sz w:val="18"/>
              </w:rPr>
            </w:r>
            <w:r>
              <w:rPr>
                <w:b/>
                <w:i w:val="0"/>
                <w:sz w:val="18"/>
              </w:rPr>
              <w:t>Societal /15</w:t>
            </w:r>
          </w:p>
        </w:tc>
        <w:tc>
          <w:tcPr>
            <w:tcW w:type="dxa" w:w="1080"/>
          </w:tcPr>
          <w:p>
            <w:r>
              <w:rPr>
                <w:b/>
                <w:sz w:val="18"/>
              </w:rPr>
            </w:r>
            <w:r>
              <w:rPr>
                <w:b/>
                <w:i w:val="0"/>
                <w:sz w:val="18"/>
              </w:rPr>
              <w:t>FT50 Likelihood /20</w:t>
            </w:r>
          </w:p>
        </w:tc>
        <w:tc>
          <w:tcPr>
            <w:tcW w:type="dxa" w:w="1080"/>
          </w:tcPr>
          <w:p>
            <w:r>
              <w:rPr>
                <w:b/>
                <w:sz w:val="18"/>
              </w:rPr>
            </w:r>
            <w:r>
              <w:rPr>
                <w:b/>
                <w:i w:val="0"/>
                <w:sz w:val="18"/>
              </w:rPr>
              <w:t>Total /100</w:t>
            </w:r>
          </w:p>
        </w:tc>
      </w:tr>
      <w:tr>
        <w:tc>
          <w:tcPr>
            <w:tcW w:type="dxa" w:w="1080"/>
          </w:tcPr>
          <w:p>
            <w:r>
              <w:rPr>
                <w:sz w:val="18"/>
              </w:rPr>
            </w:r>
            <w:r>
              <w:rPr>
                <w:b w:val="0"/>
                <w:i w:val="0"/>
                <w:sz w:val="18"/>
              </w:rPr>
              <w:t>1</w:t>
            </w:r>
          </w:p>
        </w:tc>
        <w:tc>
          <w:tcPr>
            <w:tcW w:type="dxa" w:w="1080"/>
          </w:tcPr>
          <w:p>
            <w:r>
              <w:rPr>
                <w:sz w:val="18"/>
              </w:rPr>
            </w:r>
            <w:r>
              <w:rPr>
                <w:b/>
                <w:i w:val="0"/>
                <w:sz w:val="18"/>
              </w:rPr>
              <w:t>#5 Proxy Consumption Agency</w:t>
            </w:r>
            <w:r>
              <w:rPr>
                <w:b w:val="0"/>
                <w:i w:val="0"/>
                <w:sz w:val="18"/>
              </w:rPr>
              <w:t xml:space="preserve"> (aging, caregiving)</w:t>
            </w:r>
          </w:p>
        </w:tc>
        <w:tc>
          <w:tcPr>
            <w:tcW w:type="dxa" w:w="1080"/>
          </w:tcPr>
          <w:p>
            <w:r>
              <w:rPr>
                <w:sz w:val="18"/>
              </w:rPr>
            </w:r>
            <w:r>
              <w:rPr>
                <w:b w:val="0"/>
                <w:i w:val="0"/>
                <w:sz w:val="18"/>
              </w:rPr>
              <w:t>23</w:t>
            </w:r>
          </w:p>
        </w:tc>
        <w:tc>
          <w:tcPr>
            <w:tcW w:type="dxa" w:w="1080"/>
          </w:tcPr>
          <w:p>
            <w:r>
              <w:rPr>
                <w:sz w:val="18"/>
              </w:rPr>
            </w:r>
            <w:r>
              <w:rPr>
                <w:b w:val="0"/>
                <w:i w:val="0"/>
                <w:sz w:val="18"/>
              </w:rPr>
              <w:t>23</w:t>
            </w:r>
          </w:p>
        </w:tc>
        <w:tc>
          <w:tcPr>
            <w:tcW w:type="dxa" w:w="1080"/>
          </w:tcPr>
          <w:p>
            <w:r>
              <w:rPr>
                <w:sz w:val="18"/>
              </w:rPr>
            </w:r>
            <w:r>
              <w:rPr>
                <w:b w:val="0"/>
                <w:i w:val="0"/>
                <w:sz w:val="18"/>
              </w:rPr>
              <w:t>13</w:t>
            </w:r>
          </w:p>
        </w:tc>
        <w:tc>
          <w:tcPr>
            <w:tcW w:type="dxa" w:w="1080"/>
          </w:tcPr>
          <w:p>
            <w:r>
              <w:rPr>
                <w:sz w:val="18"/>
              </w:rPr>
            </w:r>
            <w:r>
              <w:rPr>
                <w:b w:val="0"/>
                <w:i w:val="0"/>
                <w:sz w:val="18"/>
              </w:rPr>
              <w:t>15</w:t>
            </w:r>
          </w:p>
        </w:tc>
        <w:tc>
          <w:tcPr>
            <w:tcW w:type="dxa" w:w="1080"/>
          </w:tcPr>
          <w:p>
            <w:r>
              <w:rPr>
                <w:sz w:val="18"/>
              </w:rPr>
            </w:r>
            <w:r>
              <w:rPr>
                <w:b w:val="0"/>
                <w:i w:val="0"/>
                <w:sz w:val="18"/>
              </w:rPr>
              <w:t>18</w:t>
            </w:r>
          </w:p>
        </w:tc>
        <w:tc>
          <w:tcPr>
            <w:tcW w:type="dxa" w:w="1080"/>
          </w:tcPr>
          <w:p>
            <w:r>
              <w:rPr>
                <w:sz w:val="18"/>
              </w:rPr>
            </w:r>
            <w:r>
              <w:rPr>
                <w:b/>
                <w:i w:val="0"/>
                <w:sz w:val="18"/>
              </w:rPr>
              <w:t>92</w:t>
            </w:r>
          </w:p>
        </w:tc>
      </w:tr>
      <w:tr>
        <w:tc>
          <w:tcPr>
            <w:tcW w:type="dxa" w:w="1080"/>
          </w:tcPr>
          <w:p>
            <w:r>
              <w:rPr>
                <w:sz w:val="18"/>
              </w:rPr>
            </w:r>
            <w:r>
              <w:rPr>
                <w:b w:val="0"/>
                <w:i w:val="0"/>
                <w:sz w:val="18"/>
              </w:rPr>
              <w:t>2</w:t>
            </w:r>
          </w:p>
        </w:tc>
        <w:tc>
          <w:tcPr>
            <w:tcW w:type="dxa" w:w="1080"/>
          </w:tcPr>
          <w:p>
            <w:r>
              <w:rPr>
                <w:sz w:val="18"/>
              </w:rPr>
            </w:r>
            <w:r>
              <w:rPr>
                <w:b/>
                <w:i w:val="0"/>
                <w:sz w:val="18"/>
              </w:rPr>
              <w:t>#2 Institutional Retrenchment</w:t>
            </w:r>
            <w:r>
              <w:rPr>
                <w:b w:val="0"/>
                <w:i w:val="0"/>
                <w:sz w:val="18"/>
              </w:rPr>
              <w:t xml:space="preserve"> (markets de-forming)</w:t>
            </w:r>
          </w:p>
        </w:tc>
        <w:tc>
          <w:tcPr>
            <w:tcW w:type="dxa" w:w="1080"/>
          </w:tcPr>
          <w:p>
            <w:r>
              <w:rPr>
                <w:sz w:val="18"/>
              </w:rPr>
            </w:r>
            <w:r>
              <w:rPr>
                <w:b w:val="0"/>
                <w:i w:val="0"/>
                <w:sz w:val="18"/>
              </w:rPr>
              <w:t>24</w:t>
            </w:r>
          </w:p>
        </w:tc>
        <w:tc>
          <w:tcPr>
            <w:tcW w:type="dxa" w:w="1080"/>
          </w:tcPr>
          <w:p>
            <w:r>
              <w:rPr>
                <w:sz w:val="18"/>
              </w:rPr>
            </w:r>
            <w:r>
              <w:rPr>
                <w:b w:val="0"/>
                <w:i w:val="0"/>
                <w:sz w:val="18"/>
              </w:rPr>
              <w:t>24</w:t>
            </w:r>
          </w:p>
        </w:tc>
        <w:tc>
          <w:tcPr>
            <w:tcW w:type="dxa" w:w="1080"/>
          </w:tcPr>
          <w:p>
            <w:r>
              <w:rPr>
                <w:sz w:val="18"/>
              </w:rPr>
            </w:r>
            <w:r>
              <w:rPr>
                <w:b w:val="0"/>
                <w:i w:val="0"/>
                <w:sz w:val="18"/>
              </w:rPr>
              <w:t>13</w:t>
            </w:r>
          </w:p>
        </w:tc>
        <w:tc>
          <w:tcPr>
            <w:tcW w:type="dxa" w:w="1080"/>
          </w:tcPr>
          <w:p>
            <w:r>
              <w:rPr>
                <w:sz w:val="18"/>
              </w:rPr>
            </w:r>
            <w:r>
              <w:rPr>
                <w:b w:val="0"/>
                <w:i w:val="0"/>
                <w:sz w:val="18"/>
              </w:rPr>
              <w:t>15</w:t>
            </w:r>
          </w:p>
        </w:tc>
        <w:tc>
          <w:tcPr>
            <w:tcW w:type="dxa" w:w="1080"/>
          </w:tcPr>
          <w:p>
            <w:r>
              <w:rPr>
                <w:sz w:val="18"/>
              </w:rPr>
            </w:r>
            <w:r>
              <w:rPr>
                <w:b w:val="0"/>
                <w:i w:val="0"/>
                <w:sz w:val="18"/>
              </w:rPr>
              <w:t>16</w:t>
            </w:r>
          </w:p>
        </w:tc>
        <w:tc>
          <w:tcPr>
            <w:tcW w:type="dxa" w:w="1080"/>
          </w:tcPr>
          <w:p>
            <w:r>
              <w:rPr>
                <w:sz w:val="18"/>
              </w:rPr>
            </w:r>
            <w:r>
              <w:rPr>
                <w:b/>
                <w:i w:val="0"/>
                <w:sz w:val="18"/>
              </w:rPr>
              <w:t>92</w:t>
            </w:r>
          </w:p>
        </w:tc>
      </w:tr>
      <w:tr>
        <w:tc>
          <w:tcPr>
            <w:tcW w:type="dxa" w:w="1080"/>
          </w:tcPr>
          <w:p>
            <w:r>
              <w:rPr>
                <w:sz w:val="18"/>
              </w:rPr>
            </w:r>
            <w:r>
              <w:rPr>
                <w:b w:val="0"/>
                <w:i w:val="0"/>
                <w:sz w:val="18"/>
              </w:rPr>
              <w:t>3</w:t>
            </w:r>
          </w:p>
        </w:tc>
        <w:tc>
          <w:tcPr>
            <w:tcW w:type="dxa" w:w="1080"/>
          </w:tcPr>
          <w:p>
            <w:r>
              <w:rPr>
                <w:sz w:val="18"/>
              </w:rPr>
            </w:r>
            <w:r>
              <w:rPr>
                <w:b/>
                <w:i w:val="0"/>
                <w:sz w:val="18"/>
              </w:rPr>
              <w:t>#6 Recipient-Side Supply Chain Justice</w:t>
            </w:r>
          </w:p>
        </w:tc>
        <w:tc>
          <w:tcPr>
            <w:tcW w:type="dxa" w:w="1080"/>
          </w:tcPr>
          <w:p>
            <w:r>
              <w:rPr>
                <w:sz w:val="18"/>
              </w:rPr>
            </w:r>
            <w:r>
              <w:rPr>
                <w:b w:val="0"/>
                <w:i w:val="0"/>
                <w:sz w:val="18"/>
              </w:rPr>
              <w:t>22</w:t>
            </w:r>
          </w:p>
        </w:tc>
        <w:tc>
          <w:tcPr>
            <w:tcW w:type="dxa" w:w="1080"/>
          </w:tcPr>
          <w:p>
            <w:r>
              <w:rPr>
                <w:sz w:val="18"/>
              </w:rPr>
            </w:r>
            <w:r>
              <w:rPr>
                <w:b w:val="0"/>
                <w:i w:val="0"/>
                <w:sz w:val="18"/>
              </w:rPr>
              <w:t>23</w:t>
            </w:r>
          </w:p>
        </w:tc>
        <w:tc>
          <w:tcPr>
            <w:tcW w:type="dxa" w:w="1080"/>
          </w:tcPr>
          <w:p>
            <w:r>
              <w:rPr>
                <w:sz w:val="18"/>
              </w:rPr>
            </w:r>
            <w:r>
              <w:rPr>
                <w:b w:val="0"/>
                <w:i w:val="0"/>
                <w:sz w:val="18"/>
              </w:rPr>
              <w:t>13</w:t>
            </w:r>
          </w:p>
        </w:tc>
        <w:tc>
          <w:tcPr>
            <w:tcW w:type="dxa" w:w="1080"/>
          </w:tcPr>
          <w:p>
            <w:r>
              <w:rPr>
                <w:sz w:val="18"/>
              </w:rPr>
            </w:r>
            <w:r>
              <w:rPr>
                <w:b w:val="0"/>
                <w:i w:val="0"/>
                <w:sz w:val="18"/>
              </w:rPr>
              <w:t>15</w:t>
            </w:r>
          </w:p>
        </w:tc>
        <w:tc>
          <w:tcPr>
            <w:tcW w:type="dxa" w:w="1080"/>
          </w:tcPr>
          <w:p>
            <w:r>
              <w:rPr>
                <w:sz w:val="18"/>
              </w:rPr>
            </w:r>
            <w:r>
              <w:rPr>
                <w:b w:val="0"/>
                <w:i w:val="0"/>
                <w:sz w:val="18"/>
              </w:rPr>
              <w:t>17</w:t>
            </w:r>
          </w:p>
        </w:tc>
        <w:tc>
          <w:tcPr>
            <w:tcW w:type="dxa" w:w="1080"/>
          </w:tcPr>
          <w:p>
            <w:r>
              <w:rPr>
                <w:sz w:val="18"/>
              </w:rPr>
            </w:r>
            <w:r>
              <w:rPr>
                <w:b/>
                <w:i w:val="0"/>
                <w:sz w:val="18"/>
              </w:rPr>
              <w:t>90</w:t>
            </w:r>
          </w:p>
        </w:tc>
      </w:tr>
      <w:tr>
        <w:tc>
          <w:tcPr>
            <w:tcW w:type="dxa" w:w="1080"/>
          </w:tcPr>
          <w:p>
            <w:r>
              <w:rPr>
                <w:sz w:val="18"/>
              </w:rPr>
            </w:r>
            <w:r>
              <w:rPr>
                <w:b w:val="0"/>
                <w:i w:val="0"/>
                <w:sz w:val="18"/>
              </w:rPr>
              <w:t>4</w:t>
            </w:r>
          </w:p>
        </w:tc>
        <w:tc>
          <w:tcPr>
            <w:tcW w:type="dxa" w:w="1080"/>
          </w:tcPr>
          <w:p>
            <w:r>
              <w:rPr>
                <w:sz w:val="18"/>
              </w:rPr>
            </w:r>
            <w:r>
              <w:rPr>
                <w:b/>
                <w:i w:val="0"/>
                <w:sz w:val="18"/>
              </w:rPr>
              <w:t>#1 Profitable Demand Contraction</w:t>
            </w:r>
          </w:p>
        </w:tc>
        <w:tc>
          <w:tcPr>
            <w:tcW w:type="dxa" w:w="1080"/>
          </w:tcPr>
          <w:p>
            <w:r>
              <w:rPr>
                <w:sz w:val="18"/>
              </w:rPr>
            </w:r>
            <w:r>
              <w:rPr>
                <w:b w:val="0"/>
                <w:i w:val="0"/>
                <w:sz w:val="18"/>
              </w:rPr>
              <w:t>23</w:t>
            </w:r>
          </w:p>
        </w:tc>
        <w:tc>
          <w:tcPr>
            <w:tcW w:type="dxa" w:w="1080"/>
          </w:tcPr>
          <w:p>
            <w:r>
              <w:rPr>
                <w:sz w:val="18"/>
              </w:rPr>
            </w:r>
            <w:r>
              <w:rPr>
                <w:b w:val="0"/>
                <w:i w:val="0"/>
                <w:sz w:val="18"/>
              </w:rPr>
              <w:t>24</w:t>
            </w:r>
          </w:p>
        </w:tc>
        <w:tc>
          <w:tcPr>
            <w:tcW w:type="dxa" w:w="1080"/>
          </w:tcPr>
          <w:p>
            <w:r>
              <w:rPr>
                <w:sz w:val="18"/>
              </w:rPr>
            </w:r>
            <w:r>
              <w:rPr>
                <w:b w:val="0"/>
                <w:i w:val="0"/>
                <w:sz w:val="18"/>
              </w:rPr>
              <w:t>12</w:t>
            </w:r>
          </w:p>
        </w:tc>
        <w:tc>
          <w:tcPr>
            <w:tcW w:type="dxa" w:w="1080"/>
          </w:tcPr>
          <w:p>
            <w:r>
              <w:rPr>
                <w:sz w:val="18"/>
              </w:rPr>
            </w:r>
            <w:r>
              <w:rPr>
                <w:b w:val="0"/>
                <w:i w:val="0"/>
                <w:sz w:val="18"/>
              </w:rPr>
              <w:t>15</w:t>
            </w:r>
          </w:p>
        </w:tc>
        <w:tc>
          <w:tcPr>
            <w:tcW w:type="dxa" w:w="1080"/>
          </w:tcPr>
          <w:p>
            <w:r>
              <w:rPr>
                <w:sz w:val="18"/>
              </w:rPr>
            </w:r>
            <w:r>
              <w:rPr>
                <w:b w:val="0"/>
                <w:i w:val="0"/>
                <w:sz w:val="18"/>
              </w:rPr>
              <w:t>15</w:t>
            </w:r>
          </w:p>
        </w:tc>
        <w:tc>
          <w:tcPr>
            <w:tcW w:type="dxa" w:w="1080"/>
          </w:tcPr>
          <w:p>
            <w:r>
              <w:rPr>
                <w:sz w:val="18"/>
              </w:rPr>
            </w:r>
            <w:r>
              <w:rPr>
                <w:b/>
                <w:i w:val="0"/>
                <w:sz w:val="18"/>
              </w:rPr>
              <w:t>89</w:t>
            </w:r>
          </w:p>
        </w:tc>
      </w:tr>
      <w:tr>
        <w:tc>
          <w:tcPr>
            <w:tcW w:type="dxa" w:w="1080"/>
          </w:tcPr>
          <w:p>
            <w:r>
              <w:rPr>
                <w:sz w:val="18"/>
              </w:rPr>
            </w:r>
            <w:r>
              <w:rPr>
                <w:b w:val="0"/>
                <w:i w:val="0"/>
                <w:sz w:val="18"/>
              </w:rPr>
              <w:t>5</w:t>
            </w:r>
          </w:p>
        </w:tc>
        <w:tc>
          <w:tcPr>
            <w:tcW w:type="dxa" w:w="1080"/>
          </w:tcPr>
          <w:p>
            <w:r>
              <w:rPr>
                <w:sz w:val="18"/>
              </w:rPr>
            </w:r>
            <w:r>
              <w:rPr>
                <w:b/>
                <w:i w:val="0"/>
                <w:sz w:val="18"/>
              </w:rPr>
              <w:t>#4 Fairness Without a Reference Price</w:t>
            </w:r>
          </w:p>
        </w:tc>
        <w:tc>
          <w:tcPr>
            <w:tcW w:type="dxa" w:w="1080"/>
          </w:tcPr>
          <w:p>
            <w:r>
              <w:rPr>
                <w:sz w:val="18"/>
              </w:rPr>
            </w:r>
            <w:r>
              <w:rPr>
                <w:b w:val="0"/>
                <w:i w:val="0"/>
                <w:sz w:val="18"/>
              </w:rPr>
              <w:t>21</w:t>
            </w:r>
          </w:p>
        </w:tc>
        <w:tc>
          <w:tcPr>
            <w:tcW w:type="dxa" w:w="1080"/>
          </w:tcPr>
          <w:p>
            <w:r>
              <w:rPr>
                <w:sz w:val="18"/>
              </w:rPr>
            </w:r>
            <w:r>
              <w:rPr>
                <w:b w:val="0"/>
                <w:i w:val="0"/>
                <w:sz w:val="18"/>
              </w:rPr>
              <w:t>22</w:t>
            </w:r>
          </w:p>
        </w:tc>
        <w:tc>
          <w:tcPr>
            <w:tcW w:type="dxa" w:w="1080"/>
          </w:tcPr>
          <w:p>
            <w:r>
              <w:rPr>
                <w:sz w:val="18"/>
              </w:rPr>
            </w:r>
            <w:r>
              <w:rPr>
                <w:b w:val="0"/>
                <w:i w:val="0"/>
                <w:sz w:val="18"/>
              </w:rPr>
              <w:t>14</w:t>
            </w:r>
          </w:p>
        </w:tc>
        <w:tc>
          <w:tcPr>
            <w:tcW w:type="dxa" w:w="1080"/>
          </w:tcPr>
          <w:p>
            <w:r>
              <w:rPr>
                <w:sz w:val="18"/>
              </w:rPr>
            </w:r>
            <w:r>
              <w:rPr>
                <w:b w:val="0"/>
                <w:i w:val="0"/>
                <w:sz w:val="18"/>
              </w:rPr>
              <w:t>12</w:t>
            </w:r>
          </w:p>
        </w:tc>
        <w:tc>
          <w:tcPr>
            <w:tcW w:type="dxa" w:w="1080"/>
          </w:tcPr>
          <w:p>
            <w:r>
              <w:rPr>
                <w:sz w:val="18"/>
              </w:rPr>
            </w:r>
            <w:r>
              <w:rPr>
                <w:b w:val="0"/>
                <w:i w:val="0"/>
                <w:sz w:val="18"/>
              </w:rPr>
              <w:t>19</w:t>
            </w:r>
          </w:p>
        </w:tc>
        <w:tc>
          <w:tcPr>
            <w:tcW w:type="dxa" w:w="1080"/>
          </w:tcPr>
          <w:p>
            <w:r>
              <w:rPr>
                <w:sz w:val="18"/>
              </w:rPr>
            </w:r>
            <w:r>
              <w:rPr>
                <w:b/>
                <w:i w:val="0"/>
                <w:sz w:val="18"/>
              </w:rPr>
              <w:t>88</w:t>
            </w:r>
          </w:p>
        </w:tc>
      </w:tr>
      <w:tr>
        <w:tc>
          <w:tcPr>
            <w:tcW w:type="dxa" w:w="1080"/>
          </w:tcPr>
          <w:p>
            <w:r>
              <w:rPr>
                <w:sz w:val="18"/>
              </w:rPr>
            </w:r>
            <w:r>
              <w:rPr>
                <w:b w:val="0"/>
                <w:i w:val="0"/>
                <w:sz w:val="18"/>
              </w:rPr>
              <w:t>6</w:t>
            </w:r>
          </w:p>
        </w:tc>
        <w:tc>
          <w:tcPr>
            <w:tcW w:type="dxa" w:w="1080"/>
          </w:tcPr>
          <w:p>
            <w:r>
              <w:rPr>
                <w:sz w:val="18"/>
              </w:rPr>
            </w:r>
            <w:r>
              <w:rPr>
                <w:b/>
                <w:i w:val="0"/>
                <w:sz w:val="18"/>
              </w:rPr>
              <w:t>#8 Post-Purchase Sovereignty</w:t>
            </w:r>
            <w:r>
              <w:rPr>
                <w:b w:val="0"/>
                <w:i w:val="0"/>
                <w:sz w:val="18"/>
              </w:rPr>
              <w:t xml:space="preserve"> (repair economy)</w:t>
            </w:r>
          </w:p>
        </w:tc>
        <w:tc>
          <w:tcPr>
            <w:tcW w:type="dxa" w:w="1080"/>
          </w:tcPr>
          <w:p>
            <w:r>
              <w:rPr>
                <w:sz w:val="18"/>
              </w:rPr>
            </w:r>
            <w:r>
              <w:rPr>
                <w:b w:val="0"/>
                <w:i w:val="0"/>
                <w:sz w:val="18"/>
              </w:rPr>
              <w:t>21</w:t>
            </w:r>
          </w:p>
        </w:tc>
        <w:tc>
          <w:tcPr>
            <w:tcW w:type="dxa" w:w="1080"/>
          </w:tcPr>
          <w:p>
            <w:r>
              <w:rPr>
                <w:sz w:val="18"/>
              </w:rPr>
            </w:r>
            <w:r>
              <w:rPr>
                <w:b w:val="0"/>
                <w:i w:val="0"/>
                <w:sz w:val="18"/>
              </w:rPr>
              <w:t>22</w:t>
            </w:r>
          </w:p>
        </w:tc>
        <w:tc>
          <w:tcPr>
            <w:tcW w:type="dxa" w:w="1080"/>
          </w:tcPr>
          <w:p>
            <w:r>
              <w:rPr>
                <w:sz w:val="18"/>
              </w:rPr>
            </w:r>
            <w:r>
              <w:rPr>
                <w:b w:val="0"/>
                <w:i w:val="0"/>
                <w:sz w:val="18"/>
              </w:rPr>
              <w:t>14</w:t>
            </w:r>
          </w:p>
        </w:tc>
        <w:tc>
          <w:tcPr>
            <w:tcW w:type="dxa" w:w="1080"/>
          </w:tcPr>
          <w:p>
            <w:r>
              <w:rPr>
                <w:sz w:val="18"/>
              </w:rPr>
            </w:r>
            <w:r>
              <w:rPr>
                <w:b w:val="0"/>
                <w:i w:val="0"/>
                <w:sz w:val="18"/>
              </w:rPr>
              <w:t>14</w:t>
            </w:r>
          </w:p>
        </w:tc>
        <w:tc>
          <w:tcPr>
            <w:tcW w:type="dxa" w:w="1080"/>
          </w:tcPr>
          <w:p>
            <w:r>
              <w:rPr>
                <w:sz w:val="18"/>
              </w:rPr>
            </w:r>
            <w:r>
              <w:rPr>
                <w:b w:val="0"/>
                <w:i w:val="0"/>
                <w:sz w:val="18"/>
              </w:rPr>
              <w:t>17</w:t>
            </w:r>
          </w:p>
        </w:tc>
        <w:tc>
          <w:tcPr>
            <w:tcW w:type="dxa" w:w="1080"/>
          </w:tcPr>
          <w:p>
            <w:r>
              <w:rPr>
                <w:sz w:val="18"/>
              </w:rPr>
            </w:r>
            <w:r>
              <w:rPr>
                <w:b/>
                <w:i w:val="0"/>
                <w:sz w:val="18"/>
              </w:rPr>
              <w:t>88</w:t>
            </w:r>
          </w:p>
        </w:tc>
      </w:tr>
      <w:tr>
        <w:tc>
          <w:tcPr>
            <w:tcW w:type="dxa" w:w="1080"/>
          </w:tcPr>
          <w:p>
            <w:r>
              <w:rPr>
                <w:sz w:val="18"/>
              </w:rPr>
            </w:r>
            <w:r>
              <w:rPr>
                <w:b w:val="0"/>
                <w:i w:val="0"/>
                <w:sz w:val="18"/>
              </w:rPr>
              <w:t>7</w:t>
            </w:r>
          </w:p>
        </w:tc>
        <w:tc>
          <w:tcPr>
            <w:tcW w:type="dxa" w:w="1080"/>
          </w:tcPr>
          <w:p>
            <w:r>
              <w:rPr>
                <w:sz w:val="18"/>
              </w:rPr>
            </w:r>
            <w:r>
              <w:rPr>
                <w:b/>
                <w:i w:val="0"/>
                <w:sz w:val="18"/>
              </w:rPr>
              <w:t>#3 Non-Appropriable Value</w:t>
            </w:r>
            <w:r>
              <w:rPr>
                <w:b w:val="0"/>
                <w:i w:val="0"/>
                <w:sz w:val="18"/>
              </w:rPr>
              <w:t xml:space="preserve"> (regenerative models)</w:t>
            </w:r>
          </w:p>
        </w:tc>
        <w:tc>
          <w:tcPr>
            <w:tcW w:type="dxa" w:w="1080"/>
          </w:tcPr>
          <w:p>
            <w:r>
              <w:rPr>
                <w:sz w:val="18"/>
              </w:rPr>
            </w:r>
            <w:r>
              <w:rPr>
                <w:b w:val="0"/>
                <w:i w:val="0"/>
                <w:sz w:val="18"/>
              </w:rPr>
              <w:t>24</w:t>
            </w:r>
          </w:p>
        </w:tc>
        <w:tc>
          <w:tcPr>
            <w:tcW w:type="dxa" w:w="1080"/>
          </w:tcPr>
          <w:p>
            <w:r>
              <w:rPr>
                <w:sz w:val="18"/>
              </w:rPr>
            </w:r>
            <w:r>
              <w:rPr>
                <w:b w:val="0"/>
                <w:i w:val="0"/>
                <w:sz w:val="18"/>
              </w:rPr>
              <w:t>25</w:t>
            </w:r>
          </w:p>
        </w:tc>
        <w:tc>
          <w:tcPr>
            <w:tcW w:type="dxa" w:w="1080"/>
          </w:tcPr>
          <w:p>
            <w:r>
              <w:rPr>
                <w:sz w:val="18"/>
              </w:rPr>
            </w:r>
            <w:r>
              <w:rPr>
                <w:b w:val="0"/>
                <w:i w:val="0"/>
                <w:sz w:val="18"/>
              </w:rPr>
              <w:t>11</w:t>
            </w:r>
          </w:p>
        </w:tc>
        <w:tc>
          <w:tcPr>
            <w:tcW w:type="dxa" w:w="1080"/>
          </w:tcPr>
          <w:p>
            <w:r>
              <w:rPr>
                <w:sz w:val="18"/>
              </w:rPr>
            </w:r>
            <w:r>
              <w:rPr>
                <w:b w:val="0"/>
                <w:i w:val="0"/>
                <w:sz w:val="18"/>
              </w:rPr>
              <w:t>14</w:t>
            </w:r>
          </w:p>
        </w:tc>
        <w:tc>
          <w:tcPr>
            <w:tcW w:type="dxa" w:w="1080"/>
          </w:tcPr>
          <w:p>
            <w:r>
              <w:rPr>
                <w:sz w:val="18"/>
              </w:rPr>
            </w:r>
            <w:r>
              <w:rPr>
                <w:b w:val="0"/>
                <w:i w:val="0"/>
                <w:sz w:val="18"/>
              </w:rPr>
              <w:t>14</w:t>
            </w:r>
          </w:p>
        </w:tc>
        <w:tc>
          <w:tcPr>
            <w:tcW w:type="dxa" w:w="1080"/>
          </w:tcPr>
          <w:p>
            <w:r>
              <w:rPr>
                <w:sz w:val="18"/>
              </w:rPr>
            </w:r>
            <w:r>
              <w:rPr>
                <w:b/>
                <w:i w:val="0"/>
                <w:sz w:val="18"/>
              </w:rPr>
              <w:t>88</w:t>
            </w:r>
          </w:p>
        </w:tc>
      </w:tr>
      <w:tr>
        <w:tc>
          <w:tcPr>
            <w:tcW w:type="dxa" w:w="1080"/>
          </w:tcPr>
          <w:p>
            <w:r>
              <w:rPr>
                <w:sz w:val="18"/>
              </w:rPr>
            </w:r>
            <w:r>
              <w:rPr>
                <w:b w:val="0"/>
                <w:i w:val="0"/>
                <w:sz w:val="18"/>
              </w:rPr>
              <w:t>8</w:t>
            </w:r>
          </w:p>
        </w:tc>
        <w:tc>
          <w:tcPr>
            <w:tcW w:type="dxa" w:w="1080"/>
          </w:tcPr>
          <w:p>
            <w:r>
              <w:rPr>
                <w:sz w:val="18"/>
              </w:rPr>
            </w:r>
            <w:r>
              <w:rPr>
                <w:b/>
                <w:i w:val="0"/>
                <w:sz w:val="18"/>
              </w:rPr>
              <w:t>#7 Trust Displacement</w:t>
            </w:r>
            <w:r>
              <w:rPr>
                <w:b w:val="0"/>
                <w:i w:val="0"/>
                <w:sz w:val="18"/>
              </w:rPr>
              <w:t xml:space="preserve"> (verification vs. trust)</w:t>
            </w:r>
          </w:p>
        </w:tc>
        <w:tc>
          <w:tcPr>
            <w:tcW w:type="dxa" w:w="1080"/>
          </w:tcPr>
          <w:p>
            <w:r>
              <w:rPr>
                <w:sz w:val="18"/>
              </w:rPr>
            </w:r>
            <w:r>
              <w:rPr>
                <w:b w:val="0"/>
                <w:i w:val="0"/>
                <w:sz w:val="18"/>
              </w:rPr>
              <w:t>20</w:t>
            </w:r>
          </w:p>
        </w:tc>
        <w:tc>
          <w:tcPr>
            <w:tcW w:type="dxa" w:w="1080"/>
          </w:tcPr>
          <w:p>
            <w:r>
              <w:rPr>
                <w:sz w:val="18"/>
              </w:rPr>
            </w:r>
            <w:r>
              <w:rPr>
                <w:b w:val="0"/>
                <w:i w:val="0"/>
                <w:sz w:val="18"/>
              </w:rPr>
              <w:t>23</w:t>
            </w:r>
          </w:p>
        </w:tc>
        <w:tc>
          <w:tcPr>
            <w:tcW w:type="dxa" w:w="1080"/>
          </w:tcPr>
          <w:p>
            <w:r>
              <w:rPr>
                <w:sz w:val="18"/>
              </w:rPr>
            </w:r>
            <w:r>
              <w:rPr>
                <w:b w:val="0"/>
                <w:i w:val="0"/>
                <w:sz w:val="18"/>
              </w:rPr>
              <w:t>14</w:t>
            </w:r>
          </w:p>
        </w:tc>
        <w:tc>
          <w:tcPr>
            <w:tcW w:type="dxa" w:w="1080"/>
          </w:tcPr>
          <w:p>
            <w:r>
              <w:rPr>
                <w:sz w:val="18"/>
              </w:rPr>
            </w:r>
            <w:r>
              <w:rPr>
                <w:b w:val="0"/>
                <w:i w:val="0"/>
                <w:sz w:val="18"/>
              </w:rPr>
              <w:t>13</w:t>
            </w:r>
          </w:p>
        </w:tc>
        <w:tc>
          <w:tcPr>
            <w:tcW w:type="dxa" w:w="1080"/>
          </w:tcPr>
          <w:p>
            <w:r>
              <w:rPr>
                <w:sz w:val="18"/>
              </w:rPr>
            </w:r>
            <w:r>
              <w:rPr>
                <w:b w:val="0"/>
                <w:i w:val="0"/>
                <w:sz w:val="18"/>
              </w:rPr>
              <w:t>17</w:t>
            </w:r>
          </w:p>
        </w:tc>
        <w:tc>
          <w:tcPr>
            <w:tcW w:type="dxa" w:w="1080"/>
          </w:tcPr>
          <w:p>
            <w:r>
              <w:rPr>
                <w:sz w:val="18"/>
              </w:rPr>
            </w:r>
            <w:r>
              <w:rPr>
                <w:b/>
                <w:i w:val="0"/>
                <w:sz w:val="18"/>
              </w:rPr>
              <w:t>87</w:t>
            </w:r>
          </w:p>
        </w:tc>
      </w:tr>
      <w:tr>
        <w:tc>
          <w:tcPr>
            <w:tcW w:type="dxa" w:w="1080"/>
          </w:tcPr>
          <w:p>
            <w:r>
              <w:rPr>
                <w:sz w:val="18"/>
              </w:rPr>
            </w:r>
            <w:r>
              <w:rPr>
                <w:b w:val="0"/>
                <w:i w:val="0"/>
                <w:sz w:val="18"/>
              </w:rPr>
              <w:t>9</w:t>
            </w:r>
          </w:p>
        </w:tc>
        <w:tc>
          <w:tcPr>
            <w:tcW w:type="dxa" w:w="1080"/>
          </w:tcPr>
          <w:p>
            <w:r>
              <w:rPr>
                <w:sz w:val="18"/>
              </w:rPr>
            </w:r>
            <w:r>
              <w:rPr>
                <w:b/>
                <w:i w:val="0"/>
                <w:sz w:val="18"/>
              </w:rPr>
              <w:t>#11 Resilience Externalities</w:t>
            </w:r>
            <w:r>
              <w:rPr>
                <w:b w:val="0"/>
                <w:i w:val="0"/>
                <w:sz w:val="18"/>
              </w:rPr>
              <w:t xml:space="preserve"> (fragility transfer)</w:t>
            </w:r>
          </w:p>
        </w:tc>
        <w:tc>
          <w:tcPr>
            <w:tcW w:type="dxa" w:w="1080"/>
          </w:tcPr>
          <w:p>
            <w:r>
              <w:rPr>
                <w:sz w:val="18"/>
              </w:rPr>
            </w:r>
            <w:r>
              <w:rPr>
                <w:b w:val="0"/>
                <w:i w:val="0"/>
                <w:sz w:val="18"/>
              </w:rPr>
              <w:t>20</w:t>
            </w:r>
          </w:p>
        </w:tc>
        <w:tc>
          <w:tcPr>
            <w:tcW w:type="dxa" w:w="1080"/>
          </w:tcPr>
          <w:p>
            <w:r>
              <w:rPr>
                <w:sz w:val="18"/>
              </w:rPr>
            </w:r>
            <w:r>
              <w:rPr>
                <w:b w:val="0"/>
                <w:i w:val="0"/>
                <w:sz w:val="18"/>
              </w:rPr>
              <w:t>22</w:t>
            </w:r>
          </w:p>
        </w:tc>
        <w:tc>
          <w:tcPr>
            <w:tcW w:type="dxa" w:w="1080"/>
          </w:tcPr>
          <w:p>
            <w:r>
              <w:rPr>
                <w:sz w:val="18"/>
              </w:rPr>
            </w:r>
            <w:r>
              <w:rPr>
                <w:b w:val="0"/>
                <w:i w:val="0"/>
                <w:sz w:val="18"/>
              </w:rPr>
              <w:t>15</w:t>
            </w:r>
          </w:p>
        </w:tc>
        <w:tc>
          <w:tcPr>
            <w:tcW w:type="dxa" w:w="1080"/>
          </w:tcPr>
          <w:p>
            <w:r>
              <w:rPr>
                <w:sz w:val="18"/>
              </w:rPr>
            </w:r>
            <w:r>
              <w:rPr>
                <w:b w:val="0"/>
                <w:i w:val="0"/>
                <w:sz w:val="18"/>
              </w:rPr>
              <w:t>13</w:t>
            </w:r>
          </w:p>
        </w:tc>
        <w:tc>
          <w:tcPr>
            <w:tcW w:type="dxa" w:w="1080"/>
          </w:tcPr>
          <w:p>
            <w:r>
              <w:rPr>
                <w:sz w:val="18"/>
              </w:rPr>
            </w:r>
            <w:r>
              <w:rPr>
                <w:b w:val="0"/>
                <w:i w:val="0"/>
                <w:sz w:val="18"/>
              </w:rPr>
              <w:t>17</w:t>
            </w:r>
          </w:p>
        </w:tc>
        <w:tc>
          <w:tcPr>
            <w:tcW w:type="dxa" w:w="1080"/>
          </w:tcPr>
          <w:p>
            <w:r>
              <w:rPr>
                <w:sz w:val="18"/>
              </w:rPr>
            </w:r>
            <w:r>
              <w:rPr>
                <w:b/>
                <w:i w:val="0"/>
                <w:sz w:val="18"/>
              </w:rPr>
              <w:t>87</w:t>
            </w:r>
          </w:p>
        </w:tc>
      </w:tr>
      <w:tr>
        <w:tc>
          <w:tcPr>
            <w:tcW w:type="dxa" w:w="1080"/>
          </w:tcPr>
          <w:p>
            <w:r>
              <w:rPr>
                <w:sz w:val="18"/>
              </w:rPr>
            </w:r>
            <w:r>
              <w:rPr>
                <w:b w:val="0"/>
                <w:i w:val="0"/>
                <w:sz w:val="18"/>
              </w:rPr>
              <w:t>10</w:t>
            </w:r>
          </w:p>
        </w:tc>
        <w:tc>
          <w:tcPr>
            <w:tcW w:type="dxa" w:w="1080"/>
          </w:tcPr>
          <w:p>
            <w:r>
              <w:rPr>
                <w:sz w:val="18"/>
              </w:rPr>
            </w:r>
            <w:r>
              <w:rPr>
                <w:b/>
                <w:i w:val="0"/>
                <w:sz w:val="18"/>
              </w:rPr>
              <w:t>#12 Sanctioned Obsolescence</w:t>
            </w:r>
            <w:r>
              <w:rPr>
                <w:b w:val="0"/>
                <w:i w:val="0"/>
                <w:sz w:val="18"/>
              </w:rPr>
              <w:t xml:space="preserve"> (identity in phase-out)</w:t>
            </w:r>
          </w:p>
        </w:tc>
        <w:tc>
          <w:tcPr>
            <w:tcW w:type="dxa" w:w="1080"/>
          </w:tcPr>
          <w:p>
            <w:r>
              <w:rPr>
                <w:sz w:val="18"/>
              </w:rPr>
            </w:r>
            <w:r>
              <w:rPr>
                <w:b w:val="0"/>
                <w:i w:val="0"/>
                <w:sz w:val="18"/>
              </w:rPr>
              <w:t>22</w:t>
            </w:r>
          </w:p>
        </w:tc>
        <w:tc>
          <w:tcPr>
            <w:tcW w:type="dxa" w:w="1080"/>
          </w:tcPr>
          <w:p>
            <w:r>
              <w:rPr>
                <w:sz w:val="18"/>
              </w:rPr>
            </w:r>
            <w:r>
              <w:rPr>
                <w:b w:val="0"/>
                <w:i w:val="0"/>
                <w:sz w:val="18"/>
              </w:rPr>
              <w:t>22</w:t>
            </w:r>
          </w:p>
        </w:tc>
        <w:tc>
          <w:tcPr>
            <w:tcW w:type="dxa" w:w="1080"/>
          </w:tcPr>
          <w:p>
            <w:r>
              <w:rPr>
                <w:sz w:val="18"/>
              </w:rPr>
            </w:r>
            <w:r>
              <w:rPr>
                <w:b w:val="0"/>
                <w:i w:val="0"/>
                <w:sz w:val="18"/>
              </w:rPr>
              <w:t>12</w:t>
            </w:r>
          </w:p>
        </w:tc>
        <w:tc>
          <w:tcPr>
            <w:tcW w:type="dxa" w:w="1080"/>
          </w:tcPr>
          <w:p>
            <w:r>
              <w:rPr>
                <w:sz w:val="18"/>
              </w:rPr>
            </w:r>
            <w:r>
              <w:rPr>
                <w:b w:val="0"/>
                <w:i w:val="0"/>
                <w:sz w:val="18"/>
              </w:rPr>
              <w:t>15</w:t>
            </w:r>
          </w:p>
        </w:tc>
        <w:tc>
          <w:tcPr>
            <w:tcW w:type="dxa" w:w="1080"/>
          </w:tcPr>
          <w:p>
            <w:r>
              <w:rPr>
                <w:sz w:val="18"/>
              </w:rPr>
            </w:r>
            <w:r>
              <w:rPr>
                <w:b w:val="0"/>
                <w:i w:val="0"/>
                <w:sz w:val="18"/>
              </w:rPr>
              <w:t>16</w:t>
            </w:r>
          </w:p>
        </w:tc>
        <w:tc>
          <w:tcPr>
            <w:tcW w:type="dxa" w:w="1080"/>
          </w:tcPr>
          <w:p>
            <w:r>
              <w:rPr>
                <w:sz w:val="18"/>
              </w:rPr>
            </w:r>
            <w:r>
              <w:rPr>
                <w:b/>
                <w:i w:val="0"/>
                <w:sz w:val="18"/>
              </w:rPr>
              <w:t>87</w:t>
            </w:r>
          </w:p>
        </w:tc>
      </w:tr>
      <w:tr>
        <w:tc>
          <w:tcPr>
            <w:tcW w:type="dxa" w:w="1080"/>
          </w:tcPr>
          <w:p>
            <w:r>
              <w:rPr>
                <w:sz w:val="18"/>
              </w:rPr>
            </w:r>
            <w:r>
              <w:rPr>
                <w:b w:val="0"/>
                <w:i w:val="0"/>
                <w:sz w:val="18"/>
              </w:rPr>
              <w:t>11</w:t>
            </w:r>
          </w:p>
        </w:tc>
        <w:tc>
          <w:tcPr>
            <w:tcW w:type="dxa" w:w="1080"/>
          </w:tcPr>
          <w:p>
            <w:r>
              <w:rPr>
                <w:sz w:val="18"/>
              </w:rPr>
            </w:r>
            <w:r>
              <w:rPr>
                <w:b/>
                <w:i w:val="0"/>
                <w:sz w:val="18"/>
              </w:rPr>
              <w:t>#10 The Formalization Trap</w:t>
            </w:r>
            <w:r>
              <w:rPr>
                <w:b w:val="0"/>
                <w:i w:val="0"/>
                <w:sz w:val="18"/>
              </w:rPr>
              <w:t xml:space="preserve"> (informal markets)</w:t>
            </w:r>
          </w:p>
        </w:tc>
        <w:tc>
          <w:tcPr>
            <w:tcW w:type="dxa" w:w="1080"/>
          </w:tcPr>
          <w:p>
            <w:r>
              <w:rPr>
                <w:sz w:val="18"/>
              </w:rPr>
            </w:r>
            <w:r>
              <w:rPr>
                <w:b w:val="0"/>
                <w:i w:val="0"/>
                <w:sz w:val="18"/>
              </w:rPr>
              <w:t>22</w:t>
            </w:r>
          </w:p>
        </w:tc>
        <w:tc>
          <w:tcPr>
            <w:tcW w:type="dxa" w:w="1080"/>
          </w:tcPr>
          <w:p>
            <w:r>
              <w:rPr>
                <w:sz w:val="18"/>
              </w:rPr>
            </w:r>
            <w:r>
              <w:rPr>
                <w:b w:val="0"/>
                <w:i w:val="0"/>
                <w:sz w:val="18"/>
              </w:rPr>
              <w:t>22</w:t>
            </w:r>
          </w:p>
        </w:tc>
        <w:tc>
          <w:tcPr>
            <w:tcW w:type="dxa" w:w="1080"/>
          </w:tcPr>
          <w:p>
            <w:r>
              <w:rPr>
                <w:sz w:val="18"/>
              </w:rPr>
            </w:r>
            <w:r>
              <w:rPr>
                <w:b w:val="0"/>
                <w:i w:val="0"/>
                <w:sz w:val="18"/>
              </w:rPr>
              <w:t>13</w:t>
            </w:r>
          </w:p>
        </w:tc>
        <w:tc>
          <w:tcPr>
            <w:tcW w:type="dxa" w:w="1080"/>
          </w:tcPr>
          <w:p>
            <w:r>
              <w:rPr>
                <w:sz w:val="18"/>
              </w:rPr>
            </w:r>
            <w:r>
              <w:rPr>
                <w:b w:val="0"/>
                <w:i w:val="0"/>
                <w:sz w:val="18"/>
              </w:rPr>
              <w:t>15</w:t>
            </w:r>
          </w:p>
        </w:tc>
        <w:tc>
          <w:tcPr>
            <w:tcW w:type="dxa" w:w="1080"/>
          </w:tcPr>
          <w:p>
            <w:r>
              <w:rPr>
                <w:sz w:val="18"/>
              </w:rPr>
            </w:r>
            <w:r>
              <w:rPr>
                <w:b w:val="0"/>
                <w:i w:val="0"/>
                <w:sz w:val="18"/>
              </w:rPr>
              <w:t>15</w:t>
            </w:r>
          </w:p>
        </w:tc>
        <w:tc>
          <w:tcPr>
            <w:tcW w:type="dxa" w:w="1080"/>
          </w:tcPr>
          <w:p>
            <w:r>
              <w:rPr>
                <w:sz w:val="18"/>
              </w:rPr>
            </w:r>
            <w:r>
              <w:rPr>
                <w:b/>
                <w:i w:val="0"/>
                <w:sz w:val="18"/>
              </w:rPr>
              <w:t>87</w:t>
            </w:r>
          </w:p>
        </w:tc>
      </w:tr>
      <w:tr>
        <w:tc>
          <w:tcPr>
            <w:tcW w:type="dxa" w:w="1080"/>
          </w:tcPr>
          <w:p>
            <w:r>
              <w:rPr>
                <w:sz w:val="18"/>
              </w:rPr>
            </w:r>
            <w:r>
              <w:rPr>
                <w:b w:val="0"/>
                <w:i w:val="0"/>
                <w:sz w:val="18"/>
              </w:rPr>
              <w:t>12</w:t>
            </w:r>
          </w:p>
        </w:tc>
        <w:tc>
          <w:tcPr>
            <w:tcW w:type="dxa" w:w="1080"/>
          </w:tcPr>
          <w:p>
            <w:r>
              <w:rPr>
                <w:sz w:val="18"/>
              </w:rPr>
            </w:r>
            <w:r>
              <w:rPr>
                <w:b/>
                <w:i w:val="0"/>
                <w:sz w:val="18"/>
              </w:rPr>
              <w:t>#9 Relational Crowding-Out</w:t>
            </w:r>
            <w:r>
              <w:rPr>
                <w:b w:val="0"/>
                <w:i w:val="0"/>
                <w:sz w:val="18"/>
              </w:rPr>
              <w:t xml:space="preserve"> (loneliness markets)</w:t>
            </w:r>
          </w:p>
        </w:tc>
        <w:tc>
          <w:tcPr>
            <w:tcW w:type="dxa" w:w="1080"/>
          </w:tcPr>
          <w:p>
            <w:r>
              <w:rPr>
                <w:sz w:val="18"/>
              </w:rPr>
            </w:r>
            <w:r>
              <w:rPr>
                <w:b w:val="0"/>
                <w:i w:val="0"/>
                <w:sz w:val="18"/>
              </w:rPr>
              <w:t>22</w:t>
            </w:r>
          </w:p>
        </w:tc>
        <w:tc>
          <w:tcPr>
            <w:tcW w:type="dxa" w:w="1080"/>
          </w:tcPr>
          <w:p>
            <w:r>
              <w:rPr>
                <w:sz w:val="18"/>
              </w:rPr>
            </w:r>
            <w:r>
              <w:rPr>
                <w:b w:val="0"/>
                <w:i w:val="0"/>
                <w:sz w:val="18"/>
              </w:rPr>
              <w:t>22</w:t>
            </w:r>
          </w:p>
        </w:tc>
        <w:tc>
          <w:tcPr>
            <w:tcW w:type="dxa" w:w="1080"/>
          </w:tcPr>
          <w:p>
            <w:r>
              <w:rPr>
                <w:sz w:val="18"/>
              </w:rPr>
            </w:r>
            <w:r>
              <w:rPr>
                <w:b w:val="0"/>
                <w:i w:val="0"/>
                <w:sz w:val="18"/>
              </w:rPr>
              <w:t>11</w:t>
            </w:r>
          </w:p>
        </w:tc>
        <w:tc>
          <w:tcPr>
            <w:tcW w:type="dxa" w:w="1080"/>
          </w:tcPr>
          <w:p>
            <w:r>
              <w:rPr>
                <w:sz w:val="18"/>
              </w:rPr>
            </w:r>
            <w:r>
              <w:rPr>
                <w:b w:val="0"/>
                <w:i w:val="0"/>
                <w:sz w:val="18"/>
              </w:rPr>
              <w:t>15</w:t>
            </w:r>
          </w:p>
        </w:tc>
        <w:tc>
          <w:tcPr>
            <w:tcW w:type="dxa" w:w="1080"/>
          </w:tcPr>
          <w:p>
            <w:r>
              <w:rPr>
                <w:sz w:val="18"/>
              </w:rPr>
            </w:r>
            <w:r>
              <w:rPr>
                <w:b w:val="0"/>
                <w:i w:val="0"/>
                <w:sz w:val="18"/>
              </w:rPr>
              <w:t>16</w:t>
            </w:r>
          </w:p>
        </w:tc>
        <w:tc>
          <w:tcPr>
            <w:tcW w:type="dxa" w:w="1080"/>
          </w:tcPr>
          <w:p>
            <w:r>
              <w:rPr>
                <w:sz w:val="18"/>
              </w:rPr>
            </w:r>
            <w:r>
              <w:rPr>
                <w:b/>
                <w:i w:val="0"/>
                <w:sz w:val="18"/>
              </w:rPr>
              <w:t>86</w:t>
            </w:r>
          </w:p>
        </w:tc>
      </w:tr>
    </w:tbl>
    <w:p/>
    <w:p>
      <w:r>
        <w:rPr>
          <w:b/>
          <w:i w:val="0"/>
        </w:rPr>
        <w:t>Tie-break rules applied:</w:t>
      </w:r>
      <w:r>
        <w:rPr>
          <w:b w:val="0"/>
          <w:i w:val="0"/>
        </w:rPr>
        <w:t xml:space="preserve"> ties resolved first on FT50 publication likelihood (execution risk), then on theory gap. Hence #5 above #2 despite #2's higher novelty; #4 above #8 above #3 within the 88s; #7 above #11 within the 87s on theory gap.</w:t>
      </w:r>
    </w:p>
    <w:p>
      <w:r>
        <w:rPr>
          <w:b/>
          <w:i w:val="0"/>
        </w:rPr>
        <w:t>Dimension leaders:</w:t>
      </w:r>
    </w:p>
    <w:p>
      <w:pPr>
        <w:pStyle w:val="ListBullet"/>
      </w:pPr>
      <w:r>
        <w:rPr>
          <w:b w:val="0"/>
          <w:i/>
        </w:rPr>
        <w:t>Highest pure novelty:</w:t>
      </w:r>
      <w:r>
        <w:rPr>
          <w:b w:val="0"/>
          <w:i w:val="0"/>
        </w:rPr>
        <w:t xml:space="preserve"> #3 Non-Appropriable Value and #2 Institutional Retrenchment (24/25).</w:t>
      </w:r>
    </w:p>
    <w:p>
      <w:pPr>
        <w:pStyle w:val="ListBullet"/>
      </w:pPr>
      <w:r>
        <w:rPr>
          <w:b w:val="0"/>
          <w:i/>
        </w:rPr>
        <w:t>Largest theory gap:</w:t>
      </w:r>
      <w:r>
        <w:rPr>
          <w:b w:val="0"/>
          <w:i w:val="0"/>
        </w:rPr>
        <w:t xml:space="preserve"> #3 (25/25) — strategy theory has no answer at all here.</w:t>
      </w:r>
    </w:p>
    <w:p>
      <w:pPr>
        <w:pStyle w:val="ListBullet"/>
      </w:pPr>
      <w:r>
        <w:rPr>
          <w:b w:val="0"/>
          <w:i/>
        </w:rPr>
        <w:t>Highest managerial impact:</w:t>
      </w:r>
      <w:r>
        <w:rPr>
          <w:b w:val="0"/>
          <w:i w:val="0"/>
        </w:rPr>
        <w:t xml:space="preserve"> #11 Resilience Externalities (15/15) — firms are actively misallocating capital right now.</w:t>
      </w:r>
    </w:p>
    <w:p>
      <w:pPr>
        <w:pStyle w:val="ListBullet"/>
      </w:pPr>
      <w:r>
        <w:rPr>
          <w:b w:val="0"/>
          <w:i/>
        </w:rPr>
        <w:t>Highest societal impact:</w:t>
      </w:r>
      <w:r>
        <w:rPr>
          <w:b w:val="0"/>
          <w:i w:val="0"/>
        </w:rPr>
        <w:t xml:space="preserve"> #1, #2, #5, #6, #9, #10, #12 (15/15).</w:t>
      </w:r>
    </w:p>
    <w:p>
      <w:pPr>
        <w:pStyle w:val="ListBullet"/>
      </w:pPr>
      <w:r>
        <w:rPr>
          <w:b w:val="0"/>
          <w:i/>
        </w:rPr>
        <w:t>Highest publication probability:</w:t>
      </w:r>
      <w:r>
        <w:rPr>
          <w:b w:val="0"/>
          <w:i w:val="0"/>
        </w:rPr>
        <w:t xml:space="preserve"> #4 Reference-Price Collapse (19/20) — clean experimental identification, established journal appetite, low access risk.</w:t>
      </w:r>
    </w:p>
    <w:p>
      <w:pPr>
        <w:pStyle w:val="ListBullet"/>
      </w:pPr>
      <w:r>
        <w:rPr>
          <w:b w:val="0"/>
          <w:i/>
        </w:rPr>
        <w:t>Highest risk-adjusted starting point for a single scholar:</w:t>
      </w:r>
      <w:r>
        <w:rPr>
          <w:b w:val="0"/>
          <w:i w:val="0"/>
        </w:rPr>
        <w:t xml:space="preserve"> </w:t>
      </w:r>
      <w:r>
        <w:rPr>
          <w:b/>
          <w:i w:val="0"/>
        </w:rPr>
        <w:t>#4</w:t>
      </w:r>
      <w:r>
        <w:rPr>
          <w:b w:val="0"/>
          <w:i w:val="0"/>
        </w:rPr>
        <w:t xml:space="preserve"> or </w:t>
      </w:r>
      <w:r>
        <w:rPr>
          <w:b/>
          <w:i w:val="0"/>
        </w:rPr>
        <w:t>#8</w:t>
      </w:r>
      <w:r>
        <w:rPr>
          <w:b w:val="0"/>
          <w:i w:val="0"/>
        </w:rPr>
        <w:t xml:space="preserve"> (fast, identifiable, publishable) as the near-term paper, funding a longer run at </w:t>
      </w:r>
      <w:r>
        <w:rPr>
          <w:b/>
          <w:i w:val="0"/>
        </w:rPr>
        <w:t>#2</w:t>
      </w:r>
      <w:r>
        <w:rPr>
          <w:b w:val="0"/>
          <w:i w:val="0"/>
        </w:rPr>
        <w:t xml:space="preserve"> or </w:t>
      </w:r>
      <w:r>
        <w:rPr>
          <w:b/>
          <w:i w:val="0"/>
        </w:rPr>
        <w:t>#3</w:t>
      </w:r>
      <w:r>
        <w:rPr>
          <w:b w:val="0"/>
          <w:i w:val="0"/>
        </w:rPr>
        <w:t>.</w:t>
      </w:r>
    </w:p>
    <w:p>
      <w:pPr>
        <w:pStyle w:val="Heading2"/>
      </w:pPr>
      <w:r>
        <w:rPr>
          <w:b w:val="0"/>
          <w:i w:val="0"/>
          <w:color w:val="1A1A1A"/>
        </w:rPr>
        <w:t>Part V — Editorial Guidance on Execution</w:t>
      </w:r>
    </w:p>
    <w:p>
      <w:r>
        <w:rPr>
          <w:b/>
          <w:i w:val="0"/>
        </w:rPr>
        <w:t>The pattern that unites the top-ranked items.</w:t>
      </w:r>
      <w:r>
        <w:rPr>
          <w:b w:val="0"/>
          <w:i w:val="0"/>
        </w:rPr>
        <w:t xml:space="preserve"> Every high scorer above does the same structural thing: it names a </w:t>
      </w:r>
      <w:r>
        <w:rPr>
          <w:b/>
          <w:i w:val="0"/>
        </w:rPr>
        <w:t>scope condition of a canonical theory that has expired</w:t>
      </w:r>
      <w:r>
        <w:rPr>
          <w:b w:val="0"/>
          <w:i w:val="0"/>
        </w:rPr>
        <w:t>, shows the theory therefore mispredicts, and supplies the replacement mechanism. That is the only reliable formula for a theoretical contribution at this level. "X has not been studied in context Y" is not a gap; "theory T predicts A, and we observe not-A, because assumption S no longer holds" is.</w:t>
      </w:r>
    </w:p>
    <w:p>
      <w:r>
        <w:rPr>
          <w:b/>
          <w:i w:val="0"/>
        </w:rPr>
        <w:t>Portfolio construction by researcher profile.</w:t>
      </w:r>
    </w:p>
    <w:p>
      <w:pPr>
        <w:pStyle w:val="ListBullet"/>
      </w:pPr>
      <w:r>
        <w:rPr>
          <w:b w:val="0"/>
          <w:i/>
        </w:rPr>
        <w:t>Behavioral experimentalist:</w:t>
      </w:r>
      <w:r>
        <w:rPr>
          <w:b w:val="0"/>
          <w:i w:val="0"/>
        </w:rPr>
        <w:t xml:space="preserve"> start #4, then #9, then the experimental arm of #5. All three have clean designs and low access risk.</w:t>
      </w:r>
    </w:p>
    <w:p>
      <w:pPr>
        <w:pStyle w:val="ListBullet"/>
      </w:pPr>
      <w:r>
        <w:rPr>
          <w:b w:val="0"/>
          <w:i/>
        </w:rPr>
        <w:t>Qualitative / process theorist:</w:t>
      </w:r>
      <w:r>
        <w:rPr>
          <w:b w:val="0"/>
          <w:i w:val="0"/>
        </w:rPr>
        <w:t xml:space="preserve"> start #12 or #10, then #2. These are field-intensive with high novelty ceilings; begin data collection before the phenomenon completes.</w:t>
      </w:r>
    </w:p>
    <w:p>
      <w:pPr>
        <w:pStyle w:val="ListBullet"/>
      </w:pPr>
      <w:r>
        <w:rPr>
          <w:b w:val="0"/>
          <w:i/>
        </w:rPr>
        <w:t>Archival / econometric:</w:t>
      </w:r>
      <w:r>
        <w:rPr>
          <w:b w:val="0"/>
          <w:i w:val="0"/>
        </w:rPr>
        <w:t xml:space="preserve"> start #8 (French repairability index and staggered US state adoption are the best natural experiments in this entire agenda), then #11, then #1.</w:t>
      </w:r>
    </w:p>
    <w:p>
      <w:pPr>
        <w:pStyle w:val="ListBullet"/>
      </w:pPr>
      <w:r>
        <w:rPr>
          <w:b w:val="0"/>
          <w:i/>
        </w:rPr>
        <w:t>SCM / operations:</w:t>
      </w:r>
      <w:r>
        <w:rPr>
          <w:b w:val="0"/>
          <w:i w:val="0"/>
        </w:rPr>
        <w:t xml:space="preserve"> start #6, then #11. Both need upstream or lower-tier data; secure access first, theorize second.</w:t>
      </w:r>
    </w:p>
    <w:p>
      <w:pPr>
        <w:pStyle w:val="ListBullet"/>
      </w:pPr>
      <w:r>
        <w:rPr>
          <w:b w:val="0"/>
          <w:i/>
        </w:rPr>
        <w:t>Strategy / macro theorist:</w:t>
      </w:r>
      <w:r>
        <w:rPr>
          <w:b w:val="0"/>
          <w:i w:val="0"/>
        </w:rPr>
        <w:t xml:space="preserve"> #3 for AMR, #2 for AMJ. Write the theory paper first and let it recruit empirical collaborators.</w:t>
      </w:r>
    </w:p>
    <w:p>
      <w:r>
        <w:rPr>
          <w:b/>
          <w:i w:val="0"/>
        </w:rPr>
        <w:t>Paper-pairing strategy (how these become programs, not papers).</w:t>
      </w:r>
      <w:r>
        <w:rPr>
          <w:b w:val="0"/>
          <w:i w:val="0"/>
        </w:rPr>
        <w:t xml:space="preserve"> Several opportunities are naturally two-paper sets, which is how research programs get built and how FT50 portfolios get made: #1 (firm-side) with W4 (innovation-side); #8 (sovereignty gained) with W6 (sovereignty lost); #2 (retrenchment in rich economies) with #10 (formalization in emerging ones) — together these form a general theory of market institutional change in both directions, which is a career-defining framing; #6 (recipient-side justice) with #11 (fragility transfer) as a two-paper reconstruction of supply chain governance from the weaker party's standpoint.</w:t>
      </w:r>
    </w:p>
    <w:p>
      <w:r>
        <w:rPr>
          <w:b/>
          <w:i w:val="0"/>
        </w:rPr>
        <w:t>Three failure modes to avoid.</w:t>
      </w:r>
    </w:p>
    <w:p>
      <w:pPr>
        <w:pStyle w:val="ListNumber"/>
      </w:pPr>
      <w:r>
        <w:rPr>
          <w:b/>
          <w:i w:val="0"/>
        </w:rPr>
        <w:t>Advocacy in theory's clothing.</w:t>
      </w:r>
      <w:r>
        <w:rPr>
          <w:b w:val="0"/>
          <w:i w:val="0"/>
        </w:rPr>
        <w:t xml:space="preserve"> #1, #3, #9, #10, and #12 all carry a normative charge. Each must predict where the desirable outcome </w:t>
      </w:r>
      <w:r>
        <w:rPr>
          <w:b w:val="0"/>
          <w:i/>
        </w:rPr>
        <w:t>will not</w:t>
      </w:r>
      <w:r>
        <w:rPr>
          <w:b w:val="0"/>
          <w:i w:val="0"/>
        </w:rPr>
        <w:t xml:space="preserve"> occur. Reviewers detect motivated reasoning quickly, and it is the most common reason strong sustainability manuscripts are rejected.</w:t>
      </w:r>
    </w:p>
    <w:p>
      <w:pPr>
        <w:pStyle w:val="ListNumber"/>
      </w:pPr>
      <w:r>
        <w:rPr>
          <w:b/>
          <w:i w:val="0"/>
        </w:rPr>
        <w:t>Phenomenon description at theory prices.</w:t>
      </w:r>
      <w:r>
        <w:rPr>
          <w:b w:val="0"/>
          <w:i w:val="0"/>
        </w:rPr>
        <w:t xml:space="preserve"> Interesting phenomena (#5, #8, #12) tempt authors into rich description. Without a named construct, a specified mechanism, and a falsifiable directional prediction, these become excellent conference papers and rejected manuscripts.</w:t>
      </w:r>
    </w:p>
    <w:p>
      <w:pPr>
        <w:pStyle w:val="ListNumber"/>
      </w:pPr>
      <w:r>
        <w:rPr>
          <w:b/>
          <w:i w:val="0"/>
        </w:rPr>
        <w:t>Level-of-analysis drift.</w:t>
      </w:r>
      <w:r>
        <w:rPr>
          <w:b w:val="0"/>
          <w:i w:val="0"/>
        </w:rPr>
        <w:t xml:space="preserve"> #2, #6, #10, #11, and #12 are all multi-level. Fix the theoretical unit in the first paragraph and keep the empirics at that level or explicitly nested. Drift between individual, firm, and system levels is the most common structural flaw in ambitious submissions.</w:t>
      </w:r>
    </w:p>
    <w:p>
      <w:r>
        <w:rPr>
          <w:b/>
          <w:i w:val="0"/>
        </w:rPr>
        <w:t>Saturation monitoring.</w:t>
      </w:r>
      <w:r>
        <w:rPr>
          <w:b w:val="0"/>
          <w:i w:val="0"/>
        </w:rPr>
        <w:t xml:space="preserve"> Re-scan every six months. The items most likely to become crowded first are #4 (pricing fairness under personalization) and W2 (misinformation); the items with the longest protected runway are #2, #3, #5, and #12, because each requires either long field access, formal theory, or both — which is precisely why they are worth starting now.</w:t>
      </w:r>
    </w:p>
    <w:p>
      <w:r>
        <w:rPr>
          <w:b w:val="0"/>
          <w:i/>
        </w:rPr>
        <w:t>Sources referenced above are linked inline. All summaries of external sources are paraphrased; content was rephrased for compliance with licensing restrictions.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FT50 Research Opportunity Portfolio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