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left"/>
      </w:pPr>
      <w:r>
        <w:rPr>
          <w:b w:val="0"/>
          <w:i w:val="0"/>
          <w:color w:val="1A1A1A"/>
        </w:rPr>
        <w:t>Conceptual Paper Skeleton</w:t>
      </w:r>
    </w:p>
    <w:p>
      <w:pPr>
        <w:pStyle w:val="Heading1"/>
        <w:jc w:val="left"/>
      </w:pPr>
      <w:r>
        <w:rPr>
          <w:b w:val="0"/>
          <w:i w:val="0"/>
          <w:color w:val="1A1A1A"/>
        </w:rPr>
        <w:t>Consumption by Proxy: Agency Transfer, Preference Fidelity, and Market Capture in Aging Households</w:t>
      </w:r>
    </w:p>
    <w:p>
      <w:r>
        <w:rPr>
          <w:b/>
          <w:i w:val="0"/>
        </w:rPr>
        <w:t>Status:</w:t>
      </w:r>
      <w:r>
        <w:rPr>
          <w:b w:val="0"/>
          <w:i w:val="0"/>
        </w:rPr>
        <w:t xml:space="preserve"> Skeleton for a lead conceptual paper plus a mapped empirical program. </w:t>
      </w:r>
      <w:r>
        <w:rPr>
          <w:b/>
          <w:i w:val="0"/>
        </w:rPr>
        <w:t>Prepared as:</w:t>
      </w:r>
      <w:r>
        <w:rPr>
          <w:b w:val="0"/>
          <w:i w:val="0"/>
        </w:rPr>
        <w:t xml:space="preserve"> editor-and-coauthor pass, not a literature summary.</w:t>
      </w:r>
    </w:p>
    <w:p>
      <w:pPr>
        <w:pStyle w:val="Heading2"/>
      </w:pPr>
      <w:r>
        <w:rPr>
          <w:b w:val="0"/>
          <w:i w:val="0"/>
          <w:color w:val="1A1A1A"/>
        </w:rPr>
        <w:t>0. Two decisions to make before writing a word</w:t>
      </w:r>
    </w:p>
    <w:p>
      <w:pPr>
        <w:pStyle w:val="Heading3"/>
      </w:pPr>
      <w:r>
        <w:rPr>
          <w:b w:val="0"/>
          <w:i w:val="0"/>
          <w:color w:val="1A1A1A"/>
        </w:rPr>
        <w:t>0.1 A correction to my earlier journal recommendation</w:t>
      </w:r>
    </w:p>
    <w:p>
      <w:r>
        <w:rPr>
          <w:b w:val="0"/>
          <w:i w:val="0"/>
        </w:rPr>
        <w:t xml:space="preserve">In the portfolio document I listed </w:t>
      </w:r>
      <w:r>
        <w:rPr>
          <w:b w:val="0"/>
          <w:i/>
        </w:rPr>
        <w:t>Journal of Consumer Research</w:t>
      </w:r>
      <w:r>
        <w:rPr>
          <w:b w:val="0"/>
          <w:i w:val="0"/>
        </w:rPr>
        <w:t xml:space="preserve"> as the lead target. Having now verified the surrounding literature, </w:t>
      </w:r>
      <w:r>
        <w:rPr>
          <w:b/>
          <w:i w:val="0"/>
        </w:rPr>
        <w:t>I am revising that.</w:t>
      </w:r>
      <w:r>
        <w:rPr>
          <w:b w:val="0"/>
          <w:i w:val="0"/>
        </w:rPr>
        <w:t xml:space="preserve"> JCR is overwhelmingly empirical and does not reward propositional conceptual frameworks; a propositions paper submitted there will be desk-rejected or sent back as "interesting framework, where are the studies."</w:t>
      </w:r>
    </w:p>
    <w:p>
      <w:r>
        <w:rPr>
          <w:b/>
          <w:i w:val="0"/>
        </w:rPr>
        <w:t>Revised targeting: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i w:val="0"/>
                <w:sz w:val="18"/>
              </w:rPr>
              <w:t>Deliverable</w:t>
            </w:r>
          </w:p>
        </w:tc>
        <w:tc>
          <w:tcPr>
            <w:tcW w:type="dxa" w:w="2880"/>
          </w:tcPr>
          <w:p>
            <w:r>
              <w:rPr>
                <w:b/>
                <w:sz w:val="18"/>
              </w:rPr>
            </w:r>
            <w:r>
              <w:rPr>
                <w:b/>
                <w:i w:val="0"/>
                <w:sz w:val="18"/>
              </w:rPr>
              <w:t>Target</w:t>
            </w:r>
          </w:p>
        </w:tc>
        <w:tc>
          <w:tcPr>
            <w:tcW w:type="dxa" w:w="2880"/>
          </w:tcPr>
          <w:p>
            <w:r>
              <w:rPr>
                <w:b/>
                <w:sz w:val="18"/>
              </w:rPr>
            </w:r>
            <w:r>
              <w:rPr>
                <w:b/>
                <w:i w:val="0"/>
                <w:sz w:val="18"/>
              </w:rPr>
              <w:t>Why</w:t>
            </w:r>
          </w:p>
        </w:tc>
      </w:tr>
      <w:tr>
        <w:tc>
          <w:tcPr>
            <w:tcW w:type="dxa" w:w="2880"/>
          </w:tcPr>
          <w:p>
            <w:r>
              <w:rPr>
                <w:sz w:val="18"/>
              </w:rPr>
            </w:r>
            <w:r>
              <w:rPr>
                <w:b/>
                <w:i w:val="0"/>
                <w:sz w:val="18"/>
              </w:rPr>
              <w:t>Paper A — conceptual framework with propositions</w:t>
            </w:r>
            <w:r>
              <w:rPr>
                <w:b w:val="0"/>
                <w:i w:val="0"/>
                <w:sz w:val="18"/>
              </w:rPr>
              <w:t xml:space="preserve"> (this skeleton)</w:t>
            </w:r>
          </w:p>
        </w:tc>
        <w:tc>
          <w:tcPr>
            <w:tcW w:type="dxa" w:w="2880"/>
          </w:tcPr>
          <w:p>
            <w:r>
              <w:rPr>
                <w:sz w:val="18"/>
              </w:rPr>
            </w:r>
            <w:r>
              <w:rPr>
                <w:b/>
                <w:i/>
                <w:sz w:val="18"/>
              </w:rPr>
              <w:t>Journal of Marketing</w:t>
            </w:r>
            <w:r>
              <w:rPr>
                <w:b w:val="0"/>
                <w:i w:val="0"/>
                <w:sz w:val="18"/>
              </w:rPr>
              <w:t xml:space="preserve"> (conceptual track), fallback </w:t>
            </w:r>
            <w:r>
              <w:rPr>
                <w:b/>
                <w:i/>
                <w:sz w:val="18"/>
              </w:rPr>
              <w:t>JAMS</w:t>
            </w:r>
          </w:p>
        </w:tc>
        <w:tc>
          <w:tcPr>
            <w:tcW w:type="dxa" w:w="2880"/>
          </w:tcPr>
          <w:p>
            <w:r>
              <w:rPr>
                <w:sz w:val="18"/>
              </w:rPr>
            </w:r>
            <w:r>
              <w:rPr>
                <w:b w:val="0"/>
                <w:i w:val="0"/>
                <w:sz w:val="18"/>
              </w:rPr>
              <w:t>JM has publicly signalled appetite for conceptual work that builds frameworks for emerging marketplace challenges (</w:t>
            </w:r>
            <w:r>
              <w:rPr>
                <w:b w:val="0"/>
                <w:i w:val="0"/>
                <w:sz w:val="18"/>
              </w:rPr>
              <w:t>AMA/JM press archive (https://www.ama.org/journal-of-marketing-press-release-archive/)</w:t>
            </w:r>
            <w:r>
              <w:rPr>
                <w:b w:val="0"/>
                <w:i w:val="0"/>
                <w:sz w:val="18"/>
              </w:rPr>
              <w:t>). The market-level "proxy capture" argument in Block D is what makes it a JM paper rather than a psychology paper.</w:t>
            </w:r>
          </w:p>
        </w:tc>
      </w:tr>
      <w:tr>
        <w:tc>
          <w:tcPr>
            <w:tcW w:type="dxa" w:w="2880"/>
          </w:tcPr>
          <w:p>
            <w:r>
              <w:rPr>
                <w:sz w:val="18"/>
              </w:rPr>
            </w:r>
            <w:r>
              <w:rPr>
                <w:b/>
                <w:i w:val="0"/>
                <w:sz w:val="18"/>
              </w:rPr>
              <w:t>Paper B — dyadic empirical paper</w:t>
            </w:r>
            <w:r>
              <w:rPr>
                <w:b w:val="0"/>
                <w:i w:val="0"/>
                <w:sz w:val="18"/>
              </w:rPr>
              <w:t xml:space="preserve"> (Study 1 + Study 3 below)</w:t>
            </w:r>
          </w:p>
        </w:tc>
        <w:tc>
          <w:tcPr>
            <w:tcW w:type="dxa" w:w="2880"/>
          </w:tcPr>
          <w:p>
            <w:r>
              <w:rPr>
                <w:sz w:val="18"/>
              </w:rPr>
            </w:r>
            <w:r>
              <w:rPr>
                <w:b/>
                <w:i/>
                <w:sz w:val="18"/>
              </w:rPr>
              <w:t>JCR</w:t>
            </w:r>
          </w:p>
        </w:tc>
        <w:tc>
          <w:tcPr>
            <w:tcW w:type="dxa" w:w="2880"/>
          </w:tcPr>
          <w:p>
            <w:r>
              <w:rPr>
                <w:sz w:val="18"/>
              </w:rPr>
            </w:r>
            <w:r>
              <w:rPr>
                <w:b w:val="0"/>
                <w:i w:val="0"/>
                <w:sz w:val="18"/>
              </w:rPr>
              <w:t>The preference-fidelity measure and the estimation-vs-enactment gap are a natural JCR multi-study article.</w:t>
            </w:r>
          </w:p>
        </w:tc>
      </w:tr>
      <w:tr>
        <w:tc>
          <w:tcPr>
            <w:tcW w:type="dxa" w:w="2880"/>
          </w:tcPr>
          <w:p>
            <w:r>
              <w:rPr>
                <w:sz w:val="18"/>
              </w:rPr>
            </w:r>
            <w:r>
              <w:rPr>
                <w:b/>
                <w:i w:val="0"/>
                <w:sz w:val="18"/>
              </w:rPr>
              <w:t>Paper C — policy/well-being paper</w:t>
            </w:r>
            <w:r>
              <w:rPr>
                <w:b w:val="0"/>
                <w:i w:val="0"/>
                <w:sz w:val="18"/>
              </w:rPr>
              <w:t xml:space="preserve"> (Study 4)</w:t>
            </w:r>
          </w:p>
        </w:tc>
        <w:tc>
          <w:tcPr>
            <w:tcW w:type="dxa" w:w="2880"/>
          </w:tcPr>
          <w:p>
            <w:r>
              <w:rPr>
                <w:sz w:val="18"/>
              </w:rPr>
            </w:r>
            <w:r>
              <w:rPr>
                <w:b/>
                <w:i/>
                <w:sz w:val="18"/>
              </w:rPr>
              <w:t>JPPM</w:t>
            </w:r>
            <w:r>
              <w:rPr>
                <w:b w:val="0"/>
                <w:i w:val="0"/>
                <w:sz w:val="18"/>
              </w:rPr>
              <w:t xml:space="preserve"> or </w:t>
            </w:r>
            <w:r>
              <w:rPr>
                <w:b/>
                <w:i/>
                <w:sz w:val="18"/>
              </w:rPr>
              <w:t>JSR</w:t>
            </w:r>
          </w:p>
        </w:tc>
        <w:tc>
          <w:tcPr>
            <w:tcW w:type="dxa" w:w="2880"/>
          </w:tcPr>
          <w:p>
            <w:r>
              <w:rPr>
                <w:sz w:val="18"/>
              </w:rPr>
            </w:r>
            <w:r>
              <w:rPr>
                <w:b w:val="0"/>
                <w:i w:val="0"/>
                <w:sz w:val="18"/>
              </w:rPr>
              <w:t>Intervention evidence.</w:t>
            </w:r>
          </w:p>
        </w:tc>
      </w:tr>
    </w:tbl>
    <w:p/>
    <w:p>
      <w:r>
        <w:rPr>
          <w:b w:val="0"/>
          <w:i w:val="0"/>
        </w:rPr>
        <w:t xml:space="preserve">Write </w:t>
      </w:r>
      <w:r>
        <w:rPr>
          <w:b/>
          <w:i w:val="0"/>
        </w:rPr>
        <w:t>A and B as a matched pair</w:t>
      </w:r>
      <w:r>
        <w:rPr>
          <w:b w:val="0"/>
          <w:i w:val="0"/>
        </w:rPr>
        <w:t>, A first. The rest of this skeleton is Paper A, with the studies mapped so they serve both.</w:t>
      </w:r>
    </w:p>
    <w:p>
      <w:pPr>
        <w:pStyle w:val="Heading3"/>
      </w:pPr>
      <w:r>
        <w:rPr>
          <w:b w:val="0"/>
          <w:i w:val="0"/>
          <w:color w:val="1A1A1A"/>
        </w:rPr>
        <w:t>0.2 The one finding that reshapes the whole paper</w:t>
      </w:r>
    </w:p>
    <w:p>
      <w:r>
        <w:rPr>
          <w:b w:val="0"/>
          <w:i w:val="0"/>
        </w:rPr>
        <w:t xml:space="preserve">I went looking for the strongest rival literature and found something better than a rival — a </w:t>
      </w:r>
      <w:r>
        <w:rPr>
          <w:b/>
          <w:i w:val="0"/>
        </w:rPr>
        <w:t>gift</w:t>
      </w:r>
      <w:r>
        <w:rPr>
          <w:b w:val="0"/>
          <w:i w:val="0"/>
        </w:rPr>
        <w:t>.</w:t>
      </w:r>
    </w:p>
    <w:p>
      <w:r>
        <w:rPr>
          <w:b w:val="0"/>
          <w:i w:val="0"/>
        </w:rPr>
        <w:t>Tunney and Ziegler (</w:t>
      </w:r>
      <w:r>
        <w:rPr>
          <w:b w:val="0"/>
          <w:i w:val="0"/>
        </w:rPr>
        <w:t>*Frontiers in Psychology*, 2015 (https://www.frontiersin.org/articles/10.3389/fpsyg.2015.00315/full)</w:t>
      </w:r>
      <w:r>
        <w:rPr>
          <w:b w:val="0"/>
          <w:i w:val="0"/>
        </w:rPr>
        <w:t xml:space="preserve">) show that people </w:t>
      </w:r>
      <w:r>
        <w:rPr>
          <w:b/>
          <w:i w:val="0"/>
        </w:rPr>
        <w:t>can</w:t>
      </w:r>
      <w:r>
        <w:rPr>
          <w:b w:val="0"/>
          <w:i w:val="0"/>
        </w:rPr>
        <w:t xml:space="preserve"> predict others' preferences accurately, via genuine perspective-taking rather than anchoring on their own preferences, and they conclude explicitly that utility estimation is </w:t>
      </w:r>
      <w:r>
        <w:rPr>
          <w:b w:val="0"/>
          <w:i/>
        </w:rPr>
        <w:t>not</w:t>
      </w:r>
      <w:r>
        <w:rPr>
          <w:b w:val="0"/>
          <w:i w:val="0"/>
        </w:rPr>
        <w:t xml:space="preserve"> the source of inaccuracy in surrogate decision-making. Independently, the medical meta-analysis by Shalowitz, Garrett-Mayer and Wendler (</w:t>
      </w:r>
      <w:r>
        <w:rPr>
          <w:b w:val="0"/>
          <w:i w:val="0"/>
        </w:rPr>
        <w:t>*Archives of Internal Medicine*, 2006 (https://jamanetwork.com/journals/jamainternalmedicine/fullarticle/409986)</w:t>
      </w:r>
      <w:r>
        <w:rPr>
          <w:b w:val="0"/>
          <w:i w:val="0"/>
        </w:rPr>
        <w:t xml:space="preserve">) finds surrogates predict patient preferences with roughly 68% accuracy — and, critically, that </w:t>
      </w:r>
      <w:r>
        <w:rPr>
          <w:b/>
          <w:i w:val="0"/>
        </w:rPr>
        <w:t>neither designating the surrogate in advance nor discussing preferences beforehand improved accuracy.</w:t>
      </w:r>
    </w:p>
    <w:p>
      <w:r>
        <w:rPr>
          <w:b w:val="0"/>
          <w:i w:val="0"/>
        </w:rPr>
        <w:t>Put those together and you get the paper's spine:</w:t>
      </w:r>
    </w:p>
    <w:p>
      <w:pPr>
        <w:pStyle w:val="IntenseQuote"/>
      </w:pPr>
      <w:r>
        <w:rPr>
          <w:b/>
          <w:i w:val="0"/>
        </w:rPr>
        <w:t>Proxy decisions do not fail because the proxy does not know what the principal wants. They fail because knowing does not govern choosing.</w:t>
      </w:r>
    </w:p>
    <w:p>
      <w:r>
        <w:rPr>
          <w:b w:val="0"/>
          <w:i w:val="0"/>
        </w:rPr>
        <w:t xml:space="preserve">That single move does three things at once: it kills the "the proxy just has better/worse information" alternative explanation before a reviewer raises it; it forces the mechanism to be </w:t>
      </w:r>
      <w:r>
        <w:rPr>
          <w:b w:val="0"/>
          <w:i/>
        </w:rPr>
        <w:t>motivational and structural</w:t>
      </w:r>
      <w:r>
        <w:rPr>
          <w:b w:val="0"/>
          <w:i w:val="0"/>
        </w:rPr>
        <w:t xml:space="preserve"> rather than informational; and it makes the contribution marketing's rather than psychology's, because the structures that decouple knowing from choosing are </w:t>
      </w:r>
      <w:r>
        <w:rPr>
          <w:b/>
          <w:i w:val="0"/>
        </w:rPr>
        <w:t>accountability regimes, money flows, and market infrastructure.</w:t>
      </w:r>
    </w:p>
    <w:p>
      <w:r>
        <w:rPr>
          <w:b w:val="0"/>
          <w:i w:val="0"/>
        </w:rPr>
        <w:t>Build the entire paper on this. It is the difference between a competent framework and a lead article.</w:t>
      </w:r>
    </w:p>
    <w:p>
      <w:pPr>
        <w:pStyle w:val="Heading2"/>
      </w:pPr>
      <w:r>
        <w:rPr>
          <w:b w:val="0"/>
          <w:i w:val="0"/>
          <w:color w:val="1A1A1A"/>
        </w:rPr>
        <w:t>1. Title options</w:t>
      </w:r>
    </w:p>
    <w:p>
      <w:pPr>
        <w:pStyle w:val="ListNumber"/>
      </w:pPr>
      <w:r>
        <w:rPr>
          <w:b/>
          <w:i w:val="0"/>
        </w:rPr>
        <w:t>Consumption by Proxy: Agency Transfer, Preference Fidelity, and Market Capture in Aging Households</w:t>
      </w:r>
      <w:r>
        <w:rPr>
          <w:b w:val="0"/>
          <w:i w:val="0"/>
        </w:rPr>
        <w:t xml:space="preserve"> </w:t>
      </w:r>
      <w:r>
        <w:rPr>
          <w:b w:val="0"/>
          <w:i/>
        </w:rPr>
        <w:t>(recommended — names construct, mechanism, and market level)</w:t>
      </w:r>
    </w:p>
    <w:p>
      <w:pPr>
        <w:pStyle w:val="ListNumber"/>
      </w:pPr>
      <w:r>
        <w:rPr>
          <w:b w:val="0"/>
          <w:i w:val="0"/>
        </w:rPr>
        <w:t>Whose Preferences Get Bought? A Theory of Proxy Consumption Agency</w:t>
      </w:r>
    </w:p>
    <w:p>
      <w:pPr>
        <w:pStyle w:val="ListNumber"/>
      </w:pPr>
      <w:r>
        <w:rPr>
          <w:b w:val="0"/>
          <w:i w:val="0"/>
        </w:rPr>
        <w:t>Deciding for Mother: How Markets Select for the Preferences of the Decider, Not the Consumer</w:t>
      </w:r>
    </w:p>
    <w:p>
      <w:pPr>
        <w:pStyle w:val="ListNumber"/>
      </w:pPr>
      <w:r>
        <w:rPr>
          <w:b w:val="0"/>
          <w:i w:val="0"/>
        </w:rPr>
        <w:t>The Fidelity Problem: Proxy Consumption Agency in Aging Markets</w:t>
      </w:r>
    </w:p>
    <w:p>
      <w:pPr>
        <w:pStyle w:val="Heading2"/>
      </w:pPr>
      <w:r>
        <w:rPr>
          <w:b w:val="0"/>
          <w:i w:val="0"/>
          <w:color w:val="1A1A1A"/>
        </w:rPr>
        <w:t>2. Abstract (draft, 218 words — JM register)</w:t>
      </w:r>
    </w:p>
    <w:p>
      <w:pPr>
        <w:pStyle w:val="IntenseQuote"/>
      </w:pPr>
      <w:r>
        <w:rPr>
          <w:b w:val="0"/>
          <w:i w:val="0"/>
        </w:rPr>
        <w:t>A large and rapidly growing share of household consumption is chosen by someone other than the person who consumes it. As populations age, adult children and other caregivers increasingly select the food, housing, healthcare, financial products, and services their declining parents experience, and they do so using the parents' money. Marketing theory has no account of this arrangement. Family decision-making research assumes competence that ascends through socialization or is negotiated between peers; consumer vulnerability research locates vulnerability in the individual; and the surrogate consumer construct describes experts voluntarily hired for superior judgment. Proxy consumption inverts all three: authority moves toward the less-informed party, is conscripted by kinship rather than contracted, and cannot be revoked by the person it displaces.</w:t>
      </w:r>
    </w:p>
    <w:p>
      <w:pPr>
        <w:pStyle w:val="IntenseQuote"/>
      </w:pPr>
    </w:p>
    <w:p>
      <w:pPr>
        <w:pStyle w:val="IntenseQuote"/>
      </w:pPr>
      <w:r>
        <w:rPr>
          <w:b w:val="0"/>
          <w:i w:val="0"/>
        </w:rPr>
        <w:t xml:space="preserve">We develop the construct of </w:t>
      </w:r>
      <w:r>
        <w:rPr>
          <w:b/>
          <w:i w:val="0"/>
        </w:rPr>
        <w:t>proxy consumption agency</w:t>
      </w:r>
      <w:r>
        <w:rPr>
          <w:b w:val="0"/>
          <w:i w:val="0"/>
        </w:rPr>
        <w:t xml:space="preserve"> and a framework specifying how decision authority transfers, how it distorts choice, and how markets respond. We argue that transfer is triggered episodically rather than gradually, overshoots actual capacity loss, and ratchets — partly because market account architecture materially entrenches it. We argue that distortion is compositional and directional: because proxies are accountable for verifiable harms but not for forgone benefits, they systematically over-weight harm avoidance and under-weight hedonic and identity-expressive value. Finally, we argue that because firms collect feedback from the transacting proxy, </w:t>
      </w:r>
      <w:r>
        <w:rPr>
          <w:b/>
          <w:i w:val="0"/>
        </w:rPr>
        <w:t>markets do not correct proxy distortion — they select for it.</w:t>
      </w:r>
      <w:r>
        <w:rPr>
          <w:b w:val="0"/>
          <w:i w:val="0"/>
        </w:rPr>
        <w:t xml:space="preserve"> We term this proxy capture, and derive twelve propositions, an empirical program, and remedies.</w:t>
      </w:r>
    </w:p>
    <w:p>
      <w:r>
        <w:rPr>
          <w:b w:val="0"/>
          <w:i/>
        </w:rPr>
        <w:t>Editing notes:</w:t>
      </w:r>
      <w:r>
        <w:rPr>
          <w:b w:val="0"/>
          <w:i w:val="0"/>
        </w:rPr>
        <w:t xml:space="preserve"> the last sentence of paragraph one ("cannot be revoked by the person it displaces") is the differentiation sentence — do not cut it. The bolded market-level claim is the reason this is a JM paper; it must appear in the abstract.</w:t>
      </w:r>
    </w:p>
    <w:p>
      <w:pPr>
        <w:pStyle w:val="Heading2"/>
      </w:pPr>
      <w:r>
        <w:rPr>
          <w:b w:val="0"/>
          <w:i w:val="0"/>
          <w:color w:val="1A1A1A"/>
        </w:rPr>
        <w:t>3. Positioning paragraphs (the opening — write these first, revise them last)</w:t>
      </w:r>
    </w:p>
    <w:p>
      <w:r>
        <w:rPr>
          <w:b/>
          <w:i w:val="0"/>
        </w:rPr>
        <w:t>Paragraph 1 — the phenomenon, stated as a violation.</w:t>
      </w:r>
    </w:p>
    <w:p>
      <w:pPr>
        <w:pStyle w:val="IntenseQuote"/>
      </w:pPr>
      <w:r>
        <w:rPr>
          <w:b w:val="0"/>
          <w:i w:val="0"/>
        </w:rPr>
        <w:t>Consider a decision that marketing theory cannot classify. An adult daughter selects a residential care facility for her mother, pays for it from her mother's savings, evaluates the alternatives on safety records and cleanliness, is telephoned by the facility's marketing team, completes its satisfaction survey, writes its online review, and will inherit whatever remains unspent. Her mother will live there. Her mother did not choose it, will not be surveyed, and cannot leave. Every actor in this transaction behaves reasonably, and the market functions: the facility learns what its customers value, competes to deliver it, and improves. The person who consumes the service is not among the customers whose preferences the market is learning.</w:t>
      </w:r>
    </w:p>
    <w:p>
      <w:r>
        <w:rPr>
          <w:b/>
          <w:i w:val="0"/>
        </w:rPr>
        <w:t>Paragraph 2 — the theoretical gap, named precisely.</w:t>
      </w:r>
    </w:p>
    <w:p>
      <w:pPr>
        <w:pStyle w:val="IntenseQuote"/>
      </w:pPr>
      <w:r>
        <w:rPr>
          <w:b w:val="0"/>
          <w:i w:val="0"/>
        </w:rPr>
        <w:t xml:space="preserve">Three literatures approach this arrangement and each stops short of it. Family decision-making research, from Davis's early work through Epp and Price's (2008) framework of identity interplay, theorizes households whose members negotiate as peers or in which competence and authority ascend together through socialization; it does not address authority that moves </w:t>
      </w:r>
      <w:r>
        <w:rPr>
          <w:b w:val="0"/>
          <w:i/>
        </w:rPr>
        <w:t>toward</w:t>
      </w:r>
      <w:r>
        <w:rPr>
          <w:b w:val="0"/>
          <w:i w:val="0"/>
        </w:rPr>
        <w:t xml:space="preserve"> the less-informed party as the more-informed party declines. Consumer vulnerability research, following Baker, Gentry and Rittenburg (2005) and Hill and Sharma (2020), locates vulnerability in an individual's restricted access to and control over resources; it has no apparatus for vulnerability that is </w:t>
      </w:r>
      <w:r>
        <w:rPr>
          <w:b w:val="0"/>
          <w:i/>
        </w:rPr>
        <w:t>administered by a relative</w:t>
      </w:r>
      <w:r>
        <w:rPr>
          <w:b w:val="0"/>
          <w:i w:val="0"/>
        </w:rPr>
        <w:t xml:space="preserve"> whose own guilt, convenience, siblings, and inheritance shape what the vulnerable consumer receives. And the surrogate consumer construct (Solomon 1986) describes a market professional voluntarily engaged for superior expertise under fiduciary constraint — the near-exact inverse of a daughter conscripted by kinship, unbounded by contract, and holding a residual claim on the assets she is spending. Barnhart and Peñaloza (2013) came closest, establishing the </w:t>
      </w:r>
      <w:r>
        <w:rPr>
          <w:b w:val="0"/>
          <w:i/>
        </w:rPr>
        <w:t>elderly consumption ensemble</w:t>
      </w:r>
      <w:r>
        <w:rPr>
          <w:b w:val="0"/>
          <w:i w:val="0"/>
        </w:rPr>
        <w:t xml:space="preserve"> and showing how old-age identity is negotiated within it; they flagged the question of agency in that ensemble at ACR in 2009 and consumer research has not returned to it in the fifteen years since. What remains untheorized is not whether others participate in the aging consumer's consumption — we know they do — but </w:t>
      </w:r>
      <w:r>
        <w:rPr>
          <w:b/>
          <w:i w:val="0"/>
        </w:rPr>
        <w:t>how decision authority is allocated within that ensemble, what systematically happens to the consumer's preferences when it moves, and why markets fail to notice.</w:t>
      </w:r>
    </w:p>
    <w:p>
      <w:r>
        <w:rPr>
          <w:b/>
          <w:i w:val="0"/>
        </w:rPr>
        <w:t>Paragraph 3 — the contribution, in the editor's language.</w:t>
      </w:r>
    </w:p>
    <w:p>
      <w:pPr>
        <w:pStyle w:val="IntenseQuote"/>
      </w:pPr>
      <w:r>
        <w:rPr>
          <w:b w:val="0"/>
          <w:i w:val="0"/>
        </w:rPr>
        <w:t xml:space="preserve">We make three contributions. First, we introduce proxy consumption agency as a construct distinct from surrogate consumption, joint decision-making, and vulnerability, and specify its scope conditions. Second, we develop a directional theory of proxy distortion grounded in accountability asymmetry rather than information deficit — an important distinction, because evidence from outside marketing indicates that proxies can estimate preferences accurately (Tunney and Ziegler 2015) and that improving their information does not improve their decisions (Shalowitz et al. 2006). Third, and most consequentially for marketing, we theorize the market-level consequence: because firms' feedback, targeting, and measurement systems are addressed to the transacting proxy, competitive selection amplifies rather than corrects proxy distortion. This yields a </w:t>
      </w:r>
      <w:r>
        <w:rPr>
          <w:b/>
          <w:i w:val="0"/>
        </w:rPr>
        <w:t>satisfaction–fidelity divergence</w:t>
      </w:r>
      <w:r>
        <w:rPr>
          <w:b w:val="0"/>
          <w:i w:val="0"/>
        </w:rPr>
        <w:t xml:space="preserve"> in which every metric a firm collects improves while the well-being of the person consuming the offering declines. We derive twelve propositions and an empirical program to test them, and identify measurement and account-architecture remedies available to firms today.</w:t>
      </w:r>
    </w:p>
    <w:p>
      <w:pPr>
        <w:pStyle w:val="Heading2"/>
      </w:pPr>
      <w:r>
        <w:rPr>
          <w:b w:val="0"/>
          <w:i w:val="0"/>
          <w:color w:val="1A1A1A"/>
        </w:rPr>
        <w:t>4. Construct definitions (put this as Table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i w:val="0"/>
                <w:sz w:val="18"/>
              </w:rPr>
              <w:t>Construct</w:t>
            </w:r>
          </w:p>
        </w:tc>
        <w:tc>
          <w:tcPr>
            <w:tcW w:type="dxa" w:w="2880"/>
          </w:tcPr>
          <w:p>
            <w:r>
              <w:rPr>
                <w:b/>
                <w:sz w:val="18"/>
              </w:rPr>
            </w:r>
            <w:r>
              <w:rPr>
                <w:b/>
                <w:i w:val="0"/>
                <w:sz w:val="18"/>
              </w:rPr>
              <w:t>Definition</w:t>
            </w:r>
          </w:p>
        </w:tc>
        <w:tc>
          <w:tcPr>
            <w:tcW w:type="dxa" w:w="2880"/>
          </w:tcPr>
          <w:p>
            <w:r>
              <w:rPr>
                <w:b/>
                <w:sz w:val="18"/>
              </w:rPr>
            </w:r>
            <w:r>
              <w:rPr>
                <w:b/>
                <w:i w:val="0"/>
                <w:sz w:val="18"/>
              </w:rPr>
              <w:t>Distinguished from</w:t>
            </w:r>
          </w:p>
        </w:tc>
      </w:tr>
      <w:tr>
        <w:tc>
          <w:tcPr>
            <w:tcW w:type="dxa" w:w="2880"/>
          </w:tcPr>
          <w:p>
            <w:r>
              <w:rPr>
                <w:sz w:val="18"/>
              </w:rPr>
            </w:r>
            <w:r>
              <w:rPr>
                <w:b/>
                <w:i w:val="0"/>
                <w:sz w:val="18"/>
              </w:rPr>
              <w:t>Proxy consumption agency (PCA)</w:t>
            </w:r>
          </w:p>
        </w:tc>
        <w:tc>
          <w:tcPr>
            <w:tcW w:type="dxa" w:w="2880"/>
          </w:tcPr>
          <w:p>
            <w:r>
              <w:rPr>
                <w:sz w:val="18"/>
              </w:rPr>
            </w:r>
            <w:r>
              <w:rPr>
                <w:b w:val="0"/>
                <w:i w:val="0"/>
                <w:sz w:val="18"/>
              </w:rPr>
              <w:t>The exercise of consumption decision authority by one actor over resources belonging to, and outcomes experienced by, another, where transfer is driven by the principal's declining capacity rather than the proxy's superior expertise, and is unbounded by explicit contract</w:t>
            </w:r>
          </w:p>
        </w:tc>
        <w:tc>
          <w:tcPr>
            <w:tcW w:type="dxa" w:w="2880"/>
          </w:tcPr>
          <w:p>
            <w:r>
              <w:rPr>
                <w:sz w:val="18"/>
              </w:rPr>
            </w:r>
            <w:r>
              <w:rPr>
                <w:b w:val="0"/>
                <w:i w:val="0"/>
                <w:sz w:val="18"/>
              </w:rPr>
              <w:t>Surrogate consumption (expertise-based, contracted, revocable); joint decision-making (concurrent authority); gift-giving (proxy's own resources, recipient's autonomy intact)</w:t>
            </w:r>
          </w:p>
        </w:tc>
      </w:tr>
      <w:tr>
        <w:tc>
          <w:tcPr>
            <w:tcW w:type="dxa" w:w="2880"/>
          </w:tcPr>
          <w:p>
            <w:r>
              <w:rPr>
                <w:sz w:val="18"/>
              </w:rPr>
            </w:r>
            <w:r>
              <w:rPr>
                <w:b/>
                <w:i w:val="0"/>
                <w:sz w:val="18"/>
              </w:rPr>
              <w:t>Agency-transfer trajectory</w:t>
            </w:r>
          </w:p>
        </w:tc>
        <w:tc>
          <w:tcPr>
            <w:tcW w:type="dxa" w:w="2880"/>
          </w:tcPr>
          <w:p>
            <w:r>
              <w:rPr>
                <w:sz w:val="18"/>
              </w:rPr>
            </w:r>
            <w:r>
              <w:rPr>
                <w:b w:val="0"/>
                <w:i w:val="0"/>
                <w:sz w:val="18"/>
              </w:rPr>
              <w:t>The staged reallocation of decision authority: advisory → scaffolded → substitutive → displacing → posthumous</w:t>
            </w:r>
          </w:p>
        </w:tc>
        <w:tc>
          <w:tcPr>
            <w:tcW w:type="dxa" w:w="2880"/>
          </w:tcPr>
          <w:p>
            <w:r>
              <w:rPr>
                <w:sz w:val="18"/>
              </w:rPr>
            </w:r>
            <w:r>
              <w:rPr>
                <w:b w:val="0"/>
                <w:i w:val="0"/>
                <w:sz w:val="18"/>
              </w:rPr>
              <w:t>Role specialization in household decision-making (stable division of labour, not directional transfer)</w:t>
            </w:r>
          </w:p>
        </w:tc>
      </w:tr>
      <w:tr>
        <w:tc>
          <w:tcPr>
            <w:tcW w:type="dxa" w:w="2880"/>
          </w:tcPr>
          <w:p>
            <w:r>
              <w:rPr>
                <w:sz w:val="18"/>
              </w:rPr>
            </w:r>
            <w:r>
              <w:rPr>
                <w:b/>
                <w:i w:val="0"/>
                <w:sz w:val="18"/>
              </w:rPr>
              <w:t>Preference fidelity</w:t>
            </w:r>
          </w:p>
        </w:tc>
        <w:tc>
          <w:tcPr>
            <w:tcW w:type="dxa" w:w="2880"/>
          </w:tcPr>
          <w:p>
            <w:r>
              <w:rPr>
                <w:sz w:val="18"/>
              </w:rPr>
            </w:r>
            <w:r>
              <w:rPr>
                <w:b w:val="0"/>
                <w:i w:val="0"/>
                <w:sz w:val="18"/>
              </w:rPr>
              <w:t>Correspondence between the principal's independently elicited preference and the choice enacted on their behalf</w:t>
            </w:r>
          </w:p>
        </w:tc>
        <w:tc>
          <w:tcPr>
            <w:tcW w:type="dxa" w:w="2880"/>
          </w:tcPr>
          <w:p>
            <w:r>
              <w:rPr>
                <w:sz w:val="18"/>
              </w:rPr>
            </w:r>
            <w:r>
              <w:rPr>
                <w:b w:val="0"/>
                <w:i w:val="0"/>
                <w:sz w:val="18"/>
              </w:rPr>
              <w:t>Satisfaction (evaluative, and typically measured on the proxy); service quality</w:t>
            </w:r>
          </w:p>
        </w:tc>
      </w:tr>
      <w:tr>
        <w:tc>
          <w:tcPr>
            <w:tcW w:type="dxa" w:w="2880"/>
          </w:tcPr>
          <w:p>
            <w:r>
              <w:rPr>
                <w:sz w:val="18"/>
              </w:rPr>
            </w:r>
            <w:r>
              <w:rPr>
                <w:b/>
                <w:i w:val="0"/>
                <w:sz w:val="18"/>
              </w:rPr>
              <w:t>Proxy distortion</w:t>
            </w:r>
          </w:p>
        </w:tc>
        <w:tc>
          <w:tcPr>
            <w:tcW w:type="dxa" w:w="2880"/>
          </w:tcPr>
          <w:p>
            <w:r>
              <w:rPr>
                <w:sz w:val="18"/>
              </w:rPr>
            </w:r>
            <w:r>
              <w:rPr>
                <w:b w:val="0"/>
                <w:i w:val="0"/>
                <w:sz w:val="18"/>
              </w:rPr>
              <w:t xml:space="preserve">Systematic, directional divergence of enacted choice from the principal's preference, in </w:t>
            </w:r>
            <w:r>
              <w:rPr>
                <w:b w:val="0"/>
                <w:i/>
                <w:sz w:val="18"/>
              </w:rPr>
              <w:t>attribute composition</w:t>
            </w:r>
            <w:r>
              <w:rPr>
                <w:b w:val="0"/>
                <w:i w:val="0"/>
                <w:sz w:val="18"/>
              </w:rPr>
              <w:t xml:space="preserve"> rather than merely expenditure level</w:t>
            </w:r>
          </w:p>
        </w:tc>
        <w:tc>
          <w:tcPr>
            <w:tcW w:type="dxa" w:w="2880"/>
          </w:tcPr>
          <w:p>
            <w:r>
              <w:rPr>
                <w:sz w:val="18"/>
              </w:rPr>
            </w:r>
            <w:r>
              <w:rPr>
                <w:b w:val="0"/>
                <w:i w:val="0"/>
                <w:sz w:val="18"/>
              </w:rPr>
              <w:t>Random error; preference estimation inaccuracy</w:t>
            </w:r>
          </w:p>
        </w:tc>
      </w:tr>
      <w:tr>
        <w:tc>
          <w:tcPr>
            <w:tcW w:type="dxa" w:w="2880"/>
          </w:tcPr>
          <w:p>
            <w:r>
              <w:rPr>
                <w:sz w:val="18"/>
              </w:rPr>
            </w:r>
            <w:r>
              <w:rPr>
                <w:b/>
                <w:i w:val="0"/>
                <w:sz w:val="18"/>
              </w:rPr>
              <w:t>Defensive choice</w:t>
            </w:r>
          </w:p>
        </w:tc>
        <w:tc>
          <w:tcPr>
            <w:tcW w:type="dxa" w:w="2880"/>
          </w:tcPr>
          <w:p>
            <w:r>
              <w:rPr>
                <w:sz w:val="18"/>
              </w:rPr>
            </w:r>
            <w:r>
              <w:rPr>
                <w:b w:val="0"/>
                <w:i w:val="0"/>
                <w:sz w:val="18"/>
              </w:rPr>
              <w:t>Selection favouring attributes whose absence would be blameable over attributes whose presence would be enjoyed</w:t>
            </w:r>
          </w:p>
        </w:tc>
        <w:tc>
          <w:tcPr>
            <w:tcW w:type="dxa" w:w="2880"/>
          </w:tcPr>
          <w:p>
            <w:r>
              <w:rPr>
                <w:sz w:val="18"/>
              </w:rPr>
            </w:r>
            <w:r>
              <w:rPr>
                <w:b w:val="0"/>
                <w:i w:val="0"/>
                <w:sz w:val="18"/>
              </w:rPr>
              <w:t>Risk aversion (a preference, not an accountability response)</w:t>
            </w:r>
          </w:p>
        </w:tc>
      </w:tr>
      <w:tr>
        <w:tc>
          <w:tcPr>
            <w:tcW w:type="dxa" w:w="2880"/>
          </w:tcPr>
          <w:p>
            <w:r>
              <w:rPr>
                <w:sz w:val="18"/>
              </w:rPr>
            </w:r>
            <w:r>
              <w:rPr>
                <w:b/>
                <w:i w:val="0"/>
                <w:sz w:val="18"/>
              </w:rPr>
              <w:t>Anticipatory ownership</w:t>
            </w:r>
          </w:p>
        </w:tc>
        <w:tc>
          <w:tcPr>
            <w:tcW w:type="dxa" w:w="2880"/>
          </w:tcPr>
          <w:p>
            <w:r>
              <w:rPr>
                <w:sz w:val="18"/>
              </w:rPr>
            </w:r>
            <w:r>
              <w:rPr>
                <w:b w:val="0"/>
                <w:i w:val="0"/>
                <w:sz w:val="18"/>
              </w:rPr>
              <w:t>The proxy's psychological claim on assets they will inherit, activated while spending them on the principal</w:t>
            </w:r>
          </w:p>
        </w:tc>
        <w:tc>
          <w:tcPr>
            <w:tcW w:type="dxa" w:w="2880"/>
          </w:tcPr>
          <w:p>
            <w:r>
              <w:rPr>
                <w:sz w:val="18"/>
              </w:rPr>
            </w:r>
            <w:r>
              <w:rPr>
                <w:b w:val="0"/>
                <w:i w:val="0"/>
                <w:sz w:val="18"/>
              </w:rPr>
              <w:t>Psychological ownership (Pierce et al.); endowment effect</w:t>
            </w:r>
          </w:p>
        </w:tc>
      </w:tr>
      <w:tr>
        <w:tc>
          <w:tcPr>
            <w:tcW w:type="dxa" w:w="2880"/>
          </w:tcPr>
          <w:p>
            <w:r>
              <w:rPr>
                <w:sz w:val="18"/>
              </w:rPr>
            </w:r>
            <w:r>
              <w:rPr>
                <w:b/>
                <w:i w:val="0"/>
                <w:sz w:val="18"/>
              </w:rPr>
              <w:t>Infrastructural agency capture</w:t>
            </w:r>
          </w:p>
        </w:tc>
        <w:tc>
          <w:tcPr>
            <w:tcW w:type="dxa" w:w="2880"/>
          </w:tcPr>
          <w:p>
            <w:r>
              <w:rPr>
                <w:sz w:val="18"/>
              </w:rPr>
            </w:r>
            <w:r>
              <w:rPr>
                <w:b w:val="0"/>
                <w:i w:val="0"/>
                <w:sz w:val="18"/>
              </w:rPr>
              <w:t>Entrenchment of transferred authority through market account architecture — logins, payment instruments, delivery defaults, loyalty and CRM records</w:t>
            </w:r>
          </w:p>
        </w:tc>
        <w:tc>
          <w:tcPr>
            <w:tcW w:type="dxa" w:w="2880"/>
          </w:tcPr>
          <w:p>
            <w:r>
              <w:rPr>
                <w:sz w:val="18"/>
              </w:rPr>
            </w:r>
            <w:r>
              <w:rPr>
                <w:b w:val="0"/>
                <w:i w:val="0"/>
                <w:sz w:val="18"/>
              </w:rPr>
              <w:t>Switching costs (borne by one consumer, not transferred between two)</w:t>
            </w:r>
          </w:p>
        </w:tc>
      </w:tr>
      <w:tr>
        <w:tc>
          <w:tcPr>
            <w:tcW w:type="dxa" w:w="2880"/>
          </w:tcPr>
          <w:p>
            <w:r>
              <w:rPr>
                <w:sz w:val="18"/>
              </w:rPr>
            </w:r>
            <w:r>
              <w:rPr>
                <w:b/>
                <w:i w:val="0"/>
                <w:sz w:val="18"/>
              </w:rPr>
              <w:t>Proxy capture</w:t>
            </w:r>
          </w:p>
        </w:tc>
        <w:tc>
          <w:tcPr>
            <w:tcW w:type="dxa" w:w="2880"/>
          </w:tcPr>
          <w:p>
            <w:r>
              <w:rPr>
                <w:sz w:val="18"/>
              </w:rPr>
            </w:r>
            <w:r>
              <w:rPr>
                <w:b w:val="0"/>
                <w:i w:val="0"/>
                <w:sz w:val="18"/>
              </w:rPr>
              <w:t>Market-level process by which competitive selection on proxy-sourced feedback shifts category offerings toward proxy-preferred attributes</w:t>
            </w:r>
          </w:p>
        </w:tc>
        <w:tc>
          <w:tcPr>
            <w:tcW w:type="dxa" w:w="2880"/>
          </w:tcPr>
          <w:p>
            <w:r>
              <w:rPr>
                <w:sz w:val="18"/>
              </w:rPr>
            </w:r>
            <w:r>
              <w:rPr>
                <w:b w:val="0"/>
                <w:i w:val="0"/>
                <w:sz w:val="18"/>
              </w:rPr>
              <w:t>Regulatory capture; principal–agent problem (contractual, with aligned metrics)</w:t>
            </w:r>
          </w:p>
        </w:tc>
      </w:tr>
      <w:tr>
        <w:tc>
          <w:tcPr>
            <w:tcW w:type="dxa" w:w="2880"/>
          </w:tcPr>
          <w:p>
            <w:r>
              <w:rPr>
                <w:sz w:val="18"/>
              </w:rPr>
            </w:r>
            <w:r>
              <w:rPr>
                <w:b/>
                <w:i w:val="0"/>
                <w:sz w:val="18"/>
              </w:rPr>
              <w:t>Satisfaction–fidelity divergence</w:t>
            </w:r>
          </w:p>
        </w:tc>
        <w:tc>
          <w:tcPr>
            <w:tcW w:type="dxa" w:w="2880"/>
          </w:tcPr>
          <w:p>
            <w:r>
              <w:rPr>
                <w:sz w:val="18"/>
              </w:rPr>
            </w:r>
            <w:r>
              <w:rPr>
                <w:b w:val="0"/>
                <w:i w:val="0"/>
                <w:sz w:val="18"/>
              </w:rPr>
              <w:t>Condition in which measured satisfaction rises while preference fidelity and principal well-being fall</w:t>
            </w:r>
          </w:p>
        </w:tc>
        <w:tc>
          <w:tcPr>
            <w:tcW w:type="dxa" w:w="2880"/>
          </w:tcPr>
          <w:p>
            <w:r>
              <w:rPr>
                <w:sz w:val="18"/>
              </w:rPr>
            </w:r>
            <w:r>
              <w:rPr>
                <w:b w:val="0"/>
                <w:i w:val="0"/>
                <w:sz w:val="18"/>
              </w:rPr>
              <w:t>Satisfaction–loyalty gap</w:t>
            </w:r>
          </w:p>
        </w:tc>
      </w:tr>
    </w:tbl>
    <w:p/>
    <w:p>
      <w:pPr>
        <w:pStyle w:val="Heading2"/>
      </w:pPr>
      <w:r>
        <w:rPr>
          <w:b w:val="0"/>
          <w:i w:val="0"/>
          <w:color w:val="1A1A1A"/>
        </w:rPr>
        <w:t>5. The framework (describe Figure 1 in words; draw it last)</w:t>
      </w:r>
    </w:p>
    <w:p>
      <w:r>
        <w:rPr>
          <w:b w:val="0"/>
          <w:i w:val="0"/>
        </w:rPr>
        <w:t>Three nested levels, read left to right, with one feedback loop that is the paper's punchline.</w:t>
      </w:r>
    </w:p>
    <w:p>
      <w:pPr>
        <w:pStyle w:val="ListBullet"/>
      </w:pPr>
      <w:r>
        <w:rPr>
          <w:b/>
          <w:i w:val="0"/>
        </w:rPr>
        <w:t>Level 1 — Trigger and transfer.</w:t>
      </w:r>
      <w:r>
        <w:rPr>
          <w:b w:val="0"/>
          <w:i w:val="0"/>
        </w:rPr>
        <w:t xml:space="preserve"> Capacity decline (gradual) → </w:t>
      </w:r>
      <w:r>
        <w:rPr>
          <w:b w:val="0"/>
          <w:i/>
        </w:rPr>
        <w:t>episodic capacity signal</w:t>
      </w:r>
      <w:r>
        <w:rPr>
          <w:b w:val="0"/>
          <w:i w:val="0"/>
        </w:rPr>
        <w:t xml:space="preserve"> (a fall, a hospitalization, a bereavement, a visible financial error) → discontinuous authority transfer → position on trajectory. Moderated by sibling structure, legal formalization, co-residence, filial norms.</w:t>
      </w:r>
    </w:p>
    <w:p>
      <w:pPr>
        <w:pStyle w:val="ListBullet"/>
      </w:pPr>
      <w:r>
        <w:rPr>
          <w:b/>
          <w:i w:val="0"/>
        </w:rPr>
        <w:t>Level 2 — Distortion.</w:t>
      </w:r>
      <w:r>
        <w:rPr>
          <w:b w:val="0"/>
          <w:i w:val="0"/>
        </w:rPr>
        <w:t xml:space="preserve"> Position on trajectory → four mechanisms operating in parallel: accountability asymmetry, legibility demand, construal distance, proxy interest (convenience + anticipatory ownership) → compositional distortion in enacted choice → preference fidelity ↓ and principal well-being ↓, while proxy satisfaction ↑.</w:t>
      </w:r>
    </w:p>
    <w:p>
      <w:pPr>
        <w:pStyle w:val="ListBullet"/>
      </w:pPr>
      <w:r>
        <w:rPr>
          <w:b/>
          <w:i w:val="0"/>
        </w:rPr>
        <w:t>Level 3 — Market response.</w:t>
      </w:r>
      <w:r>
        <w:rPr>
          <w:b w:val="0"/>
          <w:i w:val="0"/>
        </w:rPr>
        <w:t xml:space="preserve"> Proxy transacts, is surveyed, reviews, complains, churns → firm learns proxy preferences → offering attributes shift toward proxy-preferred → category-level fidelity ↓.</w:t>
      </w:r>
    </w:p>
    <w:p>
      <w:pPr>
        <w:pStyle w:val="ListBullet"/>
      </w:pPr>
      <w:r>
        <w:rPr>
          <w:b/>
          <w:i w:val="0"/>
        </w:rPr>
        <w:t>The loop (draw it bold).</w:t>
      </w:r>
      <w:r>
        <w:rPr>
          <w:b w:val="0"/>
          <w:i w:val="0"/>
        </w:rPr>
        <w:t xml:space="preserve"> Level 3 feeds back into Level 1 and 2: proxy-optimized offerings and account architectures make transfer easier, faster, and harder to reverse. </w:t>
      </w:r>
      <w:r>
        <w:rPr>
          <w:b/>
          <w:i w:val="0"/>
        </w:rPr>
        <w:t>The market is not a neutral setting in which proxy distortion occurs; it is a participant that profits from it and deepens it.</w:t>
      </w:r>
    </w:p>
    <w:p>
      <w:r>
        <w:rPr>
          <w:b w:val="0"/>
          <w:i w:val="0"/>
        </w:rPr>
        <w:t xml:space="preserve">Also draw the </w:t>
      </w:r>
      <w:r>
        <w:rPr>
          <w:b/>
          <w:i w:val="0"/>
        </w:rPr>
        <w:t>remedy arrows</w:t>
      </w:r>
      <w:r>
        <w:rPr>
          <w:b w:val="0"/>
          <w:i w:val="0"/>
        </w:rPr>
        <w:t xml:space="preserve"> (dashed) so the paper is constructive rather than merely critical: principal-sourced measurement and graduated authority architecture, entering at Levels 3 and 1 respectively.</w:t>
      </w:r>
    </w:p>
    <w:p>
      <w:pPr>
        <w:pStyle w:val="Heading2"/>
      </w:pPr>
      <w:r>
        <w:rPr>
          <w:b w:val="0"/>
          <w:i w:val="0"/>
          <w:color w:val="1A1A1A"/>
        </w:rPr>
        <w:t>6. Propositions</w:t>
      </w:r>
    </w:p>
    <w:p>
      <w:pPr>
        <w:pStyle w:val="Heading3"/>
      </w:pPr>
      <w:r>
        <w:rPr>
          <w:b w:val="0"/>
          <w:i w:val="0"/>
          <w:color w:val="1A1A1A"/>
        </w:rPr>
        <w:t>Block A — How authority moves (P1–P3)</w:t>
      </w:r>
    </w:p>
    <w:p>
      <w:r>
        <w:rPr>
          <w:b/>
          <w:i w:val="0"/>
        </w:rPr>
        <w:t>P1 (Episodic trigger and overshoot).</w:t>
      </w:r>
      <w:r>
        <w:rPr>
          <w:b w:val="0"/>
          <w:i w:val="0"/>
        </w:rPr>
        <w:t xml:space="preserve"> Agency transfer is triggered by discrete, publicly legible capacity signals rather than by the underlying gradient of capacity decline. Consequently, the magnitude of authority transferred at each event exceeds the capacity deficit the event reveals, and transfer is stepwise rather than continuous.</w:t>
      </w:r>
    </w:p>
    <w:p>
      <w:r>
        <w:rPr>
          <w:b/>
          <w:i w:val="0"/>
        </w:rPr>
        <w:t>P2 (Ratchet).</w:t>
      </w:r>
      <w:r>
        <w:rPr>
          <w:b w:val="0"/>
          <w:i w:val="0"/>
        </w:rPr>
        <w:t xml:space="preserve"> Transferred authority does not revert following capacity recovery or stabilization. The probability of reversion declines monotonically with time elapsed in proxy control, controlling for the principal's measured capacity.</w:t>
      </w:r>
    </w:p>
    <w:p>
      <w:r>
        <w:rPr>
          <w:b/>
          <w:i w:val="0"/>
        </w:rPr>
        <w:t>P3 (Infrastructural agency capture).</w:t>
      </w:r>
      <w:r>
        <w:rPr>
          <w:b w:val="0"/>
          <w:i w:val="0"/>
        </w:rPr>
        <w:t xml:space="preserve"> The ratchet in P2 is partly constituted by market infrastructure: reversion probability declines with the number of market accounts, credentials, payment instruments, and delivery defaults transferred to the proxy, controlling for capacity and elapsed time. </w:t>
      </w:r>
      <w:r>
        <w:rPr>
          <w:b w:val="0"/>
          <w:i/>
        </w:rPr>
        <w:t>Corollary:</w:t>
      </w:r>
      <w:r>
        <w:rPr>
          <w:b w:val="0"/>
          <w:i w:val="0"/>
        </w:rPr>
        <w:t xml:space="preserve"> firms materially determine the reversibility of consumer agency loss through account design, and currently do so unintentionally.</w:t>
      </w:r>
    </w:p>
    <w:p>
      <w:pPr>
        <w:pStyle w:val="IntenseQuote"/>
      </w:pPr>
      <w:r>
        <w:rPr>
          <w:b w:val="0"/>
          <w:i/>
        </w:rPr>
        <w:t>Why P3 earns the paper its place in a marketing journal:</w:t>
      </w:r>
      <w:r>
        <w:rPr>
          <w:b w:val="0"/>
          <w:i w:val="0"/>
        </w:rPr>
        <w:t xml:space="preserve"> it converts a family-sociology observation into a claim about firm design choices, with a direct managerial remedy.</w:t>
      </w:r>
    </w:p>
    <w:p>
      <w:pPr>
        <w:pStyle w:val="Heading3"/>
      </w:pPr>
      <w:r>
        <w:rPr>
          <w:b w:val="0"/>
          <w:i w:val="0"/>
          <w:color w:val="1A1A1A"/>
        </w:rPr>
        <w:t>Block B — How proxies distort, and in which direction (P4–P7)</w:t>
      </w:r>
    </w:p>
    <w:p>
      <w:r>
        <w:rPr>
          <w:b/>
          <w:i w:val="0"/>
        </w:rPr>
        <w:t>P4 (Accountability asymmetry → defensive choice).</w:t>
      </w:r>
      <w:r>
        <w:rPr>
          <w:b w:val="0"/>
          <w:i w:val="0"/>
        </w:rPr>
        <w:t xml:space="preserve"> Because proxies are held accountable by third parties for verifiable harms but not for forgone benefits, proxies over-weight harm-avoidance attributes (safety, hygiene, reliability, clinical legitimacy) and under-weight hedonic, aesthetic, autonomy-supporting, and identity-expressive attributes, relative to the principal's elicited preferences. Distortion appears in attribute </w:t>
      </w:r>
      <w:r>
        <w:rPr>
          <w:b/>
          <w:i w:val="0"/>
        </w:rPr>
        <w:t>composition</w:t>
      </w:r>
      <w:r>
        <w:rPr>
          <w:b w:val="0"/>
          <w:i w:val="0"/>
        </w:rPr>
        <w:t xml:space="preserve"> and need not appear in expenditure level.</w:t>
      </w:r>
    </w:p>
    <w:p>
      <w:r>
        <w:rPr>
          <w:b/>
          <w:i w:val="0"/>
        </w:rPr>
        <w:t>P5 (Legibility, and the formalization reversal).</w:t>
      </w:r>
      <w:r>
        <w:rPr>
          <w:b w:val="0"/>
          <w:i w:val="0"/>
        </w:rPr>
        <w:t xml:space="preserve"> Distortion increases with the anticipated demand to justify decisions to third parties. It therefore increases with sibling count, with geographic dispersion of siblings, and — counterintuitively — </w:t>
      </w:r>
      <w:r>
        <w:rPr>
          <w:b/>
          <w:i w:val="0"/>
        </w:rPr>
        <w:t>with formal legal authority such as power of attorney</w:t>
      </w:r>
      <w:r>
        <w:rPr>
          <w:b w:val="0"/>
          <w:i w:val="0"/>
        </w:rPr>
        <w:t>, because formalization raises justification demands rather than aligning interests.</w:t>
      </w:r>
    </w:p>
    <w:p>
      <w:pPr>
        <w:pStyle w:val="IntenseQuote"/>
      </w:pPr>
      <w:r>
        <w:rPr>
          <w:b w:val="0"/>
          <w:i/>
        </w:rPr>
        <w:t>This is the proposition to feature.</w:t>
      </w:r>
      <w:r>
        <w:rPr>
          <w:b w:val="0"/>
          <w:i w:val="0"/>
        </w:rPr>
        <w:t xml:space="preserve"> It predicts that the principal legal instrument designed to protect vulnerable consumers </w:t>
      </w:r>
      <w:r>
        <w:rPr>
          <w:b w:val="0"/>
          <w:i/>
        </w:rPr>
        <w:t>reduces</w:t>
      </w:r>
      <w:r>
        <w:rPr>
          <w:b w:val="0"/>
          <w:i w:val="0"/>
        </w:rPr>
        <w:t xml:space="preserve"> fidelity to their preferences. If it survives testing, it is a JPPM companion paper on its own and it will be quoted.</w:t>
      </w:r>
    </w:p>
    <w:p>
      <w:r>
        <w:rPr>
          <w:b/>
          <w:i w:val="0"/>
        </w:rPr>
        <w:t>P6 (Guilt → material substitution).</w:t>
      </w:r>
      <w:r>
        <w:rPr>
          <w:b w:val="0"/>
          <w:i w:val="0"/>
        </w:rPr>
        <w:t xml:space="preserve"> Proxy guilt over insufficient presence increases total expenditure on the principal while shifting composition toward legible, transferable goods and away from co-experienced consumption. Guilt therefore raises spending and </w:t>
      </w:r>
      <w:r>
        <w:rPr>
          <w:b w:val="0"/>
          <w:i/>
        </w:rPr>
        <w:t>lowers</w:t>
      </w:r>
      <w:r>
        <w:rPr>
          <w:b w:val="0"/>
          <w:i w:val="0"/>
        </w:rPr>
        <w:t xml:space="preserve"> fidelity — spending is not care, and firms that market to proxy guilt sell more while serving the consumer less well.</w:t>
      </w:r>
    </w:p>
    <w:p>
      <w:r>
        <w:rPr>
          <w:b/>
          <w:i w:val="0"/>
        </w:rPr>
        <w:t>P7 (Anticipatory ownership, selectively).</w:t>
      </w:r>
      <w:r>
        <w:rPr>
          <w:b w:val="0"/>
          <w:i w:val="0"/>
        </w:rPr>
        <w:t xml:space="preserve"> Salience of the proxy's residual claim on the principal's estate suppresses expenditure of the principal's assets specifically in non-defensible categories, leaving harm-avoidance expenditure unaffected. The effect is </w:t>
      </w:r>
      <w:r>
        <w:rPr>
          <w:b w:val="0"/>
          <w:i/>
        </w:rPr>
        <w:t>compositional, not general</w:t>
      </w:r>
      <w:r>
        <w:rPr>
          <w:b w:val="0"/>
          <w:i w:val="0"/>
        </w:rPr>
        <w:t>: inheritance conflict does not make proxies uniformly frugal, it makes them frugal about pleasure.</w:t>
      </w:r>
    </w:p>
    <w:p>
      <w:pPr>
        <w:pStyle w:val="IntenseQuote"/>
      </w:pPr>
      <w:r>
        <w:rPr>
          <w:b w:val="0"/>
          <w:i w:val="0"/>
        </w:rPr>
        <w:t>The selectivity in P7 is what distinguishes anticipatory ownership from ordinary budget constraint, and it is the discriminant-validity test a reviewer will demand. Design for it explicitly.</w:t>
      </w:r>
    </w:p>
    <w:p>
      <w:pPr>
        <w:pStyle w:val="Heading3"/>
      </w:pPr>
      <w:r>
        <w:rPr>
          <w:b w:val="0"/>
          <w:i w:val="0"/>
          <w:color w:val="1A1A1A"/>
        </w:rPr>
        <w:t>Block C — Not an information problem (P8–P9)</w:t>
      </w:r>
    </w:p>
    <w:p>
      <w:r>
        <w:rPr>
          <w:b/>
          <w:i w:val="0"/>
        </w:rPr>
        <w:t>P8 (Estimation–enactment gap).</w:t>
      </w:r>
      <w:r>
        <w:rPr>
          <w:b w:val="0"/>
          <w:i w:val="0"/>
        </w:rPr>
        <w:t xml:space="preserve"> Proxies' elicited </w:t>
      </w:r>
      <w:r>
        <w:rPr>
          <w:b w:val="0"/>
          <w:i/>
        </w:rPr>
        <w:t>estimates</w:t>
      </w:r>
      <w:r>
        <w:rPr>
          <w:b w:val="0"/>
          <w:i w:val="0"/>
        </w:rPr>
        <w:t xml:space="preserve"> of the principal's preferences are substantially more accurate than the choices they </w:t>
      </w:r>
      <w:r>
        <w:rPr>
          <w:b w:val="0"/>
          <w:i/>
        </w:rPr>
        <w:t>enact</w:t>
      </w:r>
      <w:r>
        <w:rPr>
          <w:b w:val="0"/>
          <w:i w:val="0"/>
        </w:rPr>
        <w:t xml:space="preserve"> on the principal's behalf. The magnitude of the gap between estimation accuracy and enactment fidelity is the signature of motivated rather than informational distortion.</w:t>
      </w:r>
    </w:p>
    <w:p>
      <w:pPr>
        <w:pStyle w:val="IntenseQuote"/>
      </w:pPr>
      <w:r>
        <w:rPr>
          <w:b w:val="0"/>
          <w:i w:val="0"/>
        </w:rPr>
        <w:t>This is the identification-critical proposition. It is the study that makes the theory unfalsifiable-proof, and it is directly licensed by Tunney and Ziegler's (2015) finding that surrogate utility estimation is accurate and is not the source of surrogate inaccuracy.</w:t>
      </w:r>
    </w:p>
    <w:p>
      <w:r>
        <w:rPr>
          <w:b/>
          <w:i w:val="0"/>
        </w:rPr>
        <w:t>P9 (Asymmetric intervention efficacy).</w:t>
      </w:r>
      <w:r>
        <w:rPr>
          <w:b w:val="0"/>
          <w:i w:val="0"/>
        </w:rPr>
        <w:t xml:space="preserve"> Interventions that supply or rehearse preference information do not improve preference fidelity. Interventions that render forgone benefits accountable — for example, requiring proxies to report the principal's experienced enjoyment alongside safety outcomes — do improve it.</w:t>
      </w:r>
    </w:p>
    <w:p>
      <w:pPr>
        <w:pStyle w:val="IntenseQuote"/>
      </w:pPr>
      <w:r>
        <w:rPr>
          <w:b w:val="0"/>
          <w:i w:val="0"/>
        </w:rPr>
        <w:t>Consistent with Shalowitz et al.'s (2006) finding that prior discussion of preferences failed to improve surrogate accuracy. Turning that null result into a positive prescription is the paper's most useful practical contribution.</w:t>
      </w:r>
    </w:p>
    <w:p>
      <w:pPr>
        <w:pStyle w:val="Heading3"/>
      </w:pPr>
      <w:r>
        <w:rPr>
          <w:b w:val="0"/>
          <w:i w:val="0"/>
          <w:color w:val="1A1A1A"/>
        </w:rPr>
        <w:t>Block D — Why markets amplify rather than correct (P10–P12)</w:t>
      </w:r>
    </w:p>
    <w:p>
      <w:r>
        <w:rPr>
          <w:b/>
          <w:i w:val="0"/>
        </w:rPr>
        <w:t>P10 (Feedback misdirection).</w:t>
      </w:r>
      <w:r>
        <w:rPr>
          <w:b w:val="0"/>
          <w:i w:val="0"/>
        </w:rPr>
        <w:t xml:space="preserve"> Because satisfaction, complaint, review, and churn signals are collected predominantly from the transacting proxy, firm-observed customer feedback registers proxy utility and is uncorrelated or negatively correlated with principal well-being.</w:t>
      </w:r>
    </w:p>
    <w:p>
      <w:r>
        <w:rPr>
          <w:b/>
          <w:i w:val="0"/>
        </w:rPr>
        <w:t>P11 (Proxy capture).</w:t>
      </w:r>
      <w:r>
        <w:rPr>
          <w:b w:val="0"/>
          <w:i w:val="0"/>
        </w:rPr>
        <w:t xml:space="preserve"> Over time, competitive selection on proxy-sourced feedback shifts category offering attributes toward proxy-preferred attributes. Therefore, </w:t>
      </w:r>
      <w:r>
        <w:rPr>
          <w:b w:val="0"/>
          <w:i/>
        </w:rPr>
        <w:t>within a category, aggregate preference fidelity declines as the share of proxy-mediated transactions rises</w:t>
      </w:r>
      <w:r>
        <w:rPr>
          <w:b w:val="0"/>
          <w:i w:val="0"/>
        </w:rPr>
        <w:t xml:space="preserve"> — a market-level, longitudinally testable prediction.</w:t>
      </w:r>
    </w:p>
    <w:p>
      <w:r>
        <w:rPr>
          <w:b/>
          <w:i w:val="0"/>
        </w:rPr>
        <w:t>P12 (Remedy and boundary).</w:t>
      </w:r>
      <w:r>
        <w:rPr>
          <w:b w:val="0"/>
          <w:i w:val="0"/>
        </w:rPr>
        <w:t xml:space="preserve"> Where firms institute principal-sourced measurement or graduated, reversible authority architecture, the satisfaction–fidelity divergence narrows and principal well-being rises </w:t>
      </w:r>
      <w:r>
        <w:rPr>
          <w:b/>
          <w:i w:val="0"/>
        </w:rPr>
        <w:t>without</w:t>
      </w:r>
      <w:r>
        <w:rPr>
          <w:b w:val="0"/>
          <w:i w:val="0"/>
        </w:rPr>
        <w:t xml:space="preserve"> reducing proxy satisfaction. The divergence is therefore an artefact of measurement and design choices, not an inherent trade-off.</w:t>
      </w:r>
    </w:p>
    <w:p>
      <w:pPr>
        <w:pStyle w:val="IntenseQuote"/>
      </w:pPr>
      <w:r>
        <w:rPr>
          <w:b w:val="0"/>
          <w:i w:val="0"/>
        </w:rPr>
        <w:t>P12 is what stops the paper reading as a critique. It says the firm can fix this and be no worse off — which is the sentence that gets it adopted, and the sentence that gets a revise-and-resubmit rather than a "well-argued but nihilistic" rejection.</w:t>
      </w:r>
    </w:p>
    <w:p>
      <w:pPr>
        <w:pStyle w:val="Heading2"/>
      </w:pPr>
      <w:r>
        <w:rPr>
          <w:b w:val="0"/>
          <w:i w:val="0"/>
          <w:color w:val="1A1A1A"/>
        </w:rPr>
        <w:t>7. Study plan</w:t>
      </w:r>
    </w:p>
    <w:p>
      <w:r>
        <w:rPr>
          <w:b w:val="0"/>
          <w:i w:val="0"/>
        </w:rPr>
        <w:t xml:space="preserve">Five studies. Studies 1 and 3 constitute the JCR companion paper. </w:t>
      </w:r>
      <w:r>
        <w:rPr>
          <w:b/>
          <w:i w:val="0"/>
        </w:rPr>
        <w:t>Study 5 is the highest return on effort and should be run first</w:t>
      </w:r>
      <w:r>
        <w:rPr>
          <w:b w:val="0"/>
          <w:i w:val="0"/>
        </w:rPr>
        <w:t xml:space="preserve"> — it is cheap, it is novel, and it de-risks the entire project by demonstrating the phenomenon at market scale before any dyadic recruitment begins.</w:t>
      </w:r>
    </w:p>
    <w:p>
      <w:pPr>
        <w:pStyle w:val="Heading3"/>
      </w:pPr>
      <w:r>
        <w:rPr>
          <w:b w:val="0"/>
          <w:i w:val="0"/>
          <w:color w:val="1A1A1A"/>
        </w:rPr>
        <w:t>Study 5 (run first) — Proxy-authored vs. self-authored review corpus</w:t>
      </w:r>
    </w:p>
    <w:p>
      <w:r>
        <w:rPr>
          <w:b/>
          <w:i w:val="0"/>
        </w:rPr>
        <w:t>Tests:</w:t>
      </w:r>
      <w:r>
        <w:rPr>
          <w:b w:val="0"/>
          <w:i w:val="0"/>
        </w:rPr>
        <w:t xml:space="preserve"> P4, P10, P11. </w:t>
      </w:r>
      <w:r>
        <w:rPr>
          <w:b/>
          <w:i w:val="0"/>
        </w:rPr>
        <w:t>Design.</w:t>
      </w:r>
      <w:r>
        <w:rPr>
          <w:b w:val="0"/>
          <w:i w:val="0"/>
        </w:rPr>
        <w:t xml:space="preserve"> Product reviews in heavily proxy-mediated categories (mobility aids, hearing aids, incontinence products, senior meal delivery, medical alert devices, adult day services, senior living) contain self-identifying language — reviewers routinely state that they bought the item for a parent. Classify reviews as proxy-authored or self-authored, validate the classifier on a hand-coded sample, then compare </w:t>
      </w:r>
      <w:r>
        <w:rPr>
          <w:b/>
          <w:i w:val="0"/>
        </w:rPr>
        <w:t>attribute salience and valence</w:t>
      </w:r>
      <w:r>
        <w:rPr>
          <w:b w:val="0"/>
          <w:i w:val="0"/>
        </w:rPr>
        <w:t xml:space="preserve"> between the two populations within product. </w:t>
      </w:r>
      <w:r>
        <w:rPr>
          <w:b/>
          <w:i w:val="0"/>
        </w:rPr>
        <w:t>Predictions.</w:t>
      </w:r>
      <w:r>
        <w:rPr>
          <w:b w:val="0"/>
          <w:i w:val="0"/>
        </w:rPr>
        <w:t xml:space="preserve"> Proxy-authored reviews over-index on safety, ease of administration, durability, and the reviewer's own convenience; self-authored reviews over-index on comfort, dignity, appearance, and autonomy (P4). Ratings from the two populations diverge for the same product (P10). Longitudinally, products and product features that gain share are those favoured in </w:t>
      </w:r>
      <w:r>
        <w:rPr>
          <w:b w:val="0"/>
          <w:i/>
        </w:rPr>
        <w:t>proxy</w:t>
      </w:r>
      <w:r>
        <w:rPr>
          <w:b w:val="0"/>
          <w:i w:val="0"/>
        </w:rPr>
        <w:t xml:space="preserve">-authored reviews (P11). </w:t>
      </w:r>
      <w:r>
        <w:rPr>
          <w:b/>
          <w:i w:val="0"/>
        </w:rPr>
        <w:t>Why it matters.</w:t>
      </w:r>
      <w:r>
        <w:rPr>
          <w:b w:val="0"/>
          <w:i w:val="0"/>
        </w:rPr>
        <w:t xml:space="preserve"> It converts an abstract argument into a documented market fact, at n in the hundreds of thousands, with no access negotiation. Also a strong standalone submission if the larger project stalls.</w:t>
      </w:r>
    </w:p>
    <w:p>
      <w:pPr>
        <w:pStyle w:val="Heading3"/>
      </w:pPr>
      <w:r>
        <w:rPr>
          <w:b w:val="0"/>
          <w:i w:val="0"/>
          <w:color w:val="1A1A1A"/>
        </w:rPr>
        <w:t>Study 1 — Dyadic preference-fidelity field study</w:t>
      </w:r>
    </w:p>
    <w:p>
      <w:r>
        <w:rPr>
          <w:b/>
          <w:i w:val="0"/>
        </w:rPr>
        <w:t>Tests:</w:t>
      </w:r>
      <w:r>
        <w:rPr>
          <w:b w:val="0"/>
          <w:i w:val="0"/>
        </w:rPr>
        <w:t xml:space="preserve"> P4, P7, P8 (the core). </w:t>
      </w:r>
      <w:r>
        <w:rPr>
          <w:b/>
          <w:i w:val="0"/>
        </w:rPr>
        <w:t>Design.</w:t>
      </w:r>
      <w:r>
        <w:rPr>
          <w:b w:val="0"/>
          <w:i w:val="0"/>
        </w:rPr>
        <w:t xml:space="preserve"> Recruit 150–200 principal–proxy dyads through care providers, pharmacies, and senior services (</w:t>
      </w:r>
      <w:r>
        <w:rPr>
          <w:b/>
          <w:i w:val="0"/>
        </w:rPr>
        <w:t>not</w:t>
      </w:r>
      <w:r>
        <w:rPr>
          <w:b w:val="0"/>
          <w:i w:val="0"/>
        </w:rPr>
        <w:t xml:space="preserve"> self-selection, which biases toward well-functioning dyads). Three measurements, administered separately and privately:</w:t>
      </w:r>
    </w:p>
    <w:p>
      <w:pPr>
        <w:pStyle w:val="ListNumber"/>
      </w:pPr>
      <w:r>
        <w:rPr>
          <w:b/>
          <w:i w:val="0"/>
        </w:rPr>
        <w:t>Principal's preferences</w:t>
      </w:r>
      <w:r>
        <w:rPr>
          <w:b w:val="0"/>
          <w:i w:val="0"/>
        </w:rPr>
        <w:t xml:space="preserve"> — forced-choice attribute trade-offs and a small conjoint over real, category-relevant options, restricted to domains unaffected by cognitive impairment (food flavour, music, social contact, clothing, daily routine, room aesthetics).</w:t>
      </w:r>
    </w:p>
    <w:p>
      <w:pPr>
        <w:pStyle w:val="ListNumber"/>
      </w:pPr>
      <w:r>
        <w:rPr>
          <w:b/>
          <w:i w:val="0"/>
        </w:rPr>
        <w:t>Proxy's *estimate</w:t>
      </w:r>
      <w:r>
        <w:rPr>
          <w:b w:val="0"/>
          <w:i w:val="0"/>
        </w:rPr>
        <w:t>* of the principal's preferences — identical instrument, "answer as your mother would."</w:t>
      </w:r>
    </w:p>
    <w:p>
      <w:pPr>
        <w:pStyle w:val="ListNumber"/>
      </w:pPr>
      <w:r>
        <w:rPr>
          <w:b/>
          <w:i w:val="0"/>
        </w:rPr>
        <w:t>Proxy's *enacted choice</w:t>
      </w:r>
      <w:r>
        <w:rPr>
          <w:b w:val="0"/>
          <w:i w:val="0"/>
        </w:rPr>
        <w:t>* on the principal's behalf — same options, incentive-compatible (one choice is actually delivered).</w:t>
      </w:r>
    </w:p>
    <w:p>
      <w:r>
        <w:rPr>
          <w:b/>
          <w:i w:val="0"/>
        </w:rPr>
        <w:t>Key measures.</w:t>
      </w:r>
      <w:r>
        <w:rPr>
          <w:b w:val="0"/>
          <w:i w:val="0"/>
        </w:rPr>
        <w:t xml:space="preserve"> </w:t>
      </w:r>
      <w:r>
        <w:rPr>
          <w:b w:val="0"/>
          <w:i/>
        </w:rPr>
        <w:t>Estimation accuracy</w:t>
      </w:r>
      <w:r>
        <w:rPr>
          <w:b w:val="0"/>
          <w:i w:val="0"/>
        </w:rPr>
        <w:t xml:space="preserve"> = (2) vs. (1). </w:t>
      </w:r>
      <w:r>
        <w:rPr>
          <w:b w:val="0"/>
          <w:i/>
        </w:rPr>
        <w:t>Preference fidelity</w:t>
      </w:r>
      <w:r>
        <w:rPr>
          <w:b w:val="0"/>
          <w:i w:val="0"/>
        </w:rPr>
        <w:t xml:space="preserve"> = (3) vs. (1). </w:t>
      </w:r>
      <w:r>
        <w:rPr>
          <w:b/>
          <w:i w:val="0"/>
        </w:rPr>
        <w:t>The estimation–enactment gap = accuracy − fidelity.</w:t>
      </w:r>
      <w:r>
        <w:rPr>
          <w:b w:val="0"/>
          <w:i w:val="0"/>
        </w:rPr>
        <w:t xml:space="preserve"> Attribute-level composition scores for harm-avoidance vs. hedonic/identity attributes. </w:t>
      </w:r>
      <w:r>
        <w:rPr>
          <w:b/>
          <w:i w:val="0"/>
        </w:rPr>
        <w:t>Why the design is decisive.</w:t>
      </w:r>
      <w:r>
        <w:rPr>
          <w:b w:val="0"/>
          <w:i w:val="0"/>
        </w:rPr>
        <w:t xml:space="preserve"> It measures knowing and choosing separately in the same person on the same items. If the gap is large, the informational alternative explanation is dead on arrival and the theory has its foundation.</w:t>
      </w:r>
    </w:p>
    <w:p>
      <w:pPr>
        <w:pStyle w:val="Heading3"/>
      </w:pPr>
      <w:r>
        <w:rPr>
          <w:b w:val="0"/>
          <w:i w:val="0"/>
          <w:color w:val="1A1A1A"/>
        </w:rPr>
        <w:t>Study 2 — Trajectory panel</w:t>
      </w:r>
    </w:p>
    <w:p>
      <w:r>
        <w:rPr>
          <w:b/>
          <w:i w:val="0"/>
        </w:rPr>
        <w:t>Tests:</w:t>
      </w:r>
      <w:r>
        <w:rPr>
          <w:b w:val="0"/>
          <w:i w:val="0"/>
        </w:rPr>
        <w:t xml:space="preserve"> P1, P2, P3. </w:t>
      </w:r>
      <w:r>
        <w:rPr>
          <w:b/>
          <w:i w:val="0"/>
        </w:rPr>
        <w:t>Design.</w:t>
      </w:r>
      <w:r>
        <w:rPr>
          <w:b w:val="0"/>
          <w:i w:val="0"/>
        </w:rPr>
        <w:t xml:space="preserve"> 24-month, three-wave panel of 400+ dyads recruited at varying trajectory stages, oversampling those within three months of a capacity event. Measure at each wave: validated capacity (cognitive and functional), authority allocation by domain (a domain-by-domain authority inventory is the key instrument to build — </w:t>
      </w:r>
      <w:r>
        <w:rPr>
          <w:b w:val="0"/>
          <w:i/>
        </w:rPr>
        <w:t>this becomes the paper's measurement contribution</w:t>
      </w:r>
      <w:r>
        <w:rPr>
          <w:b w:val="0"/>
          <w:i w:val="0"/>
        </w:rPr>
        <w:t xml:space="preserve">), </w:t>
      </w:r>
      <w:r>
        <w:rPr>
          <w:b/>
          <w:i w:val="0"/>
        </w:rPr>
        <w:t>count and type of market accounts transferred</w:t>
      </w:r>
      <w:r>
        <w:rPr>
          <w:b w:val="0"/>
          <w:i w:val="0"/>
        </w:rPr>
        <w:t xml:space="preserve">, and reversion events. </w:t>
      </w:r>
      <w:r>
        <w:rPr>
          <w:b/>
          <w:i w:val="0"/>
        </w:rPr>
        <w:t>Analysis.</w:t>
      </w:r>
      <w:r>
        <w:rPr>
          <w:b w:val="0"/>
          <w:i w:val="0"/>
        </w:rPr>
        <w:t xml:space="preserve"> Discrete-time hazard models for transfer and for reversion; test whether transfer magnitude tracks events (P1) or capacity gradient; test reversion hazard against time-in-control (P2) and against accounts transferred, controlling for capacity (P3). </w:t>
      </w:r>
      <w:r>
        <w:rPr>
          <w:b/>
          <w:i w:val="0"/>
        </w:rPr>
        <w:t>Secondary data to exploit rather than duplicate.</w:t>
      </w:r>
      <w:r>
        <w:rPr>
          <w:b w:val="0"/>
          <w:i w:val="0"/>
        </w:rPr>
        <w:t xml:space="preserve"> HRS, ELSA, SHARE, JSTAR, CHARLS and LASI all carry caregiving and consumption modules and are strikingly underused in marketing — use them for external validity on transfer timing and for the demographic generalizability reviewers will ask about.</w:t>
      </w:r>
    </w:p>
    <w:p>
      <w:pPr>
        <w:pStyle w:val="Heading3"/>
      </w:pPr>
      <w:r>
        <w:rPr>
          <w:b w:val="0"/>
          <w:i w:val="0"/>
          <w:color w:val="1A1A1A"/>
        </w:rPr>
        <w:t>Study 3 — Mechanism experiments</w:t>
      </w:r>
    </w:p>
    <w:p>
      <w:r>
        <w:rPr>
          <w:b/>
          <w:i w:val="0"/>
        </w:rPr>
        <w:t>Tests:</w:t>
      </w:r>
      <w:r>
        <w:rPr>
          <w:b w:val="0"/>
          <w:i w:val="0"/>
        </w:rPr>
        <w:t xml:space="preserve"> P5, P6, P7, and the causal direction of P4. </w:t>
      </w:r>
      <w:r>
        <w:rPr>
          <w:b/>
          <w:i w:val="0"/>
        </w:rPr>
        <w:t>Design.</w:t>
      </w:r>
      <w:r>
        <w:rPr>
          <w:b w:val="0"/>
          <w:i w:val="0"/>
        </w:rPr>
        <w:t xml:space="preserve"> Four incentive-compatible experiments with real caregivers (Prolific screening on active caregiving, verified; supplemented by a care-provider sample for robustness). Participants allocate a budget on behalf of a described or actual principal, with one allocation realized.</w:t>
      </w:r>
    </w:p>
    <w:p>
      <w:pPr>
        <w:pStyle w:val="ListBullet"/>
      </w:pPr>
      <w:r>
        <w:rPr>
          <w:b/>
          <w:i w:val="0"/>
        </w:rPr>
        <w:t>3a — Accountability.</w:t>
      </w:r>
      <w:r>
        <w:rPr>
          <w:b w:val="0"/>
          <w:i w:val="0"/>
        </w:rPr>
        <w:t xml:space="preserve"> Manipulate anticipated reporting to siblings/clinician vs. no reporting. DV: composition shift. Tests P4/P5.</w:t>
      </w:r>
    </w:p>
    <w:p>
      <w:pPr>
        <w:pStyle w:val="ListBullet"/>
      </w:pPr>
      <w:r>
        <w:rPr>
          <w:b/>
          <w:i w:val="0"/>
        </w:rPr>
        <w:t>3b — Formalization.</w:t>
      </w:r>
      <w:r>
        <w:rPr>
          <w:b w:val="0"/>
          <w:i w:val="0"/>
        </w:rPr>
        <w:t xml:space="preserve"> Manipulate formal authority (POA held vs. informal helper). Prediction: formalization </w:t>
      </w:r>
      <w:r>
        <w:rPr>
          <w:b w:val="0"/>
          <w:i/>
        </w:rPr>
        <w:t>increases</w:t>
      </w:r>
      <w:r>
        <w:rPr>
          <w:b w:val="0"/>
          <w:i w:val="0"/>
        </w:rPr>
        <w:t xml:space="preserve"> defensive composition. Tests the P5 reversal.</w:t>
      </w:r>
    </w:p>
    <w:p>
      <w:pPr>
        <w:pStyle w:val="ListBullet"/>
      </w:pPr>
      <w:r>
        <w:rPr>
          <w:b/>
          <w:i w:val="0"/>
        </w:rPr>
        <w:t>3c — Guilt.</w:t>
      </w:r>
      <w:r>
        <w:rPr>
          <w:b w:val="0"/>
          <w:i w:val="0"/>
        </w:rPr>
        <w:t xml:space="preserve"> Manipulate guilt salience (recall of missed visits vs. neutral recall). DVs: total expenditure </w:t>
      </w:r>
      <w:r>
        <w:rPr>
          <w:b w:val="0"/>
          <w:i/>
        </w:rPr>
        <w:t>and</w:t>
      </w:r>
      <w:r>
        <w:rPr>
          <w:b w:val="0"/>
          <w:i w:val="0"/>
        </w:rPr>
        <w:t xml:space="preserve"> composition. Prediction: spend ↑, fidelity ↓. Tests P6.</w:t>
      </w:r>
    </w:p>
    <w:p>
      <w:pPr>
        <w:pStyle w:val="ListBullet"/>
      </w:pPr>
      <w:r>
        <w:rPr>
          <w:b/>
          <w:i w:val="0"/>
        </w:rPr>
        <w:t>3d — Anticipatory ownership.</w:t>
      </w:r>
      <w:r>
        <w:rPr>
          <w:b w:val="0"/>
          <w:i w:val="0"/>
        </w:rPr>
        <w:t xml:space="preserve"> Manipulate inheritance salience and fund ownership (principal's assets vs. proxy's own money) in a 2×2. Prediction: inheritance salience suppresses hedonic but not safety expenditure, and only when spending the principal's assets. Tests P7 and its discriminant validity against budget constraint.</w:t>
      </w:r>
    </w:p>
    <w:p>
      <w:r>
        <w:rPr>
          <w:b/>
          <w:i w:val="0"/>
        </w:rPr>
        <w:t>Mediators to measure throughout:</w:t>
      </w:r>
      <w:r>
        <w:rPr>
          <w:b w:val="0"/>
          <w:i w:val="0"/>
        </w:rPr>
        <w:t xml:space="preserve"> anticipated blame for harm, anticipated blame for forgone enjoyment (measure these </w:t>
      </w:r>
      <w:r>
        <w:rPr>
          <w:b w:val="0"/>
          <w:i/>
        </w:rPr>
        <w:t>separately</w:t>
      </w:r>
      <w:r>
        <w:rPr>
          <w:b w:val="0"/>
          <w:i w:val="0"/>
        </w:rPr>
        <w:t xml:space="preserve"> — the asymmetry between them is the mechanism), justification difficulty, guilt, psychological distance from the principal's experience.</w:t>
      </w:r>
    </w:p>
    <w:p>
      <w:pPr>
        <w:pStyle w:val="Heading3"/>
      </w:pPr>
      <w:r>
        <w:rPr>
          <w:b w:val="0"/>
          <w:i w:val="0"/>
          <w:color w:val="1A1A1A"/>
        </w:rPr>
        <w:t>Study 4 — Intervention field experiment</w:t>
      </w:r>
    </w:p>
    <w:p>
      <w:r>
        <w:rPr>
          <w:b/>
          <w:i w:val="0"/>
        </w:rPr>
        <w:t>Tests:</w:t>
      </w:r>
      <w:r>
        <w:rPr>
          <w:b w:val="0"/>
          <w:i w:val="0"/>
        </w:rPr>
        <w:t xml:space="preserve"> P9, P12. </w:t>
      </w:r>
      <w:r>
        <w:rPr>
          <w:b/>
          <w:i w:val="0"/>
        </w:rPr>
        <w:t>Design.</w:t>
      </w:r>
      <w:r>
        <w:rPr>
          <w:b w:val="0"/>
          <w:i w:val="0"/>
        </w:rPr>
        <w:t xml:space="preserve"> With a home-care, senior-living, or grocery-delivery partner, randomize at the household or facility level across four arms: (i) control; (ii) </w:t>
      </w:r>
      <w:r>
        <w:rPr>
          <w:b/>
          <w:i w:val="0"/>
        </w:rPr>
        <w:t>information arm</w:t>
      </w:r>
      <w:r>
        <w:rPr>
          <w:b w:val="0"/>
          <w:i w:val="0"/>
        </w:rPr>
        <w:t xml:space="preserve"> — proxy receives a structured summary of the principal's stated preferences; (iii) </w:t>
      </w:r>
      <w:r>
        <w:rPr>
          <w:b/>
          <w:i w:val="0"/>
        </w:rPr>
        <w:t>accountability arm</w:t>
      </w:r>
      <w:r>
        <w:rPr>
          <w:b w:val="0"/>
          <w:i w:val="0"/>
        </w:rPr>
        <w:t xml:space="preserve"> — proxy must record the principal's reported enjoyment alongside safety/compliance outcomes; (iv) </w:t>
      </w:r>
      <w:r>
        <w:rPr>
          <w:b/>
          <w:i w:val="0"/>
        </w:rPr>
        <w:t>principal-sourced measurement arm</w:t>
      </w:r>
      <w:r>
        <w:rPr>
          <w:b w:val="0"/>
          <w:i w:val="0"/>
        </w:rPr>
        <w:t xml:space="preserve"> — the firm surveys the principal directly and reports results to the proxy. </w:t>
      </w:r>
      <w:r>
        <w:rPr>
          <w:b/>
          <w:i w:val="0"/>
        </w:rPr>
        <w:t>DVs.</w:t>
      </w:r>
      <w:r>
        <w:rPr>
          <w:b w:val="0"/>
          <w:i w:val="0"/>
        </w:rPr>
        <w:t xml:space="preserve"> Preference fidelity (via the Study 1 instrument), principal-reported well-being and autonomy, proxy satisfaction and burden, and firm-relevant outcomes (retention, complaint rate, spend). </w:t>
      </w:r>
      <w:r>
        <w:rPr>
          <w:b/>
          <w:i w:val="0"/>
        </w:rPr>
        <w:t>Predictions.</w:t>
      </w:r>
      <w:r>
        <w:rPr>
          <w:b w:val="0"/>
          <w:i w:val="0"/>
        </w:rPr>
        <w:t xml:space="preserve"> Arm (ii) null (P9). Arms (iii) and (iv) improve fidelity and principal well-being </w:t>
      </w:r>
      <w:r>
        <w:rPr>
          <w:b/>
          <w:i w:val="0"/>
        </w:rPr>
        <w:t>without</w:t>
      </w:r>
      <w:r>
        <w:rPr>
          <w:b w:val="0"/>
          <w:i w:val="0"/>
        </w:rPr>
        <w:t xml:space="preserve"> reducing proxy satisfaction (P12). Include the firm-relevant outcomes deliberately: if the remedy is also commercially neutral or positive, the paper's practical claim becomes credible rather than aspirational.</w:t>
      </w:r>
    </w:p>
    <w:p>
      <w:pPr>
        <w:pStyle w:val="Heading3"/>
      </w:pPr>
      <w:r>
        <w:rPr>
          <w:b w:val="0"/>
          <w:i w:val="0"/>
          <w:color w:val="1A1A1A"/>
        </w:rPr>
        <w:t>Cross-cultural extension (for the JIBS/JM international companion)</w:t>
      </w:r>
    </w:p>
    <w:p>
      <w:r>
        <w:rPr>
          <w:b w:val="0"/>
          <w:i w:val="0"/>
        </w:rPr>
        <w:t xml:space="preserve">Replicate Studies 1 and 3 in Japan, Italy, and India against a US or UK baseline. </w:t>
      </w:r>
      <w:r>
        <w:rPr>
          <w:b/>
          <w:i w:val="0"/>
        </w:rPr>
        <w:t>A genuinely competing prediction worth stating openly:</w:t>
      </w:r>
      <w:r>
        <w:rPr>
          <w:b w:val="0"/>
          <w:i w:val="0"/>
        </w:rPr>
        <w:t xml:space="preserve"> strong filial norms should </w:t>
      </w:r>
      <w:r>
        <w:rPr>
          <w:b w:val="0"/>
          <w:i/>
        </w:rPr>
        <w:t>accelerate</w:t>
      </w:r>
      <w:r>
        <w:rPr>
          <w:b w:val="0"/>
          <w:i w:val="0"/>
        </w:rPr>
        <w:t xml:space="preserve"> agency transfer (P1/P2) while simultaneously </w:t>
      </w:r>
      <w:r>
        <w:rPr>
          <w:b w:val="0"/>
          <w:i/>
        </w:rPr>
        <w:t>improving</w:t>
      </w:r>
      <w:r>
        <w:rPr>
          <w:b w:val="0"/>
          <w:i w:val="0"/>
        </w:rPr>
        <w:t xml:space="preserve"> estimation accuracy through greater intergenerational contact and co-residence — so collectivist contexts may show faster transfer with </w:t>
      </w:r>
      <w:r>
        <w:rPr>
          <w:b w:val="0"/>
          <w:i/>
        </w:rPr>
        <w:t>smaller</w:t>
      </w:r>
      <w:r>
        <w:rPr>
          <w:b w:val="0"/>
          <w:i w:val="0"/>
        </w:rPr>
        <w:t xml:space="preserve"> estimation–enactment gaps, or larger gaps if filial duty intensifies defensive choice. Registering both possibilities in advance is stronger than predicting one and rationalizing the other.</w:t>
      </w:r>
    </w:p>
    <w:p>
      <w:pPr>
        <w:pStyle w:val="Heading2"/>
      </w:pPr>
      <w:r>
        <w:rPr>
          <w:b w:val="0"/>
          <w:i w:val="0"/>
          <w:color w:val="1A1A1A"/>
        </w:rPr>
        <w:t>8. Alternative explanations and how each is closed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i w:val="0"/>
                <w:sz w:val="18"/>
              </w:rPr>
              <w:t>Rival explanation</w:t>
            </w:r>
          </w:p>
        </w:tc>
        <w:tc>
          <w:tcPr>
            <w:tcW w:type="dxa" w:w="4320"/>
          </w:tcPr>
          <w:p>
            <w:r>
              <w:rPr>
                <w:b/>
                <w:sz w:val="18"/>
              </w:rPr>
            </w:r>
            <w:r>
              <w:rPr>
                <w:b/>
                <w:i w:val="0"/>
                <w:sz w:val="18"/>
              </w:rPr>
              <w:t>How the design closes it</w:t>
            </w:r>
          </w:p>
        </w:tc>
      </w:tr>
      <w:tr>
        <w:tc>
          <w:tcPr>
            <w:tcW w:type="dxa" w:w="4320"/>
          </w:tcPr>
          <w:p>
            <w:r>
              <w:rPr>
                <w:sz w:val="18"/>
              </w:rPr>
            </w:r>
            <w:r>
              <w:rPr>
                <w:b/>
                <w:i w:val="0"/>
                <w:sz w:val="18"/>
              </w:rPr>
              <w:t>The proxy has better information than the principal</w:t>
            </w:r>
          </w:p>
        </w:tc>
        <w:tc>
          <w:tcPr>
            <w:tcW w:type="dxa" w:w="4320"/>
          </w:tcPr>
          <w:p>
            <w:r>
              <w:rPr>
                <w:sz w:val="18"/>
              </w:rPr>
            </w:r>
            <w:r>
              <w:rPr>
                <w:b w:val="0"/>
                <w:i w:val="0"/>
                <w:sz w:val="18"/>
              </w:rPr>
              <w:t>P8/Study 1 measures estimation and enactment separately; if estimation is accurate and enactment is not, superior information cannot explain the divergence</w:t>
            </w:r>
          </w:p>
        </w:tc>
      </w:tr>
      <w:tr>
        <w:tc>
          <w:tcPr>
            <w:tcW w:type="dxa" w:w="4320"/>
          </w:tcPr>
          <w:p>
            <w:r>
              <w:rPr>
                <w:sz w:val="18"/>
              </w:rPr>
            </w:r>
            <w:r>
              <w:rPr>
                <w:b/>
                <w:i w:val="0"/>
                <w:sz w:val="18"/>
              </w:rPr>
              <w:t>The principal's stated preferences are impairment-artefacts</w:t>
            </w:r>
          </w:p>
        </w:tc>
        <w:tc>
          <w:tcPr>
            <w:tcW w:type="dxa" w:w="4320"/>
          </w:tcPr>
          <w:p>
            <w:r>
              <w:rPr>
                <w:sz w:val="18"/>
              </w:rPr>
            </w:r>
            <w:r>
              <w:rPr>
                <w:b w:val="0"/>
                <w:i w:val="0"/>
                <w:sz w:val="18"/>
              </w:rPr>
              <w:t>Restrict elicitation to domains unaffected by impairment; validate capacity independently; use within-person pre/post-event comparisons where available</w:t>
            </w:r>
          </w:p>
        </w:tc>
      </w:tr>
      <w:tr>
        <w:tc>
          <w:tcPr>
            <w:tcW w:type="dxa" w:w="4320"/>
          </w:tcPr>
          <w:p>
            <w:r>
              <w:rPr>
                <w:sz w:val="18"/>
              </w:rPr>
            </w:r>
            <w:r>
              <w:rPr>
                <w:b/>
                <w:i w:val="0"/>
                <w:sz w:val="18"/>
              </w:rPr>
              <w:t>It is just a budget constraint</w:t>
            </w:r>
          </w:p>
        </w:tc>
        <w:tc>
          <w:tcPr>
            <w:tcW w:type="dxa" w:w="4320"/>
          </w:tcPr>
          <w:p>
            <w:r>
              <w:rPr>
                <w:sz w:val="18"/>
              </w:rPr>
            </w:r>
            <w:r>
              <w:rPr>
                <w:b w:val="0"/>
                <w:i w:val="0"/>
                <w:sz w:val="18"/>
              </w:rPr>
              <w:t>Measure resources; manipulate fund ownership (3d); the compositional selectivity in P7 is the discriminant test — a budget constraint cuts spending across the board, anticipatory ownership cuts pleasure specifically</w:t>
            </w:r>
          </w:p>
        </w:tc>
      </w:tr>
      <w:tr>
        <w:tc>
          <w:tcPr>
            <w:tcW w:type="dxa" w:w="4320"/>
          </w:tcPr>
          <w:p>
            <w:r>
              <w:rPr>
                <w:sz w:val="18"/>
              </w:rPr>
            </w:r>
            <w:r>
              <w:rPr>
                <w:b/>
                <w:i w:val="0"/>
                <w:sz w:val="18"/>
              </w:rPr>
              <w:t>Preferences genuinely change with age</w:t>
            </w:r>
          </w:p>
        </w:tc>
        <w:tc>
          <w:tcPr>
            <w:tcW w:type="dxa" w:w="4320"/>
          </w:tcPr>
          <w:p>
            <w:r>
              <w:rPr>
                <w:sz w:val="18"/>
              </w:rPr>
            </w:r>
            <w:r>
              <w:rPr>
                <w:b w:val="0"/>
                <w:i w:val="0"/>
                <w:sz w:val="18"/>
              </w:rPr>
              <w:t xml:space="preserve">Within-person trajectory data (Study 2); the DV is fidelity to </w:t>
            </w:r>
            <w:r>
              <w:rPr>
                <w:b w:val="0"/>
                <w:i/>
                <w:sz w:val="18"/>
              </w:rPr>
              <w:t>contemporaneously elicited</w:t>
            </w:r>
            <w:r>
              <w:rPr>
                <w:b w:val="0"/>
                <w:i w:val="0"/>
                <w:sz w:val="18"/>
              </w:rPr>
              <w:t xml:space="preserve"> preferences, not to historical ones</w:t>
            </w:r>
          </w:p>
        </w:tc>
      </w:tr>
      <w:tr>
        <w:tc>
          <w:tcPr>
            <w:tcW w:type="dxa" w:w="4320"/>
          </w:tcPr>
          <w:p>
            <w:r>
              <w:rPr>
                <w:sz w:val="18"/>
              </w:rPr>
            </w:r>
            <w:r>
              <w:rPr>
                <w:b/>
                <w:i w:val="0"/>
                <w:sz w:val="18"/>
              </w:rPr>
              <w:t>The proxy is optimizing long-run rather than momentary welfare</w:t>
            </w:r>
          </w:p>
        </w:tc>
        <w:tc>
          <w:tcPr>
            <w:tcW w:type="dxa" w:w="4320"/>
          </w:tcPr>
          <w:p>
            <w:r>
              <w:rPr>
                <w:sz w:val="18"/>
              </w:rPr>
            </w:r>
            <w:r>
              <w:rPr>
                <w:b w:val="0"/>
                <w:i w:val="0"/>
                <w:sz w:val="18"/>
              </w:rPr>
              <w:t xml:space="preserve">Include long-horizon well-being measures; the theory predicts distortion on attributes with </w:t>
            </w:r>
            <w:r>
              <w:rPr>
                <w:b w:val="0"/>
                <w:i/>
                <w:sz w:val="18"/>
              </w:rPr>
              <w:t>no</w:t>
            </w:r>
            <w:r>
              <w:rPr>
                <w:b w:val="0"/>
                <w:i w:val="0"/>
                <w:sz w:val="18"/>
              </w:rPr>
              <w:t xml:space="preserve"> long-run safety justification (aesthetics, music, clothing, room appearance), which is where this rival cannot reach</w:t>
            </w:r>
          </w:p>
        </w:tc>
      </w:tr>
      <w:tr>
        <w:tc>
          <w:tcPr>
            <w:tcW w:type="dxa" w:w="4320"/>
          </w:tcPr>
          <w:p>
            <w:r>
              <w:rPr>
                <w:sz w:val="18"/>
              </w:rPr>
            </w:r>
            <w:r>
              <w:rPr>
                <w:b/>
                <w:i w:val="0"/>
                <w:sz w:val="18"/>
              </w:rPr>
              <w:t>Selection into consenting dyads</w:t>
            </w:r>
          </w:p>
        </w:tc>
        <w:tc>
          <w:tcPr>
            <w:tcW w:type="dxa" w:w="4320"/>
          </w:tcPr>
          <w:p>
            <w:r>
              <w:rPr>
                <w:sz w:val="18"/>
              </w:rPr>
            </w:r>
            <w:r>
              <w:rPr>
                <w:b w:val="0"/>
                <w:i w:val="0"/>
                <w:sz w:val="18"/>
              </w:rPr>
              <w:t>Recruit via providers rather than self-selection; report attrition and bounds; compare dyad characteristics against HRS/SHARE population benchmarks</w:t>
            </w:r>
          </w:p>
        </w:tc>
      </w:tr>
      <w:tr>
        <w:tc>
          <w:tcPr>
            <w:tcW w:type="dxa" w:w="4320"/>
          </w:tcPr>
          <w:p>
            <w:r>
              <w:rPr>
                <w:sz w:val="18"/>
              </w:rPr>
            </w:r>
            <w:r>
              <w:rPr>
                <w:b/>
                <w:i w:val="0"/>
                <w:sz w:val="18"/>
              </w:rPr>
              <w:t>"Reviews are written by proxies because proxies buy online" (Study 5)</w:t>
            </w:r>
          </w:p>
        </w:tc>
        <w:tc>
          <w:tcPr>
            <w:tcW w:type="dxa" w:w="4320"/>
          </w:tcPr>
          <w:p>
            <w:r>
              <w:rPr>
                <w:sz w:val="18"/>
              </w:rPr>
            </w:r>
            <w:r>
              <w:rPr>
                <w:b w:val="0"/>
                <w:i w:val="0"/>
                <w:sz w:val="18"/>
              </w:rPr>
              <w:t>Compare within-product across the two reviewer populations, not across products; use products purchasable by both populations</w:t>
            </w:r>
          </w:p>
        </w:tc>
      </w:tr>
    </w:tbl>
    <w:p/>
    <w:p>
      <w:pPr>
        <w:pStyle w:val="Heading2"/>
      </w:pPr>
      <w:r>
        <w:rPr>
          <w:b w:val="0"/>
          <w:i w:val="0"/>
          <w:color w:val="1A1A1A"/>
        </w:rPr>
        <w:t>9. Positioning against the four literatures (Table 2 in the paper — do not omit this)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i w:val="0"/>
                <w:sz w:val="18"/>
              </w:rPr>
              <w:t>Literature</w:t>
            </w:r>
          </w:p>
        </w:tc>
        <w:tc>
          <w:tcPr>
            <w:tcW w:type="dxa" w:w="2160"/>
          </w:tcPr>
          <w:p>
            <w:r>
              <w:rPr>
                <w:b/>
                <w:sz w:val="18"/>
              </w:rPr>
            </w:r>
            <w:r>
              <w:rPr>
                <w:b/>
                <w:i w:val="0"/>
                <w:sz w:val="18"/>
              </w:rPr>
              <w:t>Anchor works</w:t>
            </w:r>
          </w:p>
        </w:tc>
        <w:tc>
          <w:tcPr>
            <w:tcW w:type="dxa" w:w="2160"/>
          </w:tcPr>
          <w:p>
            <w:r>
              <w:rPr>
                <w:b/>
                <w:sz w:val="18"/>
              </w:rPr>
            </w:r>
            <w:r>
              <w:rPr>
                <w:b/>
                <w:i w:val="0"/>
                <w:sz w:val="18"/>
              </w:rPr>
              <w:t>What it establishes</w:t>
            </w:r>
          </w:p>
        </w:tc>
        <w:tc>
          <w:tcPr>
            <w:tcW w:type="dxa" w:w="2160"/>
          </w:tcPr>
          <w:p>
            <w:r>
              <w:rPr>
                <w:b/>
                <w:sz w:val="18"/>
              </w:rPr>
            </w:r>
            <w:r>
              <w:rPr>
                <w:b/>
                <w:i w:val="0"/>
                <w:sz w:val="18"/>
              </w:rPr>
              <w:t>What it cannot address</w:t>
            </w:r>
          </w:p>
        </w:tc>
      </w:tr>
      <w:tr>
        <w:tc>
          <w:tcPr>
            <w:tcW w:type="dxa" w:w="2160"/>
          </w:tcPr>
          <w:p>
            <w:r>
              <w:rPr>
                <w:sz w:val="18"/>
              </w:rPr>
            </w:r>
            <w:r>
              <w:rPr>
                <w:b/>
                <w:i w:val="0"/>
                <w:sz w:val="18"/>
              </w:rPr>
              <w:t>Surrogate consumers</w:t>
            </w:r>
          </w:p>
        </w:tc>
        <w:tc>
          <w:tcPr>
            <w:tcW w:type="dxa" w:w="2160"/>
          </w:tcPr>
          <w:p>
            <w:r>
              <w:rPr>
                <w:sz w:val="18"/>
              </w:rPr>
            </w:r>
            <w:r>
              <w:rPr>
                <w:b w:val="0"/>
                <w:i w:val="0"/>
                <w:sz w:val="18"/>
              </w:rPr>
              <w:t xml:space="preserve">Solomon (1986), </w:t>
            </w:r>
            <w:r>
              <w:rPr>
                <w:b w:val="0"/>
                <w:i/>
                <w:sz w:val="18"/>
              </w:rPr>
              <w:t>JM</w:t>
            </w:r>
            <w:r>
              <w:rPr>
                <w:b w:val="0"/>
                <w:i w:val="0"/>
                <w:sz w:val="18"/>
              </w:rPr>
              <w:t xml:space="preserve"> 50(4), 208–218; the surrogate-shopper/fiduciary extension in </w:t>
            </w:r>
            <w:r>
              <w:rPr>
                <w:b w:val="0"/>
                <w:i/>
                <w:sz w:val="18"/>
              </w:rPr>
              <w:t>Journal of Marketing</w:t>
            </w:r>
            <w:r>
              <w:rPr>
                <w:b w:val="0"/>
                <w:i w:val="0"/>
                <w:sz w:val="18"/>
              </w:rPr>
              <w:t xml:space="preserve"> (1999, 63(2))</w:t>
            </w:r>
          </w:p>
        </w:tc>
        <w:tc>
          <w:tcPr>
            <w:tcW w:type="dxa" w:w="2160"/>
          </w:tcPr>
          <w:p>
            <w:r>
              <w:rPr>
                <w:sz w:val="18"/>
              </w:rPr>
            </w:r>
            <w:r>
              <w:rPr>
                <w:b w:val="0"/>
                <w:i w:val="0"/>
                <w:sz w:val="18"/>
              </w:rPr>
              <w:t>Third parties routinely make market choices for others; efficiency and information-advantage implications</w:t>
            </w:r>
          </w:p>
        </w:tc>
        <w:tc>
          <w:tcPr>
            <w:tcW w:type="dxa" w:w="2160"/>
          </w:tcPr>
          <w:p>
            <w:r>
              <w:rPr>
                <w:sz w:val="18"/>
              </w:rPr>
            </w:r>
            <w:r>
              <w:rPr>
                <w:b w:val="0"/>
                <w:i w:val="0"/>
                <w:sz w:val="18"/>
              </w:rPr>
              <w:t xml:space="preserve">Surrogates are </w:t>
            </w:r>
            <w:r>
              <w:rPr>
                <w:b w:val="0"/>
                <w:i/>
                <w:sz w:val="18"/>
              </w:rPr>
              <w:t>hired for expertise</w:t>
            </w:r>
            <w:r>
              <w:rPr>
                <w:b w:val="0"/>
                <w:i w:val="0"/>
                <w:sz w:val="18"/>
              </w:rPr>
              <w:t>, contractually bounded, and revocable. Proxies are conscripted by kinship, unbounded, irrevocable, and are heirs</w:t>
            </w:r>
          </w:p>
        </w:tc>
      </w:tr>
      <w:tr>
        <w:tc>
          <w:tcPr>
            <w:tcW w:type="dxa" w:w="2160"/>
          </w:tcPr>
          <w:p>
            <w:r>
              <w:rPr>
                <w:sz w:val="18"/>
              </w:rPr>
            </w:r>
            <w:r>
              <w:rPr>
                <w:b/>
                <w:i w:val="0"/>
                <w:sz w:val="18"/>
              </w:rPr>
              <w:t>Elderly consumption ensemble / family identity</w:t>
            </w:r>
          </w:p>
        </w:tc>
        <w:tc>
          <w:tcPr>
            <w:tcW w:type="dxa" w:w="2160"/>
          </w:tcPr>
          <w:p>
            <w:r>
              <w:rPr>
                <w:sz w:val="18"/>
              </w:rPr>
            </w:r>
            <w:r>
              <w:rPr>
                <w:b w:val="0"/>
                <w:i w:val="0"/>
                <w:sz w:val="18"/>
              </w:rPr>
              <w:t xml:space="preserve">Barnhart &amp; Peñaloza (2013), </w:t>
            </w:r>
            <w:r>
              <w:rPr>
                <w:b w:val="0"/>
                <w:i/>
                <w:sz w:val="18"/>
              </w:rPr>
              <w:t>JCR</w:t>
            </w:r>
            <w:r>
              <w:rPr>
                <w:b w:val="0"/>
                <w:i w:val="0"/>
                <w:sz w:val="18"/>
              </w:rPr>
              <w:t xml:space="preserve"> 39(6), 1133–1153; Barnhart &amp; Peñaloza (2009), </w:t>
            </w:r>
            <w:r>
              <w:rPr>
                <w:b w:val="0"/>
                <w:i/>
                <w:sz w:val="18"/>
              </w:rPr>
              <w:t>ACR</w:t>
            </w:r>
            <w:r>
              <w:rPr>
                <w:b w:val="0"/>
                <w:i w:val="0"/>
                <w:sz w:val="18"/>
              </w:rPr>
              <w:t xml:space="preserve"> 36, 53–55; Epp &amp; Price (2008), </w:t>
            </w:r>
            <w:r>
              <w:rPr>
                <w:b w:val="0"/>
                <w:i/>
                <w:sz w:val="18"/>
              </w:rPr>
              <w:t>JCR</w:t>
            </w:r>
            <w:r>
              <w:rPr>
                <w:b w:val="0"/>
                <w:i w:val="0"/>
                <w:sz w:val="18"/>
              </w:rPr>
              <w:t xml:space="preserve"> 35(1); Epp &amp; Price (2011), </w:t>
            </w:r>
            <w:r>
              <w:rPr>
                <w:b w:val="0"/>
                <w:i/>
                <w:sz w:val="18"/>
              </w:rPr>
              <w:t>JM</w:t>
            </w:r>
            <w:r>
              <w:rPr>
                <w:b w:val="0"/>
                <w:i w:val="0"/>
                <w:sz w:val="18"/>
              </w:rPr>
              <w:t xml:space="preserve"> 75(2)</w:t>
            </w:r>
          </w:p>
        </w:tc>
        <w:tc>
          <w:tcPr>
            <w:tcW w:type="dxa" w:w="2160"/>
          </w:tcPr>
          <w:p>
            <w:r>
              <w:rPr>
                <w:sz w:val="18"/>
              </w:rPr>
            </w:r>
            <w:r>
              <w:rPr>
                <w:b w:val="0"/>
                <w:i w:val="0"/>
                <w:sz w:val="18"/>
              </w:rPr>
              <w:t>Consumption of the aging consumer is collectively constituted; old-age identity is negotiated through consumption activity; families manage individual, relational and collective identities</w:t>
            </w:r>
          </w:p>
        </w:tc>
        <w:tc>
          <w:tcPr>
            <w:tcW w:type="dxa" w:w="2160"/>
          </w:tcPr>
          <w:p>
            <w:r>
              <w:rPr>
                <w:sz w:val="18"/>
              </w:rPr>
            </w:r>
            <w:r>
              <w:rPr>
                <w:b w:val="0"/>
                <w:i w:val="0"/>
                <w:sz w:val="18"/>
              </w:rPr>
              <w:t>Treats the ensemble as an identity arena, not a decision system. No authority-allocation model, no fidelity outcome, no firm-level consequence. Agency in the ECE was flagged in 2009 and left undeveloped</w:t>
            </w:r>
          </w:p>
        </w:tc>
      </w:tr>
      <w:tr>
        <w:tc>
          <w:tcPr>
            <w:tcW w:type="dxa" w:w="2160"/>
          </w:tcPr>
          <w:p>
            <w:r>
              <w:rPr>
                <w:sz w:val="18"/>
              </w:rPr>
            </w:r>
            <w:r>
              <w:rPr>
                <w:b/>
                <w:i w:val="0"/>
                <w:sz w:val="18"/>
              </w:rPr>
              <w:t>Consumer vulnerability</w:t>
            </w:r>
          </w:p>
        </w:tc>
        <w:tc>
          <w:tcPr>
            <w:tcW w:type="dxa" w:w="2160"/>
          </w:tcPr>
          <w:p>
            <w:r>
              <w:rPr>
                <w:sz w:val="18"/>
              </w:rPr>
            </w:r>
            <w:r>
              <w:rPr>
                <w:b w:val="0"/>
                <w:i w:val="0"/>
                <w:sz w:val="18"/>
              </w:rPr>
              <w:t xml:space="preserve">Baker, Gentry &amp; Rittenburg (2005), </w:t>
            </w:r>
            <w:r>
              <w:rPr>
                <w:b w:val="0"/>
                <w:i/>
                <w:sz w:val="18"/>
              </w:rPr>
              <w:t>J. Macromarketing</w:t>
            </w:r>
            <w:r>
              <w:rPr>
                <w:b w:val="0"/>
                <w:i w:val="0"/>
                <w:sz w:val="18"/>
              </w:rPr>
              <w:t xml:space="preserve"> 25(2); Hill &amp; Sharma (2020), </w:t>
            </w:r>
            <w:r>
              <w:rPr>
                <w:b w:val="0"/>
                <w:i/>
                <w:sz w:val="18"/>
              </w:rPr>
              <w:t>JCP</w:t>
            </w:r>
            <w:r>
              <w:rPr>
                <w:b w:val="0"/>
                <w:i w:val="0"/>
                <w:sz w:val="18"/>
              </w:rPr>
              <w:t xml:space="preserve">; the </w:t>
            </w:r>
            <w:r>
              <w:rPr>
                <w:b w:val="0"/>
                <w:i w:val="0"/>
                <w:sz w:val="18"/>
              </w:rPr>
              <w:t>*JAMS* (2024) vulnerability-dynamics framework (https://link.springer.com/article/10.1007/s11747-024-01039-4)</w:t>
            </w:r>
          </w:p>
        </w:tc>
        <w:tc>
          <w:tcPr>
            <w:tcW w:type="dxa" w:w="2160"/>
          </w:tcPr>
          <w:p>
            <w:r>
              <w:rPr>
                <w:sz w:val="18"/>
              </w:rPr>
            </w:r>
            <w:r>
              <w:rPr>
                <w:b w:val="0"/>
                <w:i w:val="0"/>
                <w:sz w:val="18"/>
              </w:rPr>
              <w:t>Vulnerability is an experienced state of restricted access and control, dynamic rather than demographic</w:t>
            </w:r>
          </w:p>
        </w:tc>
        <w:tc>
          <w:tcPr>
            <w:tcW w:type="dxa" w:w="2160"/>
          </w:tcPr>
          <w:p>
            <w:r>
              <w:rPr>
                <w:sz w:val="18"/>
              </w:rPr>
            </w:r>
            <w:r>
              <w:rPr>
                <w:b w:val="0"/>
                <w:i w:val="0"/>
                <w:sz w:val="18"/>
              </w:rPr>
              <w:t xml:space="preserve">Individual-level. No account of vulnerability </w:t>
            </w:r>
            <w:r>
              <w:rPr>
                <w:b w:val="0"/>
                <w:i/>
                <w:sz w:val="18"/>
              </w:rPr>
              <w:t>administered by a relative</w:t>
            </w:r>
            <w:r>
              <w:rPr>
                <w:b w:val="0"/>
                <w:i w:val="0"/>
                <w:sz w:val="18"/>
              </w:rPr>
              <w:t xml:space="preserve"> with independent interests; the dyad is not the unit</w:t>
            </w:r>
          </w:p>
        </w:tc>
      </w:tr>
      <w:tr>
        <w:tc>
          <w:tcPr>
            <w:tcW w:type="dxa" w:w="2160"/>
          </w:tcPr>
          <w:p>
            <w:r>
              <w:rPr>
                <w:sz w:val="18"/>
              </w:rPr>
            </w:r>
            <w:r>
              <w:rPr>
                <w:b/>
                <w:i w:val="0"/>
                <w:sz w:val="18"/>
              </w:rPr>
              <w:t>Surrogate / medical decision-making psychology</w:t>
            </w:r>
          </w:p>
        </w:tc>
        <w:tc>
          <w:tcPr>
            <w:tcW w:type="dxa" w:w="2160"/>
          </w:tcPr>
          <w:p>
            <w:r>
              <w:rPr>
                <w:sz w:val="18"/>
              </w:rPr>
            </w:r>
            <w:r>
              <w:rPr>
                <w:b w:val="0"/>
                <w:i w:val="0"/>
                <w:sz w:val="18"/>
              </w:rPr>
              <w:t>Tunney &amp; Ziegler (2015), *Perspect. Psychol. Sci.* 10(6), 880–885 (https://www.psychologicalscience.org/journals/perspectives/1745691615598508/)</w:t>
            </w:r>
            <w:r>
              <w:rPr>
                <w:b w:val="0"/>
                <w:i w:val="0"/>
                <w:sz w:val="18"/>
              </w:rPr>
              <w:t xml:space="preserve">; </w:t>
            </w:r>
            <w:r>
              <w:rPr>
                <w:b w:val="0"/>
                <w:i w:val="0"/>
                <w:sz w:val="18"/>
              </w:rPr>
              <w:t>Tunney &amp; Ziegler (2015), *Front. Psychol.* 6:315 (https://www.frontiersin.org/articles/10.3389/fpsyg.2015.00315/full)</w:t>
            </w:r>
            <w:r>
              <w:rPr>
                <w:b w:val="0"/>
                <w:i w:val="0"/>
                <w:sz w:val="18"/>
              </w:rPr>
              <w:t xml:space="preserve">; </w:t>
            </w:r>
            <w:r>
              <w:rPr>
                <w:b w:val="0"/>
                <w:i w:val="0"/>
                <w:sz w:val="18"/>
              </w:rPr>
              <w:t>Shalowitz, Garrett-Mayer &amp; Wendler (2006), *Arch. Intern. Med.* 166(5), 493–497 (https://jamanetwork.com/journals/jamainternalmedicine/fullarticle/409986)</w:t>
            </w:r>
          </w:p>
        </w:tc>
        <w:tc>
          <w:tcPr>
            <w:tcW w:type="dxa" w:w="2160"/>
          </w:tcPr>
          <w:p>
            <w:r>
              <w:rPr>
                <w:sz w:val="18"/>
              </w:rPr>
            </w:r>
            <w:r>
              <w:rPr>
                <w:b w:val="0"/>
                <w:i w:val="0"/>
                <w:sz w:val="18"/>
              </w:rPr>
              <w:t xml:space="preserve">Decisions for others differ from decisions for self; no domain-general model exists; estimation is accurate and is </w:t>
            </w:r>
            <w:r>
              <w:rPr>
                <w:b w:val="0"/>
                <w:i/>
                <w:sz w:val="18"/>
              </w:rPr>
              <w:t>not</w:t>
            </w:r>
            <w:r>
              <w:rPr>
                <w:b w:val="0"/>
                <w:i w:val="0"/>
                <w:sz w:val="18"/>
              </w:rPr>
              <w:t xml:space="preserve"> the source of inaccuracy; ~68% predictive accuracy, unimproved by prior discussion</w:t>
            </w:r>
          </w:p>
        </w:tc>
        <w:tc>
          <w:tcPr>
            <w:tcW w:type="dxa" w:w="2160"/>
          </w:tcPr>
          <w:p>
            <w:r>
              <w:rPr>
                <w:sz w:val="18"/>
              </w:rPr>
            </w:r>
            <w:r>
              <w:rPr>
                <w:b w:val="0"/>
                <w:i w:val="0"/>
                <w:sz w:val="18"/>
              </w:rPr>
              <w:t xml:space="preserve">Episodic, high-stakes, clinically governed decisions with a normative substituted-judgment standard, no money flowing to the surrogate, no inheritance interest, no brand or identity content, and </w:t>
            </w:r>
            <w:r>
              <w:rPr>
                <w:b/>
                <w:i w:val="0"/>
                <w:sz w:val="18"/>
              </w:rPr>
              <w:t>no seller marketing to the surrogate</w:t>
            </w:r>
            <w:r>
              <w:rPr>
                <w:b w:val="0"/>
                <w:i w:val="0"/>
                <w:sz w:val="18"/>
              </w:rPr>
              <w:t>. The market setting is the whole difference</w:t>
            </w:r>
          </w:p>
        </w:tc>
      </w:tr>
    </w:tbl>
    <w:p/>
    <w:p>
      <w:r>
        <w:rPr>
          <w:b/>
          <w:i w:val="0"/>
        </w:rPr>
        <w:t>The one-sentence differentiation to repeat throughout the paper:</w:t>
      </w:r>
      <w:r>
        <w:rPr>
          <w:b w:val="0"/>
          <w:i w:val="0"/>
        </w:rPr>
        <w:t xml:space="preserve"> </w:t>
      </w:r>
      <w:r>
        <w:rPr>
          <w:b w:val="0"/>
          <w:i/>
        </w:rPr>
        <w:t>In medical surrogacy no one profits from pleasing the surrogate; in markets, everyone does.</w:t>
      </w:r>
    </w:p>
    <w:p>
      <w:pPr>
        <w:pStyle w:val="Heading2"/>
      </w:pPr>
      <w:r>
        <w:rPr>
          <w:b w:val="0"/>
          <w:i w:val="0"/>
          <w:color w:val="1A1A1A"/>
        </w:rPr>
        <w:t>10. Reviewer objections, pre-empted</w:t>
      </w:r>
    </w:p>
    <w:p>
      <w:pPr>
        <w:pStyle w:val="ListNumber"/>
      </w:pPr>
      <w:r>
        <w:rPr>
          <w:b/>
          <w:i w:val="0"/>
        </w:rPr>
        <w:t>"Solomon's surrogate consumer covers this."</w:t>
      </w:r>
      <w:r>
        <w:rPr>
          <w:b w:val="0"/>
          <w:i w:val="0"/>
        </w:rPr>
        <w:t xml:space="preserve"> → Table 2, plus the scope-condition paragraph: expertise-based/contracted/revocable vs. kinship-conscripted/unbounded/irrevocable/heir-interested. Four differences, not one.</w:t>
      </w:r>
    </w:p>
    <w:p>
      <w:pPr>
        <w:pStyle w:val="ListNumber"/>
      </w:pPr>
      <w:r>
        <w:rPr>
          <w:b/>
          <w:i w:val="0"/>
        </w:rPr>
        <w:t>"This is medical surrogate decision-making imported into marketing."</w:t>
      </w:r>
      <w:r>
        <w:rPr>
          <w:b w:val="0"/>
          <w:i w:val="0"/>
        </w:rPr>
        <w:t xml:space="preserve"> → The Block D contribution is unavailable in the medical literature by construction, because clinical settings have no seller optimizing for surrogate satisfaction. Say this explicitly and early.</w:t>
      </w:r>
    </w:p>
    <w:p>
      <w:pPr>
        <w:pStyle w:val="ListNumber"/>
      </w:pPr>
      <w:r>
        <w:rPr>
          <w:b/>
          <w:i w:val="0"/>
        </w:rPr>
        <w:t>"Barnhart and Peñaloza already did the elderly consumption ensemble."</w:t>
      </w:r>
      <w:r>
        <w:rPr>
          <w:b w:val="0"/>
          <w:i w:val="0"/>
        </w:rPr>
        <w:t xml:space="preserve"> → Acknowledge generously; build on the ECE as the </w:t>
      </w:r>
      <w:r>
        <w:rPr>
          <w:b w:val="0"/>
          <w:i/>
        </w:rPr>
        <w:t>setting</w:t>
      </w:r>
      <w:r>
        <w:rPr>
          <w:b w:val="0"/>
          <w:i w:val="0"/>
        </w:rPr>
        <w:t>, and note that they themselves posed the agency question in 2009. You are answering a question the literature asked and abandoned. That framing is respectful and it is also the strongest possible motivation.</w:t>
      </w:r>
    </w:p>
    <w:p>
      <w:pPr>
        <w:pStyle w:val="ListNumber"/>
      </w:pPr>
      <w:r>
        <w:rPr>
          <w:b/>
          <w:i w:val="0"/>
        </w:rPr>
        <w:t>"Twelve propositions is too many."</w:t>
      </w:r>
      <w:r>
        <w:rPr>
          <w:b w:val="0"/>
          <w:i w:val="0"/>
        </w:rPr>
        <w:t xml:space="preserve"> → Retain the four-block structure and be prepared to cut Block A to two propositions. Never cut P8 (identification), P5 (the counterintuitive reversal), P11 (the market-level claim), or P12 (the remedy).</w:t>
      </w:r>
    </w:p>
    <w:p>
      <w:pPr>
        <w:pStyle w:val="ListNumber"/>
      </w:pPr>
      <w:r>
        <w:rPr>
          <w:b/>
          <w:i w:val="0"/>
        </w:rPr>
        <w:t>"Where is the evidence?"</w:t>
      </w:r>
      <w:r>
        <w:rPr>
          <w:b w:val="0"/>
          <w:i w:val="0"/>
        </w:rPr>
        <w:t xml:space="preserve"> → For JM's conceptual track, the framework plus Study 5's descriptive corpus results as an illustrative empirical vignette is usually sufficient. Run Study 5 before submitting for exactly this reason.</w:t>
      </w:r>
    </w:p>
    <w:p>
      <w:pPr>
        <w:pStyle w:val="ListNumber"/>
      </w:pPr>
      <w:r>
        <w:rPr>
          <w:b/>
          <w:i w:val="0"/>
        </w:rPr>
        <w:t>"This is depressing and unactionable."</w:t>
      </w:r>
      <w:r>
        <w:rPr>
          <w:b w:val="0"/>
          <w:i w:val="0"/>
        </w:rPr>
        <w:t xml:space="preserve"> → P12 and the dashed remedy arrows in Figure 1. The paper must end on graduated authority architecture and principal-sourced measurement.</w:t>
      </w:r>
    </w:p>
    <w:p>
      <w:pPr>
        <w:pStyle w:val="ListNumber"/>
      </w:pPr>
      <w:r>
        <w:rPr>
          <w:b/>
          <w:i w:val="0"/>
        </w:rPr>
        <w:t>"Ethics."</w:t>
      </w:r>
      <w:r>
        <w:rPr>
          <w:b w:val="0"/>
          <w:i w:val="0"/>
        </w:rPr>
        <w:t xml:space="preserve"> → Address in-text, not in a footnote: consent protocols for principals with fluctuating capacity, assent procedures, mandatory-reporting boundaries if exploitation is observed, and the decision rule for when a research finding must be disclosed to a care provider. Reviewers at JM and JPPM will look for this and its absence reads as naivety.</w:t>
      </w:r>
    </w:p>
    <w:p>
      <w:pPr>
        <w:pStyle w:val="Heading2"/>
      </w:pPr>
      <w:r>
        <w:rPr>
          <w:b w:val="0"/>
          <w:i w:val="0"/>
          <w:color w:val="1A1A1A"/>
        </w:rPr>
        <w:t>11. Verified reference anchors</w:t>
      </w:r>
    </w:p>
    <w:p>
      <w:r>
        <w:rPr>
          <w:b w:val="0"/>
          <w:i w:val="0"/>
        </w:rPr>
        <w:t xml:space="preserve">Confirmed via search; </w:t>
      </w:r>
      <w:r>
        <w:rPr>
          <w:b/>
          <w:i w:val="0"/>
        </w:rPr>
        <w:t>flagged items still require your own bibliographic check.</w:t>
      </w:r>
    </w:p>
    <w:p>
      <w:pPr>
        <w:pStyle w:val="ListBullet"/>
      </w:pPr>
      <w:r>
        <w:rPr>
          <w:b w:val="0"/>
          <w:i w:val="0"/>
        </w:rPr>
        <w:t xml:space="preserve">Solomon, M. R. (1986). The Missing Link: Surrogate Consumers in the Marketing Chain. </w:t>
      </w:r>
      <w:r>
        <w:rPr>
          <w:b w:val="0"/>
          <w:i/>
        </w:rPr>
        <w:t>Journal of Marketing</w:t>
      </w:r>
      <w:r>
        <w:rPr>
          <w:b w:val="0"/>
          <w:i w:val="0"/>
        </w:rPr>
        <w:t xml:space="preserve">, 50(4), 208–218. ✅ verified via </w:t>
      </w:r>
      <w:r>
        <w:rPr>
          <w:b w:val="0"/>
          <w:i w:val="0"/>
        </w:rPr>
        <w:t>citing source (https://link.springer.com/chapter/10.1007/978-3-319-13144-3_30)</w:t>
      </w:r>
    </w:p>
    <w:p>
      <w:pPr>
        <w:pStyle w:val="ListBullet"/>
      </w:pPr>
      <w:r>
        <w:rPr>
          <w:b w:val="0"/>
          <w:i w:val="0"/>
        </w:rPr>
        <w:t xml:space="preserve">⚠️ "Shopping with Other People's Money: The Marketing Management Implications of Surrogate-Mediated Consumer Decision Making" — </w:t>
      </w:r>
      <w:r>
        <w:rPr>
          <w:b w:val="0"/>
          <w:i w:val="0"/>
        </w:rPr>
        <w:t>Sage record (https://journals.sagepub.com/doi/abs/10.1177/002224299906300207)</w:t>
      </w:r>
      <w:r>
        <w:rPr>
          <w:b w:val="0"/>
          <w:i w:val="0"/>
        </w:rPr>
        <w:t xml:space="preserve">, DOI implies </w:t>
      </w:r>
      <w:r>
        <w:rPr>
          <w:b w:val="0"/>
          <w:i/>
        </w:rPr>
        <w:t>Journal of Marketing</w:t>
      </w:r>
      <w:r>
        <w:rPr>
          <w:b w:val="0"/>
          <w:i w:val="0"/>
        </w:rPr>
        <w:t xml:space="preserve"> 63(2), 1999. </w:t>
      </w:r>
      <w:r>
        <w:rPr>
          <w:b/>
          <w:i w:val="0"/>
        </w:rPr>
        <w:t>Author string not verified — confirm before citing.</w:t>
      </w:r>
    </w:p>
    <w:p>
      <w:pPr>
        <w:pStyle w:val="ListBullet"/>
      </w:pPr>
      <w:r>
        <w:rPr>
          <w:b w:val="0"/>
          <w:i w:val="0"/>
        </w:rPr>
        <w:t xml:space="preserve">Barnhart, M., &amp; Peñaloza, L. (2013). Who Are You Calling Old? Negotiating Old Age Identity in the Elderly Consumption Ensemble. </w:t>
      </w:r>
      <w:r>
        <w:rPr>
          <w:b w:val="0"/>
          <w:i/>
        </w:rPr>
        <w:t>Journal of Consumer Research</w:t>
      </w:r>
      <w:r>
        <w:rPr>
          <w:b w:val="0"/>
          <w:i w:val="0"/>
        </w:rPr>
        <w:t>, 39(6), 1133–1153. ✅</w:t>
      </w:r>
    </w:p>
    <w:p>
      <w:pPr>
        <w:pStyle w:val="ListBullet"/>
      </w:pPr>
      <w:r>
        <w:rPr>
          <w:b w:val="0"/>
          <w:i w:val="0"/>
        </w:rPr>
        <w:t xml:space="preserve">Barnhart, M., &amp; Peñaloza, L. (2009). Negotiating Agency in the Elderly Consumption Ensemble. </w:t>
      </w:r>
      <w:r>
        <w:rPr>
          <w:b w:val="0"/>
          <w:i/>
        </w:rPr>
        <w:t>Advances in Consumer Research</w:t>
      </w:r>
      <w:r>
        <w:rPr>
          <w:b w:val="0"/>
          <w:i w:val="0"/>
        </w:rPr>
        <w:t xml:space="preserve">, 36, 53–55. ✅ </w:t>
      </w:r>
      <w:r>
        <w:rPr>
          <w:b w:val="0"/>
          <w:i w:val="0"/>
        </w:rPr>
        <w:t>record (https://www.tcrwebsite.org/volumes/v36/NAACR_v36_203.pdf)</w:t>
      </w:r>
    </w:p>
    <w:p>
      <w:pPr>
        <w:pStyle w:val="ListBullet"/>
      </w:pPr>
      <w:r>
        <w:rPr>
          <w:b w:val="0"/>
          <w:i w:val="0"/>
        </w:rPr>
        <w:t xml:space="preserve">Epp, A. M., &amp; Price, L. L. (2008). Family Identity: A Framework of Identity Interplay in Consumption Practices. </w:t>
      </w:r>
      <w:r>
        <w:rPr>
          <w:b w:val="0"/>
          <w:i/>
        </w:rPr>
        <w:t>Journal of Consumer Research</w:t>
      </w:r>
      <w:r>
        <w:rPr>
          <w:b w:val="0"/>
          <w:i w:val="0"/>
        </w:rPr>
        <w:t>, 35(1). ✅</w:t>
      </w:r>
    </w:p>
    <w:p>
      <w:pPr>
        <w:pStyle w:val="ListBullet"/>
      </w:pPr>
      <w:r>
        <w:rPr>
          <w:b w:val="0"/>
          <w:i w:val="0"/>
        </w:rPr>
        <w:t xml:space="preserve">Epp, A. M., &amp; Price, L. L. (2011). Designing Solutions around Customer Network Identity Goals. </w:t>
      </w:r>
      <w:r>
        <w:rPr>
          <w:b w:val="0"/>
          <w:i/>
        </w:rPr>
        <w:t>Journal of Marketing</w:t>
      </w:r>
      <w:r>
        <w:rPr>
          <w:b w:val="0"/>
          <w:i w:val="0"/>
        </w:rPr>
        <w:t>, 75(2), 36–54. ✅</w:t>
      </w:r>
    </w:p>
    <w:p>
      <w:pPr>
        <w:pStyle w:val="ListBullet"/>
      </w:pPr>
      <w:r>
        <w:rPr>
          <w:b w:val="0"/>
          <w:i w:val="0"/>
        </w:rPr>
        <w:t xml:space="preserve">Baker, S. M., Gentry, J. W., &amp; Rittenburg, T. L. (2005). </w:t>
      </w:r>
      <w:r>
        <w:rPr>
          <w:b w:val="0"/>
          <w:i/>
        </w:rPr>
        <w:t>Journal of Macromarketing</w:t>
      </w:r>
      <w:r>
        <w:rPr>
          <w:b w:val="0"/>
          <w:i w:val="0"/>
        </w:rPr>
        <w:t>, 25(2). ✅ — ⚠️ confirm exact title</w:t>
      </w:r>
    </w:p>
    <w:p>
      <w:pPr>
        <w:pStyle w:val="ListBullet"/>
      </w:pPr>
      <w:r>
        <w:rPr>
          <w:b w:val="0"/>
          <w:i w:val="0"/>
        </w:rPr>
        <w:t xml:space="preserve">Hill, R. P., &amp; Sharma, E. (2020). Consumer Vulnerability. </w:t>
      </w:r>
      <w:r>
        <w:rPr>
          <w:b w:val="0"/>
          <w:i/>
        </w:rPr>
        <w:t>Journal of Consumer Psychology</w:t>
      </w:r>
      <w:r>
        <w:rPr>
          <w:b w:val="0"/>
          <w:i w:val="0"/>
        </w:rPr>
        <w:t>. ✅ — ⚠️ confirm volume/pages</w:t>
      </w:r>
    </w:p>
    <w:p>
      <w:pPr>
        <w:pStyle w:val="ListBullet"/>
      </w:pPr>
      <w:r>
        <w:rPr>
          <w:b w:val="0"/>
          <w:i w:val="0"/>
        </w:rPr>
        <w:t xml:space="preserve">Tunney, R. J., &amp; Ziegler, F. V. (2015). Toward a Psychology of Surrogate Decision Making. </w:t>
      </w:r>
      <w:r>
        <w:rPr>
          <w:b w:val="0"/>
          <w:i/>
        </w:rPr>
        <w:t>Perspectives on Psychological Science</w:t>
      </w:r>
      <w:r>
        <w:rPr>
          <w:b w:val="0"/>
          <w:i w:val="0"/>
        </w:rPr>
        <w:t>, 10(6), 880–885. ✅</w:t>
      </w:r>
    </w:p>
    <w:p>
      <w:pPr>
        <w:pStyle w:val="ListBullet"/>
      </w:pPr>
      <w:r>
        <w:rPr>
          <w:b w:val="0"/>
          <w:i w:val="0"/>
        </w:rPr>
        <w:t xml:space="preserve">Tunney, R. J., &amp; Ziegler, F. V. (2015). Surrogate utility estimation by long-term partners and unfamiliar dyads. </w:t>
      </w:r>
      <w:r>
        <w:rPr>
          <w:b w:val="0"/>
          <w:i/>
        </w:rPr>
        <w:t>Frontiers in Psychology</w:t>
      </w:r>
      <w:r>
        <w:rPr>
          <w:b w:val="0"/>
          <w:i w:val="0"/>
        </w:rPr>
        <w:t>, 6:315. ✅</w:t>
      </w:r>
    </w:p>
    <w:p>
      <w:pPr>
        <w:pStyle w:val="ListBullet"/>
      </w:pPr>
      <w:r>
        <w:rPr>
          <w:b w:val="0"/>
          <w:i w:val="0"/>
        </w:rPr>
        <w:t xml:space="preserve">Shalowitz, D. I., Garrett-Mayer, E., &amp; Wendler, D. (2006). The Accuracy of Surrogate Decision Makers: A Systematic Review. </w:t>
      </w:r>
      <w:r>
        <w:rPr>
          <w:b w:val="0"/>
          <w:i/>
        </w:rPr>
        <w:t>Archives of Internal Medicine</w:t>
      </w:r>
      <w:r>
        <w:rPr>
          <w:b w:val="0"/>
          <w:i w:val="0"/>
        </w:rPr>
        <w:t>, 166(5), 493–497. ✅</w:t>
      </w:r>
    </w:p>
    <w:p>
      <w:pPr>
        <w:pStyle w:val="ListBullet"/>
      </w:pPr>
      <w:r>
        <w:rPr>
          <w:b w:val="0"/>
          <w:i/>
        </w:rPr>
        <w:t>Journal of Marketing Management</w:t>
      </w:r>
      <w:r>
        <w:rPr>
          <w:b w:val="0"/>
          <w:i w:val="0"/>
        </w:rPr>
        <w:t xml:space="preserve"> (2014) has two directly adjacent papers — on tensions in family decision-making among adult children caring for ageing parents, and on including/excluding paid caregivers in performances of family. </w:t>
      </w:r>
      <w:r>
        <w:rPr>
          <w:b/>
          <w:i w:val="0"/>
        </w:rPr>
        <w:t>Cite both</w:t>
      </w:r>
      <w:r>
        <w:rPr>
          <w:b w:val="0"/>
          <w:i w:val="0"/>
        </w:rPr>
        <w:t>; failing to acknowledge adjacent non-FT50 work is a common and avoidable reviewer irritation.</w:t>
      </w:r>
    </w:p>
    <w:p>
      <w:r>
        <w:rPr>
          <w:b w:val="0"/>
          <w:i/>
        </w:rPr>
        <w:t>Still to retrieve:</w:t>
      </w:r>
      <w:r>
        <w:rPr>
          <w:b w:val="0"/>
          <w:i w:val="0"/>
        </w:rPr>
        <w:t xml:space="preserve"> Pierce, Kostova &amp; Dirks on psychological ownership; Davis on household decision-making; Commuri &amp; Gentry on household resource allocation; the transformative service research caregiving stream.</w:t>
      </w:r>
    </w:p>
    <w:p>
      <w:pPr>
        <w:pStyle w:val="Heading2"/>
      </w:pPr>
      <w:r>
        <w:rPr>
          <w:b w:val="0"/>
          <w:i w:val="0"/>
          <w:color w:val="1A1A1A"/>
        </w:rPr>
        <w:t>12. Ninety-day execution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i w:val="0"/>
                <w:sz w:val="18"/>
              </w:rPr>
              <w:t>Weeks</w:t>
            </w:r>
          </w:p>
        </w:tc>
        <w:tc>
          <w:tcPr>
            <w:tcW w:type="dxa" w:w="2880"/>
          </w:tcPr>
          <w:p>
            <w:r>
              <w:rPr>
                <w:b/>
                <w:sz w:val="18"/>
              </w:rPr>
            </w:r>
            <w:r>
              <w:rPr>
                <w:b/>
                <w:i w:val="0"/>
                <w:sz w:val="18"/>
              </w:rPr>
              <w:t>Action</w:t>
            </w:r>
          </w:p>
        </w:tc>
        <w:tc>
          <w:tcPr>
            <w:tcW w:type="dxa" w:w="2880"/>
          </w:tcPr>
          <w:p>
            <w:r>
              <w:rPr>
                <w:b/>
                <w:sz w:val="18"/>
              </w:rPr>
            </w:r>
            <w:r>
              <w:rPr>
                <w:b/>
                <w:i w:val="0"/>
                <w:sz w:val="18"/>
              </w:rPr>
              <w:t>Output</w:t>
            </w:r>
          </w:p>
        </w:tc>
      </w:tr>
      <w:tr>
        <w:tc>
          <w:tcPr>
            <w:tcW w:type="dxa" w:w="2880"/>
          </w:tcPr>
          <w:p>
            <w:r>
              <w:rPr>
                <w:sz w:val="18"/>
              </w:rPr>
            </w:r>
            <w:r>
              <w:rPr>
                <w:b w:val="0"/>
                <w:i w:val="0"/>
                <w:sz w:val="18"/>
              </w:rPr>
              <w:t>1–2</w:t>
            </w:r>
          </w:p>
        </w:tc>
        <w:tc>
          <w:tcPr>
            <w:tcW w:type="dxa" w:w="2880"/>
          </w:tcPr>
          <w:p>
            <w:r>
              <w:rPr>
                <w:sz w:val="18"/>
              </w:rPr>
            </w:r>
            <w:r>
              <w:rPr>
                <w:b w:val="0"/>
                <w:i w:val="0"/>
                <w:sz w:val="18"/>
              </w:rPr>
              <w:t>Full-text retrieval and close reading of the Table 2 anchors; confirm the flagged citations</w:t>
            </w:r>
          </w:p>
        </w:tc>
        <w:tc>
          <w:tcPr>
            <w:tcW w:type="dxa" w:w="2880"/>
          </w:tcPr>
          <w:p>
            <w:r>
              <w:rPr>
                <w:sz w:val="18"/>
              </w:rPr>
            </w:r>
            <w:r>
              <w:rPr>
                <w:b w:val="0"/>
                <w:i w:val="0"/>
                <w:sz w:val="18"/>
              </w:rPr>
              <w:t>Positioning memo; final construct table</w:t>
            </w:r>
          </w:p>
        </w:tc>
      </w:tr>
      <w:tr>
        <w:tc>
          <w:tcPr>
            <w:tcW w:type="dxa" w:w="2880"/>
          </w:tcPr>
          <w:p>
            <w:r>
              <w:rPr>
                <w:sz w:val="18"/>
              </w:rPr>
            </w:r>
            <w:r>
              <w:rPr>
                <w:b w:val="0"/>
                <w:i w:val="0"/>
                <w:sz w:val="18"/>
              </w:rPr>
              <w:t>2–5</w:t>
            </w:r>
          </w:p>
        </w:tc>
        <w:tc>
          <w:tcPr>
            <w:tcW w:type="dxa" w:w="2880"/>
          </w:tcPr>
          <w:p>
            <w:r>
              <w:rPr>
                <w:sz w:val="18"/>
              </w:rPr>
            </w:r>
            <w:r>
              <w:rPr>
                <w:b/>
                <w:i w:val="0"/>
                <w:sz w:val="18"/>
              </w:rPr>
              <w:t>Study 5</w:t>
            </w:r>
            <w:r>
              <w:rPr>
                <w:b w:val="0"/>
                <w:i w:val="0"/>
                <w:sz w:val="18"/>
              </w:rPr>
              <w:t>: build corpus, train and hand-validate the proxy/self classifier, run attribute analysis</w:t>
            </w:r>
          </w:p>
        </w:tc>
        <w:tc>
          <w:tcPr>
            <w:tcW w:type="dxa" w:w="2880"/>
          </w:tcPr>
          <w:p>
            <w:r>
              <w:rPr>
                <w:sz w:val="18"/>
              </w:rPr>
            </w:r>
            <w:r>
              <w:rPr>
                <w:b w:val="0"/>
                <w:i w:val="0"/>
                <w:sz w:val="18"/>
              </w:rPr>
              <w:t>Descriptive results — go/no-go signal for the whole project</w:t>
            </w:r>
          </w:p>
        </w:tc>
      </w:tr>
      <w:tr>
        <w:tc>
          <w:tcPr>
            <w:tcW w:type="dxa" w:w="2880"/>
          </w:tcPr>
          <w:p>
            <w:r>
              <w:rPr>
                <w:sz w:val="18"/>
              </w:rPr>
            </w:r>
            <w:r>
              <w:rPr>
                <w:b w:val="0"/>
                <w:i w:val="0"/>
                <w:sz w:val="18"/>
              </w:rPr>
              <w:t>4–6</w:t>
            </w:r>
          </w:p>
        </w:tc>
        <w:tc>
          <w:tcPr>
            <w:tcW w:type="dxa" w:w="2880"/>
          </w:tcPr>
          <w:p>
            <w:r>
              <w:rPr>
                <w:sz w:val="18"/>
              </w:rPr>
            </w:r>
            <w:r>
              <w:rPr>
                <w:b w:val="0"/>
                <w:i w:val="0"/>
                <w:sz w:val="18"/>
              </w:rPr>
              <w:t>Draft the framework and propositions; draw Figure 1</w:t>
            </w:r>
          </w:p>
        </w:tc>
        <w:tc>
          <w:tcPr>
            <w:tcW w:type="dxa" w:w="2880"/>
          </w:tcPr>
          <w:p>
            <w:r>
              <w:rPr>
                <w:sz w:val="18"/>
              </w:rPr>
            </w:r>
            <w:r>
              <w:rPr>
                <w:b w:val="0"/>
                <w:i w:val="0"/>
                <w:sz w:val="18"/>
              </w:rPr>
              <w:t>Sections 3–6 of the paper</w:t>
            </w:r>
          </w:p>
        </w:tc>
      </w:tr>
      <w:tr>
        <w:tc>
          <w:tcPr>
            <w:tcW w:type="dxa" w:w="2880"/>
          </w:tcPr>
          <w:p>
            <w:r>
              <w:rPr>
                <w:sz w:val="18"/>
              </w:rPr>
            </w:r>
            <w:r>
              <w:rPr>
                <w:b w:val="0"/>
                <w:i w:val="0"/>
                <w:sz w:val="18"/>
              </w:rPr>
              <w:t>6–8</w:t>
            </w:r>
          </w:p>
        </w:tc>
        <w:tc>
          <w:tcPr>
            <w:tcW w:type="dxa" w:w="2880"/>
          </w:tcPr>
          <w:p>
            <w:r>
              <w:rPr>
                <w:sz w:val="18"/>
              </w:rPr>
            </w:r>
            <w:r>
              <w:rPr>
                <w:b w:val="0"/>
                <w:i w:val="0"/>
                <w:sz w:val="18"/>
              </w:rPr>
              <w:t>Build and pilot the authority-allocation inventory and the preference-fidelity instrument</w:t>
            </w:r>
          </w:p>
        </w:tc>
        <w:tc>
          <w:tcPr>
            <w:tcW w:type="dxa" w:w="2880"/>
          </w:tcPr>
          <w:p>
            <w:r>
              <w:rPr>
                <w:sz w:val="18"/>
              </w:rPr>
            </w:r>
            <w:r>
              <w:rPr>
                <w:b w:val="0"/>
                <w:i w:val="0"/>
                <w:sz w:val="18"/>
              </w:rPr>
              <w:t>Validated instruments (a measurement contribution in their own right)</w:t>
            </w:r>
          </w:p>
        </w:tc>
      </w:tr>
      <w:tr>
        <w:tc>
          <w:tcPr>
            <w:tcW w:type="dxa" w:w="2880"/>
          </w:tcPr>
          <w:p>
            <w:r>
              <w:rPr>
                <w:sz w:val="18"/>
              </w:rPr>
            </w:r>
            <w:r>
              <w:rPr>
                <w:b w:val="0"/>
                <w:i w:val="0"/>
                <w:sz w:val="18"/>
              </w:rPr>
              <w:t>8–10</w:t>
            </w:r>
          </w:p>
        </w:tc>
        <w:tc>
          <w:tcPr>
            <w:tcW w:type="dxa" w:w="2880"/>
          </w:tcPr>
          <w:p>
            <w:r>
              <w:rPr>
                <w:sz w:val="18"/>
              </w:rPr>
            </w:r>
            <w:r>
              <w:rPr>
                <w:b w:val="0"/>
                <w:i w:val="0"/>
                <w:sz w:val="18"/>
              </w:rPr>
              <w:t>Secure Study 1 dyad access through care providers; IRB submission with the fluctuating-capacity consent protocol</w:t>
            </w:r>
          </w:p>
        </w:tc>
        <w:tc>
          <w:tcPr>
            <w:tcW w:type="dxa" w:w="2880"/>
          </w:tcPr>
          <w:p>
            <w:r>
              <w:rPr>
                <w:sz w:val="18"/>
              </w:rPr>
            </w:r>
            <w:r>
              <w:rPr>
                <w:b w:val="0"/>
                <w:i w:val="0"/>
                <w:sz w:val="18"/>
              </w:rPr>
              <w:t>Access agreements; approval</w:t>
            </w:r>
          </w:p>
        </w:tc>
      </w:tr>
      <w:tr>
        <w:tc>
          <w:tcPr>
            <w:tcW w:type="dxa" w:w="2880"/>
          </w:tcPr>
          <w:p>
            <w:r>
              <w:rPr>
                <w:sz w:val="18"/>
              </w:rPr>
            </w:r>
            <w:r>
              <w:rPr>
                <w:b w:val="0"/>
                <w:i w:val="0"/>
                <w:sz w:val="18"/>
              </w:rPr>
              <w:t>8–12</w:t>
            </w:r>
          </w:p>
        </w:tc>
        <w:tc>
          <w:tcPr>
            <w:tcW w:type="dxa" w:w="2880"/>
          </w:tcPr>
          <w:p>
            <w:r>
              <w:rPr>
                <w:sz w:val="18"/>
              </w:rPr>
            </w:r>
            <w:r>
              <w:rPr>
                <w:b w:val="0"/>
                <w:i w:val="0"/>
                <w:sz w:val="18"/>
              </w:rPr>
              <w:t>Run Study 3a and 3d (fastest, cleanest, most counterintuitive)</w:t>
            </w:r>
          </w:p>
        </w:tc>
        <w:tc>
          <w:tcPr>
            <w:tcW w:type="dxa" w:w="2880"/>
          </w:tcPr>
          <w:p>
            <w:r>
              <w:rPr>
                <w:sz w:val="18"/>
              </w:rPr>
            </w:r>
            <w:r>
              <w:rPr>
                <w:b w:val="0"/>
                <w:i w:val="0"/>
                <w:sz w:val="18"/>
              </w:rPr>
              <w:t>Mechanism evidence for P5 and P7</w:t>
            </w:r>
          </w:p>
        </w:tc>
      </w:tr>
      <w:tr>
        <w:tc>
          <w:tcPr>
            <w:tcW w:type="dxa" w:w="2880"/>
          </w:tcPr>
          <w:p>
            <w:r>
              <w:rPr>
                <w:sz w:val="18"/>
              </w:rPr>
            </w:r>
            <w:r>
              <w:rPr>
                <w:b w:val="0"/>
                <w:i w:val="0"/>
                <w:sz w:val="18"/>
              </w:rPr>
              <w:t>10–13</w:t>
            </w:r>
          </w:p>
        </w:tc>
        <w:tc>
          <w:tcPr>
            <w:tcW w:type="dxa" w:w="2880"/>
          </w:tcPr>
          <w:p>
            <w:r>
              <w:rPr>
                <w:sz w:val="18"/>
              </w:rPr>
            </w:r>
            <w:r>
              <w:rPr>
                <w:b w:val="0"/>
                <w:i w:val="0"/>
                <w:sz w:val="18"/>
              </w:rPr>
              <w:t>Assemble the full conceptual draft with Study 5 as the empirical vignette</w:t>
            </w:r>
          </w:p>
        </w:tc>
        <w:tc>
          <w:tcPr>
            <w:tcW w:type="dxa" w:w="2880"/>
          </w:tcPr>
          <w:p>
            <w:r>
              <w:rPr>
                <w:sz w:val="18"/>
              </w:rPr>
            </w:r>
            <w:r>
              <w:rPr>
                <w:b w:val="0"/>
                <w:i w:val="0"/>
                <w:sz w:val="18"/>
              </w:rPr>
              <w:t>JM-submittable manuscript</w:t>
            </w:r>
          </w:p>
        </w:tc>
      </w:tr>
      <w:tr>
        <w:tc>
          <w:tcPr>
            <w:tcW w:type="dxa" w:w="2880"/>
          </w:tcPr>
          <w:p>
            <w:r>
              <w:rPr>
                <w:sz w:val="18"/>
              </w:rPr>
            </w:r>
            <w:r>
              <w:rPr>
                <w:b w:val="0"/>
                <w:i w:val="0"/>
                <w:sz w:val="18"/>
              </w:rPr>
              <w:t>Ongoing</w:t>
            </w:r>
          </w:p>
        </w:tc>
        <w:tc>
          <w:tcPr>
            <w:tcW w:type="dxa" w:w="2880"/>
          </w:tcPr>
          <w:p>
            <w:r>
              <w:rPr>
                <w:sz w:val="18"/>
              </w:rPr>
            </w:r>
            <w:r>
              <w:rPr>
                <w:b w:val="0"/>
                <w:i w:val="0"/>
                <w:sz w:val="18"/>
              </w:rPr>
              <w:t>Present at ACR and the AMA Winter conference before submitting</w:t>
            </w:r>
          </w:p>
        </w:tc>
        <w:tc>
          <w:tcPr>
            <w:tcW w:type="dxa" w:w="2880"/>
          </w:tcPr>
          <w:p>
            <w:r>
              <w:rPr>
                <w:sz w:val="18"/>
              </w:rPr>
            </w:r>
            <w:r>
              <w:rPr>
                <w:b w:val="0"/>
                <w:i w:val="0"/>
                <w:sz w:val="18"/>
              </w:rPr>
              <w:t>Reviewer objections surfaced early and cheaply</w:t>
            </w:r>
          </w:p>
        </w:tc>
      </w:tr>
    </w:tbl>
    <w:p/>
    <w:p>
      <w:r>
        <w:rPr>
          <w:b/>
          <w:i w:val="0"/>
        </w:rPr>
        <w:t>Sequencing logic:</w:t>
      </w:r>
      <w:r>
        <w:rPr>
          <w:b w:val="0"/>
          <w:i w:val="0"/>
        </w:rPr>
        <w:t xml:space="preserve"> Study 5 first because it is cheap, fast, novel, and de-risking. Study 3a/3d next because they test the two counterintuitive propositions that will decide whether the theory is interesting. Study 1 is the most valuable and the slowest — start its access negotiation immediately and in parallel, since dyadic recruitment through providers typically takes three to six months.</w:t>
      </w:r>
    </w:p>
    <w:p>
      <w:r>
        <w:rPr>
          <w:b w:val="0"/>
          <w:i/>
        </w:rPr>
        <w:t>External sources are linked inline and paraphrased; content was rephrased for compliance with licensing restrictions. Citation details marked ⚠️ require independent bibliographic verification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Proxy Consumption Agency: Conceptual Paper Skeleton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