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2D181717" w:rsidR="00990F18" w:rsidRPr="00205C71" w:rsidRDefault="00BD2F70" w:rsidP="00E50BF7">
      <w:pPr>
        <w:spacing w:after="0"/>
        <w:rPr>
          <w:szCs w:val="24"/>
        </w:rPr>
      </w:pPr>
      <w:r w:rsidRPr="00205C71">
        <w:rPr>
          <w:szCs w:val="24"/>
        </w:rPr>
        <w:t>Decarbonising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r w:rsidRPr="00205C71">
        <w:rPr>
          <w:szCs w:val="24"/>
        </w:rPr>
        <w:t>fsQCA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decarbonised at scale (Evangelista et al., 2018; Centobelli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Hasanagic,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suited to testing theory, but it is symmetric and additive by design: it assumes that an enabler adds the same increment to performance whether or not other enablers are present. Organisations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fsQCA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Seuring &amp; Müller, 2008). Definitions approach the concept of green logistics by aiming to reduce the environmental </w:t>
      </w:r>
      <w:r w:rsidRPr="00205C71">
        <w:rPr>
          <w:szCs w:val="24"/>
        </w:rPr>
        <w:lastRenderedPageBreak/>
        <w:t>impact of the physical movement of goods, be it through the selection of the mode of transport, the optimisation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(Centobelli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Agyabeng-Mensah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operationalised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organisation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optimisation, which is the basis of green logistics (Centobelli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w:t>
      </w:r>
      <w:r w:rsidRPr="00205C71">
        <w:rPr>
          <w:szCs w:val="24"/>
        </w:rPr>
        <w:lastRenderedPageBreak/>
        <w:t>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(Ghobakhloo et al., 2013; Mangla et al., 2020).</w:t>
      </w:r>
    </w:p>
    <w:p w14:paraId="58A1A2C5" w14:textId="4AE5E401" w:rsidR="00FE2790" w:rsidRPr="00205C71"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2.3 Combining SEM and fsQCA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Pr="00205C71"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fsQCA can show whether the net effects that PLS-SEM identifies assemble into a single dominant recipe or into several </w:t>
      </w:r>
      <w:r w:rsidRPr="00205C71">
        <w:rPr>
          <w:szCs w:val="24"/>
        </w:rPr>
        <w:lastRenderedPageBreak/>
        <w:t xml:space="preserve">competing ones, and it can distinguish conditions that are core, present in nearly every successful case, from those that are peripheral and context-dependent (Woodside, 2013). This pairing has become common in sustainable supply chain and operations research, where a configurational view fits the recognition that enablers interact (Mangla et al., 2020). The present study adopts the integrated design for that reason: PLS-SEM tests the hypothesised structure, and fsQCA interrogates the configurational logic </w:t>
      </w:r>
      <w:r w:rsidR="00C25BF1">
        <w:rPr>
          <w:szCs w:val="24"/>
        </w:rPr>
        <w:t xml:space="preserve">that </w:t>
      </w:r>
      <w:r w:rsidRPr="00205C71">
        <w:rPr>
          <w:szCs w:val="24"/>
        </w:rPr>
        <w:t>the structure leaves out.</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To treat the economic context as a moderator, we first need a clear account of why developing and emerging economies should differ in how they enable green logistics.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Agyabeng-Mensah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&amp; Hasanagic,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prioritise green logistics </w:t>
      </w:r>
      <w:r w:rsidRPr="00205C71">
        <w:rPr>
          <w:szCs w:val="24"/>
        </w:rPr>
        <w:lastRenderedPageBreak/>
        <w:t>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lastRenderedPageBreak/>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Default="00573A3A" w:rsidP="00E50BF7">
      <w:pPr>
        <w:spacing w:after="0"/>
        <w:rPr>
          <w:bCs/>
          <w:szCs w:val="24"/>
        </w:rPr>
      </w:pPr>
      <w:r w:rsidRPr="00205C71">
        <w:rPr>
          <w:bCs/>
          <w:szCs w:val="24"/>
        </w:rPr>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0C2C6F18" w:rsidR="00573A3A" w:rsidRPr="00205C71" w:rsidRDefault="00573A3A" w:rsidP="00E50BF7">
      <w:pPr>
        <w:spacing w:after="0"/>
        <w:rPr>
          <w:bCs/>
          <w:szCs w:val="24"/>
        </w:rPr>
      </w:pPr>
      <w:r w:rsidRPr="00205C71">
        <w:rPr>
          <w:bCs/>
          <w:szCs w:val="24"/>
        </w:rPr>
        <w:lastRenderedPageBreak/>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77777777" w:rsidR="00573A3A" w:rsidRPr="00205C71" w:rsidRDefault="00573A3A" w:rsidP="00E50BF7">
      <w:pPr>
        <w:spacing w:after="0"/>
        <w:rPr>
          <w:bCs/>
          <w:szCs w:val="24"/>
        </w:rPr>
      </w:pPr>
      <w:r w:rsidRPr="00205C71">
        <w:rPr>
          <w:bCs/>
          <w:szCs w:val="24"/>
        </w:rPr>
        <w:t>Skill readiness and digital readiness (H5). The success of digital readiness in contributing to the firm depends on having employees ready and skilled to utilize it; this draws upon absorptive capacity literature. It’s through knowledge and skill readiness that digital investment turns into actual digital capability and application. We hypothesize a positive association between knowledge and skill readiness and digital infrastructure readiness.</w:t>
      </w:r>
    </w:p>
    <w:p w14:paraId="143E3274" w14:textId="77777777" w:rsidR="00573A3A" w:rsidRPr="00205C71" w:rsidRDefault="00573A3A" w:rsidP="00E50BF7">
      <w:pPr>
        <w:spacing w:after="0"/>
        <w:rPr>
          <w:bCs/>
          <w:szCs w:val="24"/>
        </w:rPr>
      </w:pPr>
      <w:r w:rsidRPr="00205C71">
        <w:rPr>
          <w:bCs/>
          <w:szCs w:val="24"/>
        </w:rPr>
        <w:t>Cost barrier inversion and integration (H6). When the financial constraints are mitigated – by reduced costs of technologies or improved benefits-investment ratio – firms may become more inclined to invest in collaborative integration efforts. We hypothesize a positive association between cost barrier inversion and green supply chain integration, though acknowledging its potential context dependency.</w:t>
      </w:r>
    </w:p>
    <w:p w14:paraId="312240E4" w14:textId="77777777" w:rsidR="00573A3A" w:rsidRPr="00205C71" w:rsidRDefault="00573A3A" w:rsidP="00E50BF7">
      <w:pPr>
        <w:spacing w:after="0"/>
        <w:rPr>
          <w:bCs/>
          <w:szCs w:val="24"/>
        </w:rPr>
      </w:pPr>
      <w:r w:rsidRPr="00205C71">
        <w:rPr>
          <w:bCs/>
          <w:szCs w:val="24"/>
        </w:rPr>
        <w:t>Integration and performance (H7). Since it is through integration that environmental goals are operationalized across the chain, green supply chain integration should directly impact its measurement at that level, hence it's hypothesized to be the closest determinant of green 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 xml:space="preserve">Management commitment and performance (H8). Apart from its influence via integration, leadership commitment should be able to impact performance directly through target-setting, </w:t>
      </w:r>
      <w:r w:rsidRPr="00205C71">
        <w:rPr>
          <w:bCs/>
          <w:szCs w:val="24"/>
        </w:rPr>
        <w:lastRenderedPageBreak/>
        <w:t>integration of environmental issues in evaluation criteria and performance, and sustained effort.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40F1520"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fsQCA explores the equifinal, asymmetric configurations which are excluded by the structure of the structural equation model.</w:t>
      </w:r>
      <w:r w:rsidR="0058052A" w:rsidRPr="0058052A">
        <w:t xml:space="preserve"> </w:t>
      </w:r>
      <w:r w:rsidR="0058052A" w:rsidRPr="0058052A">
        <w:rPr>
          <w:szCs w:val="24"/>
          <w:highlight w:val="yellow"/>
        </w:rPr>
        <w:t>The design is cross-sectional. It records the pattern of enablement prevailing in each setting at the time of the survey rather than its development over time. Predictors and outcomes are measured together and through managerial perception, so the estimated paths describe directional association within the specified model, and for the reciprocal relationships set out in Section 2.5 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r w:rsidR="000B262A" w:rsidRPr="00205C71">
        <w:rPr>
          <w:szCs w:val="24"/>
        </w:rPr>
        <w:t>separate</w:t>
      </w:r>
      <w:r w:rsidRPr="00205C71">
        <w:rPr>
          <w:szCs w:val="24"/>
        </w:rPr>
        <w:t>, but linked analytic streams: the symmetric PLS-SEM path and the asymmetric fsQCA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Colour-coded stages, directed arrows</w:t>
      </w:r>
      <w:r w:rsidR="00C25BF1">
        <w:rPr>
          <w:szCs w:val="24"/>
        </w:rPr>
        <w:t>,</w:t>
      </w:r>
      <w:r w:rsidRPr="00E50BF7">
        <w:rPr>
          <w:szCs w:val="24"/>
        </w:rPr>
        <w:t xml:space="preserve"> and italicised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2FF74126"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 </w:t>
      </w:r>
      <w:r w:rsidRPr="00205C71">
        <w:rPr>
          <w:szCs w:val="24"/>
        </w:rPr>
        <w:lastRenderedPageBreak/>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developed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3C5F0BF3" w:rsidR="00990F18" w:rsidRPr="00205C71" w:rsidRDefault="004451D7" w:rsidP="00E50BF7">
      <w:pPr>
        <w:rPr>
          <w:szCs w:val="24"/>
        </w:rPr>
      </w:pPr>
      <w:r w:rsidRPr="00205C71">
        <w:rPr>
          <w:szCs w:val="24"/>
        </w:rPr>
        <w:t>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fsQCA</w:t>
      </w:r>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developed economy and 120 emerging economy respondents.</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lastRenderedPageBreak/>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 xml:space="preserve">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w:t>
      </w:r>
      <w:r w:rsidRPr="00205C71">
        <w:rPr>
          <w:szCs w:val="24"/>
        </w:rPr>
        <w:lastRenderedPageBreak/>
        <w:t>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.5 fsQCA Calibration and Analysis</w:t>
      </w:r>
    </w:p>
    <w:p w14:paraId="59908AE3" w14:textId="7EDD3F2A" w:rsidR="00990F18" w:rsidRPr="00205C71" w:rsidRDefault="00BD2F70" w:rsidP="00E50BF7">
      <w:pPr>
        <w:spacing w:after="0"/>
        <w:rPr>
          <w:szCs w:val="24"/>
        </w:rPr>
      </w:pPr>
      <w:r w:rsidRPr="00205C71">
        <w:rPr>
          <w:szCs w:val="24"/>
        </w:rPr>
        <w:t>For the configurational analysis, construct scores were calibrated into fuzzy-set membership using the direct method of calibration, with the three qualitative anchors, the threshold for full membership, the crossover point of maximum ambiguity, and the threshold for full non-membership set at the 95th, 50th, and 5th percentiles of the sample distribution</w:t>
      </w:r>
      <w:r w:rsidR="00C25BF1">
        <w:rPr>
          <w:szCs w:val="24"/>
        </w:rPr>
        <w:t>,</w:t>
      </w:r>
      <w:r w:rsidRPr="00205C71">
        <w:rPr>
          <w:szCs w:val="24"/>
        </w:rPr>
        <w:t xml:space="preserve"> respectively (Ragin, 2008). 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77777777" w:rsidR="00990F18" w:rsidRPr="00205C71" w:rsidRDefault="00BD2F70" w:rsidP="00E50BF7">
      <w:pPr>
        <w:spacing w:after="0"/>
        <w:rPr>
          <w:szCs w:val="24"/>
        </w:rPr>
      </w:pPr>
      <w:r w:rsidRPr="00205C71">
        <w:rPr>
          <w:szCs w:val="24"/>
        </w:rPr>
        <w:t>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Statistically, Harman's single-factor test was applied; the first unrotated factor accounted for well under half of the total variance, indicating that common method bias is unlikely to threaten the findings.</w:t>
      </w:r>
    </w:p>
    <w:p w14:paraId="7D2FE490" w14:textId="77777777" w:rsidR="00990F18" w:rsidRDefault="00BD2F70" w:rsidP="00E50BF7">
      <w:pPr>
        <w:spacing w:after="0"/>
        <w:rPr>
          <w:szCs w:val="24"/>
        </w:rPr>
      </w:pPr>
      <w:r w:rsidRPr="00205C71">
        <w:rPr>
          <w:szCs w:val="24"/>
        </w:rPr>
        <w:t>Finally, the study makes explicit that the seven enabler constructs were derived by inverting the barrier dimensions that a companion Total Interpretive Structural Modelling study identified, validated through expert elicitation, and arranged into a hierarchy. We treat this grounding as a methodological strength rather than a limitation for three reasons. First, the barrier set was not assembled ad hoc but was subjected to structural validation, so the resulting enablers inherit a demonstrated dimensionality. Second, the hierarchical structure uncovered by TISM informs the sequential logic of the present framework, lending it theoretical coherence rather than leaving the ordering of constructs to assumption. Third, anchoring enablers in a prior model of the same phenomenon improves the comparability of the two studies and supports a cumulative research programme. The inversion is conceptual rather than mechanical: each enabler item was written to capture the presence of a facilitating condition rather than merely the absence of an obstacle.</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 xml:space="preserve">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t>
      </w:r>
      <w:r w:rsidRPr="00A82EEC">
        <w:rPr>
          <w:bCs/>
          <w:szCs w:val="24"/>
          <w:highlight w:val="yellow"/>
        </w:rPr>
        <w:lastRenderedPageBreak/>
        <w:t>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lastRenderedPageBreak/>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 xml:space="preserve">Two illustrative respondent profiles bring the descriptive patterns to life and anchor the quantitative results in the lived experience of logistics decision-makers. The first, a logistics manager at a mid-sized manufacturing firm in a developing economy, conveyed a cautious, </w:t>
      </w:r>
      <w:r w:rsidRPr="00205C71">
        <w:rPr>
          <w:szCs w:val="24"/>
        </w:rPr>
        <w:lastRenderedPageBreak/>
        <w:t>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lastRenderedPageBreak/>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hete</w:t>
      </w:r>
      <w:r>
        <w:rPr>
          <w:szCs w:val="24"/>
        </w:rPr>
        <w:t>rotrait-monotrait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lastRenderedPageBreak/>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 xml:space="preserve">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w:t>
      </w:r>
      <w:r w:rsidRPr="00205C71">
        <w:rPr>
          <w:szCs w:val="24"/>
        </w:rPr>
        <w:lastRenderedPageBreak/>
        <w:t>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lastRenderedPageBreak/>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Pr="00205C71"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lastRenderedPageBreak/>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3E718AB7" w:rsidR="00990F18" w:rsidRPr="00205C71" w:rsidRDefault="00BD2F70" w:rsidP="00842AB8">
      <w:pPr>
        <w:spacing w:after="0"/>
        <w:rPr>
          <w:szCs w:val="24"/>
        </w:rPr>
      </w:pPr>
      <w:r w:rsidRPr="00205C71">
        <w:rPr>
          <w:szCs w:val="24"/>
        </w:rPr>
        <w:t>The sufficiency analysis, reported in Table 12 and visualised in the configuration chart of Figure 7, identified two sufficient configurations for high performance in the developing-economy group and three in the emerging-economy group. Each configuration exceeded the consistency threshold of 0.82</w:t>
      </w:r>
      <w:r w:rsidR="00C25BF1">
        <w:rPr>
          <w:szCs w:val="24"/>
        </w:rPr>
        <w:t>,</w:t>
      </w:r>
      <w:r w:rsidRPr="00205C71">
        <w:rPr>
          <w:szCs w:val="24"/>
        </w:rPr>
        <w:t xml:space="preserve"> and the coverage threshold, and the overall solution consistency and coverage were satisfactory in both groups.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lastRenderedPageBreak/>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w:t>
      </w:r>
      <w:r w:rsidRPr="00842AB8">
        <w:rPr>
          <w:szCs w:val="24"/>
        </w:rPr>
        <w:lastRenderedPageBreak/>
        <w:t>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5F80F557"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w:t>
      </w:r>
      <w:r w:rsidRPr="00C528B7">
        <w:rPr>
          <w:bCs/>
          <w:szCs w:val="24"/>
          <w:highlight w:val="yellow"/>
        </w:rPr>
        <w:lastRenderedPageBreak/>
        <w:t>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cost barrier inversion and green supply chain integration do not depart significantly from normality, the copula cannot be identified where they act as predictors, and no claim about endogeneity is advanced for those three relationships.</w:t>
      </w:r>
    </w:p>
    <w:p w14:paraId="18F2F89A" w14:textId="1F63E526" w:rsidR="00C528B7" w:rsidRDefault="00C528B7" w:rsidP="00C528B7">
      <w:pPr>
        <w:keepNext/>
        <w:spacing w:after="0"/>
        <w:rPr>
          <w:bCs/>
          <w:szCs w:val="24"/>
        </w:rPr>
      </w:pPr>
      <w:r w:rsidRPr="00C528B7">
        <w:rPr>
          <w:bCs/>
          <w:szCs w:val="24"/>
          <w:highlight w:val="yellow"/>
        </w:rPr>
        <w:t>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Pr="00205C71" w:rsidRDefault="00BD2F70" w:rsidP="00C732DC">
      <w:pPr>
        <w:spacing w:after="0"/>
        <w:rPr>
          <w:szCs w:val="24"/>
        </w:rPr>
      </w:pPr>
      <w:r w:rsidRPr="00205C71">
        <w:rPr>
          <w:szCs w:val="24"/>
        </w:rPr>
        <w:t xml:space="preserve">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w:t>
      </w:r>
      <w:r w:rsidRPr="00205C71">
        <w:rPr>
          <w:szCs w:val="24"/>
        </w:rPr>
        <w:lastRenderedPageBreak/>
        <w:t>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19B7150D" w14:textId="77777777" w:rsidR="00990F18" w:rsidRPr="00205C71" w:rsidRDefault="00BD2F70" w:rsidP="00C732DC">
      <w:pPr>
        <w:spacing w:after="0"/>
        <w:rPr>
          <w:szCs w:val="24"/>
        </w:rPr>
      </w:pPr>
      <w:r w:rsidRPr="00205C71">
        <w:rPr>
          <w:szCs w:val="24"/>
        </w:rPr>
        <w:t>The non-significant pooled path from cost barrier inversion to integration is best understood through the configurational results. Cost barrier inversion is not inert; it features as a core condition in one of the developing-economy configurations. Its average net effect is diluted because its contribution is contingent: it matters where it combines with regulatory pressure and managerial commitment in resource-constrained settings, but it is largely irrelevant in the emerging-economy recipes that lead instead with digital capability. This is precisely the kind of relationship that a symmetric model obscures and a configurational model reveals, and it illustrates why the two methods are complementary rather than redundant. The fsQCA results demonstrate equifinality, with multiple distinct recipes leading to high performance, and causal asymmetry, since the presence of a condition in a successful recipe does not imply that its absence produces failure. Neither property is visible in the path estimates alone.</w:t>
      </w:r>
    </w:p>
    <w:p w14:paraId="1FAF4434" w14:textId="28C34B0F" w:rsidR="00990F18" w:rsidRPr="00205C71" w:rsidRDefault="00BD2F70" w:rsidP="00C732DC">
      <w:pPr>
        <w:spacing w:after="0"/>
        <w:rPr>
          <w:szCs w:val="24"/>
        </w:rPr>
      </w:pPr>
      <w:r w:rsidRPr="00205C71">
        <w:rPr>
          <w:szCs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43D39D00" w:rsidR="00990F18" w:rsidRPr="00205C71" w:rsidRDefault="00A82EEC" w:rsidP="00C732DC">
      <w:pPr>
        <w:spacing w:after="0"/>
        <w:rPr>
          <w:szCs w:val="24"/>
        </w:rPr>
      </w:pPr>
      <w:r w:rsidRPr="00A82EEC">
        <w:rPr>
          <w:szCs w:val="24"/>
          <w:highlight w:val="yellow"/>
        </w:rPr>
        <w:t xml:space="preserve">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w:t>
      </w:r>
      <w:r w:rsidRPr="00A82EEC">
        <w:rPr>
          <w:szCs w:val="24"/>
          <w:highlight w:val="yellow"/>
        </w:rPr>
        <w:lastRenderedPageBreak/>
        <w:t>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7355EF7C" w14:textId="77777777" w:rsidR="00990F18" w:rsidRPr="00205C71" w:rsidRDefault="00BD2F70" w:rsidP="00C732DC">
      <w:pPr>
        <w:spacing w:after="0"/>
        <w:rPr>
          <w:szCs w:val="24"/>
        </w:rPr>
      </w:pPr>
      <w:r w:rsidRPr="00205C71">
        <w:rPr>
          <w:szCs w:val="24"/>
        </w:rPr>
        <w:t>The study makes three explicit theoretical contributions. First, it contributes to green logistics theory by specifying and testing a mechanism-based framework in which external pressures, leadership commitment, digital capability, workforce readiness, and cost dynamics combine through integration to produce performance, and by showing that the proximate driver of performance is the integration capability rather than any single antecedent. This moves the field beyond inventories of drivers toward a structured account of how enablement actually unfolds.</w:t>
      </w:r>
    </w:p>
    <w:p w14:paraId="42D14D93" w14:textId="7C8FE22B" w:rsidR="00990F18" w:rsidRPr="00205C71" w:rsidRDefault="00BD2F70" w:rsidP="00C732DC">
      <w:pPr>
        <w:spacing w:after="0"/>
        <w:rPr>
          <w:szCs w:val="24"/>
        </w:rPr>
      </w:pP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w:t>
      </w:r>
      <w:r w:rsidRPr="00205C71">
        <w:rPr>
          <w:szCs w:val="24"/>
        </w:rPr>
        <w:lastRenderedPageBreak/>
        <w: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77777777" w:rsidR="00990F18" w:rsidRPr="00205C71" w:rsidRDefault="00BD2F70" w:rsidP="00C732DC">
      <w:pPr>
        <w:spacing w:after="0"/>
        <w:rPr>
          <w:szCs w:val="24"/>
        </w:rPr>
      </w:pPr>
      <w:r w:rsidRPr="00205C71">
        <w:rPr>
          <w:szCs w:val="24"/>
        </w:rPr>
        <w:t>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Clear, credible, and progressively tightening environmental regulation, paired with policy incentives such as subsidies and tax benefits that ease cost barriers, is therefore likely to yield the greatest return. 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 xml:space="preserve">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w:t>
      </w:r>
      <w:r w:rsidRPr="00205C71">
        <w:rPr>
          <w:szCs w:val="24"/>
        </w:rPr>
        <w:lastRenderedPageBreak/>
        <w:t>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5C009E1" w14:textId="3D4E3301" w:rsidR="000841FA"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organised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0E0E19">
        <w:rPr>
          <w:szCs w:val="24"/>
        </w:rPr>
        <w:t xml:space="preserve"> </w:t>
      </w:r>
      <w:r w:rsidRPr="000841FA">
        <w:rPr>
          <w:szCs w:val="24"/>
        </w:rPr>
        <w:t xml:space="preserve">The reliance on self-reported, single-source data introduces the possibility of common method bias, which procedural and statistical remedies suggest is limited but cannot wholly eliminate; future studies could incorporate objective performance data such as </w:t>
      </w:r>
      <w:r w:rsidRPr="000841FA">
        <w:rPr>
          <w:szCs w:val="24"/>
        </w:rPr>
        <w:lastRenderedPageBreak/>
        <w:t>audited emissions figures. The classification of firms into two econom</w:t>
      </w:r>
      <w:r w:rsidR="00C25BF1">
        <w:rPr>
          <w:szCs w:val="24"/>
        </w:rPr>
        <w:t>ic</w:t>
      </w:r>
      <w:r w:rsidRPr="000841FA">
        <w:rPr>
          <w:szCs w:val="24"/>
        </w:rPr>
        <w:t xml:space="preserve"> groups, while theoretically motivated, simplifies a continuum, and the generalisability of the configurations beyond the sampled contexts should be tested. 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r w:rsidRPr="009D494B">
        <w:rPr>
          <w:szCs w:val="24"/>
        </w:rPr>
        <w:t>Agyabeng-Mensah, Y., Ahenkorah, E., Afum,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Bag, S., Gupta, S., &amp; Foropon,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Bag, S., Wood, L. C., Xu, L., Dhamija, P., &amp; Kayikci,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Bhattacharya, A., Nand, A., &amp; Castka,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r w:rsidRPr="009D494B">
        <w:rPr>
          <w:szCs w:val="24"/>
        </w:rPr>
        <w:t>Bouzon,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r w:rsidRPr="009D494B">
        <w:rPr>
          <w:szCs w:val="24"/>
        </w:rPr>
        <w:t>Centobelli, P., Cerchione,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Dubey, R., Gunasekaran, A., Childe, S. J., Papadopoulos, T., Luo, Z., Wamba, S. F., &amp; Roubaud,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lastRenderedPageBreak/>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r w:rsidRPr="009D494B">
        <w:rPr>
          <w:szCs w:val="24"/>
        </w:rPr>
        <w:t>Ghobakhloo,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Govindan, K., &amp; Hasanagic,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r w:rsidRPr="009D494B">
        <w:rPr>
          <w:szCs w:val="24"/>
        </w:rPr>
        <w:t>Hervani,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Jabbour, C. J. C., Fiorini, P. D. C., Ndubisi, N. O., Queiroz, M. M., &amp; Piato,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r w:rsidRPr="009D494B">
        <w:rPr>
          <w:szCs w:val="24"/>
        </w:rPr>
        <w:t>Jum'a, L., Zimon, D., Ikram, M., &amp; Madzik,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r w:rsidRPr="009D494B">
        <w:rPr>
          <w:szCs w:val="24"/>
        </w:rPr>
        <w:t>Karmaker, C. L., Ahmed, T., Ahmed, S., Ali, S. M., Moktadir,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Khan, S. A. R., Yu, Z., Golpira,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Kumar, A., Mangla, S. K., Kumar, P., &amp; Karamperidis,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Luthra, S., Mangla, S. K., Xu, L., &amp; Diabat,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lastRenderedPageBreak/>
        <w:t>Mardani, A., Kannan, D., Hooker, R. E., Ozkul, S., Alrasheedi, M., &amp; Tirkolaee,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Maric, J., &amp; Opazo-Basaez, M. (2019). Green servitization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r w:rsidRPr="009D494B">
        <w:rPr>
          <w:szCs w:val="24"/>
        </w:rPr>
        <w:t>Moktadir,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t>Mubarik, M. S., Naghavi,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r w:rsidRPr="009D494B">
        <w:rPr>
          <w:szCs w:val="24"/>
        </w:rPr>
        <w:t>Mukhuty,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r w:rsidRPr="009D494B">
        <w:rPr>
          <w:szCs w:val="24"/>
        </w:rPr>
        <w:t>Pagell,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(fsQCA):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Raut, R. D., Mangla, S. K., Narwane, V. S., Gardas, B. B., Priyadarshinee,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r w:rsidRPr="009D494B">
        <w:rPr>
          <w:szCs w:val="24"/>
        </w:rPr>
        <w:t>Seuring,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r w:rsidRPr="009D494B">
        <w:rPr>
          <w:szCs w:val="24"/>
        </w:rPr>
        <w:lastRenderedPageBreak/>
        <w:t>Stekelorum, R., Laguir,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Boon-itt,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Hult, G. T. M., Hair, J. F., Proksch, D., Sarstedt, M., Pinkwart,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lastRenderedPageBreak/>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00AC0F62" w:rsidR="008B57DA" w:rsidRPr="00205C71" w:rsidRDefault="008B57DA" w:rsidP="008B57DA">
      <w:pPr>
        <w:spacing w:after="0" w:line="240" w:lineRule="auto"/>
        <w:rPr>
          <w:szCs w:val="24"/>
        </w:rPr>
      </w:pPr>
      <w:r w:rsidRPr="008B57DA">
        <w:rPr>
          <w:szCs w:val="24"/>
          <w:highlight w:val="yellow"/>
        </w:rPr>
        <w:t>Park, S., &amp; Gupta, S. (2012). Handling endogenous regressors by joint estimation using copulas. Marketing Science, 31(4), 567–586. https://doi.org/10.1287/mksc.1120.0718</w:t>
      </w:r>
    </w:p>
    <w:sectPr w:rsidR="008B57DA"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34616"/>
    <w:rsid w:val="0006063C"/>
    <w:rsid w:val="000841FA"/>
    <w:rsid w:val="000B262A"/>
    <w:rsid w:val="000E0E19"/>
    <w:rsid w:val="0015074B"/>
    <w:rsid w:val="001633D4"/>
    <w:rsid w:val="001E2F0E"/>
    <w:rsid w:val="00205C71"/>
    <w:rsid w:val="00236227"/>
    <w:rsid w:val="002838C4"/>
    <w:rsid w:val="0029639D"/>
    <w:rsid w:val="002A7908"/>
    <w:rsid w:val="00326F90"/>
    <w:rsid w:val="003B1B79"/>
    <w:rsid w:val="003D69AB"/>
    <w:rsid w:val="004451D7"/>
    <w:rsid w:val="00462766"/>
    <w:rsid w:val="004B5364"/>
    <w:rsid w:val="004D50F4"/>
    <w:rsid w:val="004E2AAB"/>
    <w:rsid w:val="00573A3A"/>
    <w:rsid w:val="0058052A"/>
    <w:rsid w:val="005F13F0"/>
    <w:rsid w:val="005F2D05"/>
    <w:rsid w:val="006306B7"/>
    <w:rsid w:val="00637AFA"/>
    <w:rsid w:val="006E13B5"/>
    <w:rsid w:val="0076128A"/>
    <w:rsid w:val="00761DDF"/>
    <w:rsid w:val="00842AB8"/>
    <w:rsid w:val="00853369"/>
    <w:rsid w:val="008B57DA"/>
    <w:rsid w:val="00942DF3"/>
    <w:rsid w:val="00990F18"/>
    <w:rsid w:val="009C18EE"/>
    <w:rsid w:val="00A17973"/>
    <w:rsid w:val="00A6652D"/>
    <w:rsid w:val="00A82EEC"/>
    <w:rsid w:val="00AA1D8D"/>
    <w:rsid w:val="00B33318"/>
    <w:rsid w:val="00B36CE8"/>
    <w:rsid w:val="00B40E7A"/>
    <w:rsid w:val="00B42E34"/>
    <w:rsid w:val="00B47730"/>
    <w:rsid w:val="00B94496"/>
    <w:rsid w:val="00BD2F70"/>
    <w:rsid w:val="00BD735A"/>
    <w:rsid w:val="00C01D6A"/>
    <w:rsid w:val="00C25BF1"/>
    <w:rsid w:val="00C528B7"/>
    <w:rsid w:val="00C6401F"/>
    <w:rsid w:val="00C732DC"/>
    <w:rsid w:val="00CB0664"/>
    <w:rsid w:val="00CD0F28"/>
    <w:rsid w:val="00D262DC"/>
    <w:rsid w:val="00D538C7"/>
    <w:rsid w:val="00D741A5"/>
    <w:rsid w:val="00DE24EB"/>
    <w:rsid w:val="00E36B38"/>
    <w:rsid w:val="00E50BF7"/>
    <w:rsid w:val="00EC4470"/>
    <w:rsid w:val="00EF129D"/>
    <w:rsid w:val="00F306A5"/>
    <w:rsid w:val="00F4632E"/>
    <w:rsid w:val="00F7430B"/>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36</Pages>
  <Words>12997</Words>
  <Characters>74088</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35</cp:revision>
  <dcterms:created xsi:type="dcterms:W3CDTF">2026-06-13T17:43:00Z</dcterms:created>
  <dcterms:modified xsi:type="dcterms:W3CDTF">2026-08-16T16:33:00Z</dcterms:modified>
  <cp:category/>
</cp:coreProperties>
</file>