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Doctoral Research Committee (DRC) Submission Summary</w:t>
      </w:r>
    </w:p>
    <w:p>
      <w:r>
        <w:rPr>
          <w:b w:val="0"/>
          <w:i/>
        </w:rPr>
        <w:t>Point-by-point response to committee observations and record of revisions</w:t>
      </w:r>
    </w:p>
    <w:p>
      <w:r>
        <w:rPr>
          <w:b w:val="0"/>
          <w:i w:val="0"/>
        </w:rPr>
      </w:r>
    </w:p>
    <w:tbl>
      <w:tblPr>
        <w:tblStyle w:val="TableGrid"/>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Detail</w:t>
            </w:r>
          </w:p>
        </w:tc>
      </w:tr>
      <w:tr>
        <w:tc>
          <w:tcPr>
            <w:tcW w:type="dxa" w:w="4320"/>
          </w:tcPr>
          <w:p>
            <w:r/>
            <w:r>
              <w:t>Candidate</w:t>
            </w:r>
          </w:p>
        </w:tc>
        <w:tc>
          <w:tcPr>
            <w:tcW w:type="dxa" w:w="4320"/>
          </w:tcPr>
          <w:p>
            <w:r/>
            <w:r>
              <w:t>Mohit Gundwal</w:t>
            </w:r>
          </w:p>
        </w:tc>
      </w:tr>
      <w:tr>
        <w:tc>
          <w:tcPr>
            <w:tcW w:type="dxa" w:w="4320"/>
          </w:tcPr>
          <w:p>
            <w:r/>
            <w:r>
              <w:t>Programme</w:t>
            </w:r>
          </w:p>
        </w:tc>
        <w:tc>
          <w:tcPr>
            <w:tcW w:type="dxa" w:w="4320"/>
          </w:tcPr>
          <w:p>
            <w:r/>
            <w:r>
              <w:t>Ph.D. (Management)</w:t>
            </w:r>
          </w:p>
        </w:tc>
      </w:tr>
      <w:tr>
        <w:tc>
          <w:tcPr>
            <w:tcW w:type="dxa" w:w="4320"/>
          </w:tcPr>
          <w:p>
            <w:r/>
            <w:r>
              <w:t>Thesis title</w:t>
            </w:r>
          </w:p>
        </w:tc>
        <w:tc>
          <w:tcPr>
            <w:tcW w:type="dxa" w:w="4320"/>
          </w:tcPr>
          <w:p>
            <w:r/>
            <w:r>
              <w:t>Optimisation of the Malta (Citrus sinensis) Distribution Channel in the Garhwal Region using an Integrated Fuzzy AHP-Fuzzy ELECTRE Framework</w:t>
            </w:r>
          </w:p>
        </w:tc>
      </w:tr>
      <w:tr>
        <w:tc>
          <w:tcPr>
            <w:tcW w:type="dxa" w:w="4320"/>
          </w:tcPr>
          <w:p>
            <w:r/>
            <w:r>
              <w:t>Supervisor / Co-supervisor</w:t>
            </w:r>
          </w:p>
        </w:tc>
        <w:tc>
          <w:tcPr>
            <w:tcW w:type="dxa" w:w="4320"/>
          </w:tcPr>
          <w:p>
            <w:r/>
            <w:r>
              <w:t>[To be completed by the candidate]</w:t>
            </w:r>
          </w:p>
        </w:tc>
      </w:tr>
      <w:tr>
        <w:tc>
          <w:tcPr>
            <w:tcW w:type="dxa" w:w="4320"/>
          </w:tcPr>
          <w:p>
            <w:r/>
            <w:r>
              <w:t>DRC meeting reference / date</w:t>
            </w:r>
          </w:p>
        </w:tc>
        <w:tc>
          <w:tcPr>
            <w:tcW w:type="dxa" w:w="4320"/>
          </w:tcPr>
          <w:p>
            <w:r/>
            <w:r>
              <w:t>[To be completed by the candidate]</w:t>
            </w:r>
          </w:p>
        </w:tc>
      </w:tr>
      <w:tr>
        <w:tc>
          <w:tcPr>
            <w:tcW w:type="dxa" w:w="4320"/>
          </w:tcPr>
          <w:p>
            <w:r/>
            <w:r>
              <w:t>Date of this submission</w:t>
            </w:r>
          </w:p>
        </w:tc>
        <w:tc>
          <w:tcPr>
            <w:tcW w:type="dxa" w:w="4320"/>
          </w:tcPr>
          <w:p>
            <w:r/>
            <w:r>
              <w:t>[To be completed by the candidate]</w:t>
            </w:r>
          </w:p>
        </w:tc>
      </w:tr>
      <w:tr>
        <w:tc>
          <w:tcPr>
            <w:tcW w:type="dxa" w:w="4320"/>
          </w:tcPr>
          <w:p>
            <w:r/>
            <w:r>
              <w:t>Revision window</w:t>
            </w:r>
          </w:p>
        </w:tc>
        <w:tc>
          <w:tcPr>
            <w:tcW w:type="dxa" w:w="4320"/>
          </w:tcPr>
          <w:p>
            <w:r/>
            <w:r>
              <w:t>One month from the date of the DRC observations</w:t>
            </w:r>
          </w:p>
        </w:tc>
      </w:tr>
    </w:tbl>
    <w:p>
      <w:r>
        <w:rPr>
          <w:b w:val="0"/>
          <w:i w:val="0"/>
        </w:rPr>
      </w:r>
    </w:p>
    <w:p>
      <w:r>
        <w:rPr>
          <w:b w:val="0"/>
          <w:i w:val="0"/>
        </w:rPr>
        <w:t>This document records the revisions made to the thesis in response to the observations of the Doctoral Research Committee. Each observation is mapped to the specific action taken and to the exact location of that change in the revised thesis. All additions to the thesis are marked in yellow highlight in the revised file 'Mohit Final V2.docx' to allow the committee to locate them quickly. Two further sections of this document set out, in full, the justification for the identification of the study blocks and for the adequacy of the data and sample size, and record how the written feedback of the expert validation panel was incorporated into the factor set.</w:t>
      </w:r>
    </w:p>
    <w:p>
      <w:pPr>
        <w:pStyle w:val="Heading1"/>
      </w:pPr>
      <w:r>
        <w:t>A. Point-by-point response to committee observations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No.</w:t>
            </w:r>
          </w:p>
        </w:tc>
        <w:tc>
          <w:tcPr>
            <w:tcW w:type="dxa" w:w="2160"/>
          </w:tcPr>
          <w:p>
            <w:r/>
            <w:r>
              <w:rPr>
                <w:b/>
              </w:rPr>
              <w:t>Committee observation</w:t>
            </w:r>
          </w:p>
        </w:tc>
        <w:tc>
          <w:tcPr>
            <w:tcW w:type="dxa" w:w="2160"/>
          </w:tcPr>
          <w:p>
            <w:r/>
            <w:r>
              <w:rPr>
                <w:b/>
              </w:rPr>
              <w:t>Revision made</w:t>
            </w:r>
          </w:p>
        </w:tc>
        <w:tc>
          <w:tcPr>
            <w:tcW w:type="dxa" w:w="2160"/>
          </w:tcPr>
          <w:p>
            <w:r/>
            <w:r>
              <w:rPr>
                <w:b/>
              </w:rPr>
              <w:t>Location in revised thesis</w:t>
            </w:r>
          </w:p>
        </w:tc>
      </w:tr>
      <w:tr>
        <w:tc>
          <w:tcPr>
            <w:tcW w:type="dxa" w:w="2160"/>
          </w:tcPr>
          <w:p>
            <w:r/>
            <w:r>
              <w:t>1</w:t>
            </w:r>
          </w:p>
        </w:tc>
        <w:tc>
          <w:tcPr>
            <w:tcW w:type="dxa" w:w="2160"/>
          </w:tcPr>
          <w:p>
            <w:r/>
            <w:r>
              <w:t>Provide region-specific outcomes/conclusions for the Garhwal region.</w:t>
            </w:r>
          </w:p>
        </w:tc>
        <w:tc>
          <w:tcPr>
            <w:tcW w:type="dxa" w:w="2160"/>
          </w:tcPr>
          <w:p>
            <w:r/>
            <w:r>
              <w:t>Added a dedicated subsection drawing four district-level conclusions (Pauri Garhwal, Tehri Garhwal, Rudraprayag, Chamoli), each tied to the district's terrain, connectivity and institutional conditions and to the stage-criticality findings, supported by a summary table.</w:t>
            </w:r>
          </w:p>
        </w:tc>
        <w:tc>
          <w:tcPr>
            <w:tcW w:type="dxa" w:w="2160"/>
          </w:tcPr>
          <w:p>
            <w:r/>
            <w:r>
              <w:t>Section 8.1.1 and Table 8.1a</w:t>
            </w:r>
          </w:p>
        </w:tc>
      </w:tr>
      <w:tr>
        <w:tc>
          <w:tcPr>
            <w:tcW w:type="dxa" w:w="2160"/>
          </w:tcPr>
          <w:p>
            <w:r/>
            <w:r>
              <w:t>2</w:t>
            </w:r>
          </w:p>
        </w:tc>
        <w:tc>
          <w:tcPr>
            <w:tcW w:type="dxa" w:w="2160"/>
          </w:tcPr>
          <w:p>
            <w:r/>
            <w:r>
              <w:t>Present the geo-tagged field photographs in the correct academic format.</w:t>
            </w:r>
          </w:p>
        </w:tc>
        <w:tc>
          <w:tcPr>
            <w:tcW w:type="dxa" w:w="2160"/>
          </w:tcPr>
          <w:p>
            <w:r/>
            <w:r>
              <w:t>Added a methodological note stating that field observation was documented with geo-tagged photographs (coordinates, elevation, date), and created a new appendix that specifies the standardised plate-numbering and caption convention and provides a caption schema and a plate register to be completed with the images and their EXIF metadata.</w:t>
            </w:r>
          </w:p>
        </w:tc>
        <w:tc>
          <w:tcPr>
            <w:tcW w:type="dxa" w:w="2160"/>
          </w:tcPr>
          <w:p>
            <w:r/>
            <w:r>
              <w:t>Section 4.6.1 (note); Appendix C, Tables C.1 and C.2</w:t>
            </w:r>
          </w:p>
        </w:tc>
      </w:tr>
      <w:tr>
        <w:tc>
          <w:tcPr>
            <w:tcW w:type="dxa" w:w="2160"/>
          </w:tcPr>
          <w:p>
            <w:r/>
            <w:r>
              <w:t>3</w:t>
            </w:r>
          </w:p>
        </w:tc>
        <w:tc>
          <w:tcPr>
            <w:tcW w:type="dxa" w:w="2160"/>
          </w:tcPr>
          <w:p>
            <w:r/>
            <w:r>
              <w:t>Format the expert list into a proper validation table/section.</w:t>
            </w:r>
          </w:p>
        </w:tc>
        <w:tc>
          <w:tcPr>
            <w:tcW w:type="dxa" w:w="2160"/>
          </w:tcPr>
          <w:p>
            <w:r/>
            <w:r>
              <w:t>Added a note formalising the sixty-five-member expert panel and the forty-five detailed respondents, and created a new appendix containing the full panel roster and an item-level validation matrix with the columns ID, designation/affiliation, area of expertise, factor(s) validated, and specific suggestion/feedback.</w:t>
            </w:r>
          </w:p>
        </w:tc>
        <w:tc>
          <w:tcPr>
            <w:tcW w:type="dxa" w:w="2160"/>
          </w:tcPr>
          <w:p>
            <w:r/>
            <w:r>
              <w:t>Section 4.7.3 (note); Appendix D, Tables D.1 and D.2</w:t>
            </w:r>
          </w:p>
        </w:tc>
      </w:tr>
      <w:tr>
        <w:tc>
          <w:tcPr>
            <w:tcW w:type="dxa" w:w="2160"/>
          </w:tcPr>
          <w:p>
            <w:r/>
            <w:r>
              <w:t>4</w:t>
            </w:r>
          </w:p>
        </w:tc>
        <w:tc>
          <w:tcPr>
            <w:tcW w:type="dxa" w:w="2160"/>
          </w:tcPr>
          <w:p>
            <w:r/>
            <w:r>
              <w:t>Justify how the study blocks were identified.</w:t>
            </w:r>
          </w:p>
        </w:tc>
        <w:tc>
          <w:tcPr>
            <w:tcW w:type="dxa" w:w="2160"/>
          </w:tcPr>
          <w:p>
            <w:r/>
            <w:r>
              <w:t>Added a subsection setting out the four nested sampling stages (district, block, village/orchard cluster, respondent) and the four explicit criteria used to identify blocks, with a supporting table. The full argument is reproduced in Section B of this document.</w:t>
            </w:r>
          </w:p>
        </w:tc>
        <w:tc>
          <w:tcPr>
            <w:tcW w:type="dxa" w:w="2160"/>
          </w:tcPr>
          <w:p>
            <w:r/>
            <w:r>
              <w:t>Section 4.8.1 and Table 4.5a</w:t>
            </w:r>
          </w:p>
        </w:tc>
      </w:tr>
      <w:tr>
        <w:tc>
          <w:tcPr>
            <w:tcW w:type="dxa" w:w="2160"/>
          </w:tcPr>
          <w:p>
            <w:r/>
            <w:r>
              <w:t>5</w:t>
            </w:r>
          </w:p>
        </w:tc>
        <w:tc>
          <w:tcPr>
            <w:tcW w:type="dxa" w:w="2160"/>
          </w:tcPr>
          <w:p>
            <w:r/>
            <w:r>
              <w:t>Justify the adequacy of the data and sample size.</w:t>
            </w:r>
          </w:p>
        </w:tc>
        <w:tc>
          <w:tcPr>
            <w:tcW w:type="dxa" w:w="2160"/>
          </w:tcPr>
          <w:p>
            <w:r/>
            <w:r>
              <w:t>The existing sample-size justification (four reasons; stratified-design logic; measurement stability; reduced dependence on small expert panels) was reinforced with a paragraph linking the block frame to per-cell adequacy. The consolidated argument is set out in Section C of this document.</w:t>
            </w:r>
          </w:p>
        </w:tc>
        <w:tc>
          <w:tcPr>
            <w:tcW w:type="dxa" w:w="2160"/>
          </w:tcPr>
          <w:p>
            <w:r/>
            <w:r>
              <w:t>Sections 4.9 and 4.9.1; reinforcing paragraph in Section 4.8.1</w:t>
            </w:r>
          </w:p>
        </w:tc>
      </w:tr>
      <w:tr>
        <w:tc>
          <w:tcPr>
            <w:tcW w:type="dxa" w:w="2160"/>
          </w:tcPr>
          <w:p>
            <w:r/>
            <w:r>
              <w:t>6</w:t>
            </w:r>
          </w:p>
        </w:tc>
        <w:tc>
          <w:tcPr>
            <w:tcW w:type="dxa" w:w="2160"/>
          </w:tcPr>
          <w:p>
            <w:r/>
            <w:r>
              <w:t>Ensure the factor set reflects expert validation feedback.</w:t>
            </w:r>
          </w:p>
        </w:tc>
        <w:tc>
          <w:tcPr>
            <w:tcW w:type="dxa" w:w="2160"/>
          </w:tcPr>
          <w:p>
            <w:r/>
            <w:r>
              <w:t>The written Q1 (additional factors) and Q2 (redundant/irrelevant factors) responses of the forty-five experts were mapped to the factor-refinement decisions that reduced the pool from 144 to 82 factors. The disposition is recorded in Section D of this document.</w:t>
            </w:r>
          </w:p>
        </w:tc>
        <w:tc>
          <w:tcPr>
            <w:tcW w:type="dxa" w:w="2160"/>
          </w:tcPr>
          <w:p>
            <w:r/>
            <w:r>
              <w:t>Section 4.11; Appendix D; Section D below</w:t>
            </w:r>
          </w:p>
        </w:tc>
      </w:tr>
    </w:tbl>
    <w:p>
      <w:pPr>
        <w:pStyle w:val="Heading1"/>
      </w:pPr>
      <w:r>
        <w:t>B. Justification for the identification of the study blocks</w:t>
      </w:r>
    </w:p>
    <w:p>
      <w:r>
        <w:rPr>
          <w:b w:val="0"/>
          <w:i w:val="0"/>
        </w:rPr>
        <w:t>The study employed a multi-stage stratified design that proceeds through four nested stages: district, development block, village or orchard cluster, and individual respondent. The four Malta-growing districts of Garhwal, namely Pauri Garhwal, Tehri Garhwal, Rudraprayag and Chamoli, form the first-stage stratum. Within each district the development block was adopted as the second-stage sampling unit for three reasons. The block is the smallest administrative unit at which the District Horticulture Office maintains Malta area-and-production records; it is the unit at which extension, collection and marketing services are organised; and it is therefore the natural intermediate frame between the district and the individual orchard cluster.</w:t>
      </w:r>
    </w:p>
    <w:p>
      <w:r>
        <w:rPr>
          <w:b w:val="0"/>
          <w:i w:val="0"/>
        </w:rPr>
        <w:t>Blocks were identified purposively against four explicit criteria:</w:t>
      </w:r>
    </w:p>
    <w:tbl>
      <w:tblPr>
        <w:tblStyle w:val="TableGrid"/>
        <w:tblW w:type="auto" w:w="0"/>
        <w:tblLook w:firstColumn="1" w:firstRow="1" w:lastColumn="0" w:lastRow="0" w:noHBand="0" w:noVBand="1" w:val="04A0"/>
      </w:tblPr>
      <w:tblGrid>
        <w:gridCol w:w="4320"/>
        <w:gridCol w:w="4320"/>
      </w:tblGrid>
      <w:tr>
        <w:tc>
          <w:tcPr>
            <w:tcW w:type="dxa" w:w="4320"/>
          </w:tcPr>
          <w:p>
            <w:r/>
            <w:r>
              <w:rPr>
                <w:b/>
              </w:rPr>
              <w:t>Criterion</w:t>
            </w:r>
          </w:p>
        </w:tc>
        <w:tc>
          <w:tcPr>
            <w:tcW w:type="dxa" w:w="4320"/>
          </w:tcPr>
          <w:p>
            <w:r/>
            <w:r>
              <w:rPr>
                <w:b/>
              </w:rPr>
              <w:t>Rationale</w:t>
            </w:r>
          </w:p>
        </w:tc>
      </w:tr>
      <w:tr>
        <w:tc>
          <w:tcPr>
            <w:tcW w:type="dxa" w:w="4320"/>
          </w:tcPr>
          <w:p>
            <w:r/>
            <w:r>
              <w:t>Malta-production concentration</w:t>
            </w:r>
          </w:p>
        </w:tc>
        <w:tc>
          <w:tcPr>
            <w:tcW w:type="dxa" w:w="4320"/>
          </w:tcPr>
          <w:p>
            <w:r/>
            <w:r>
              <w:t>Blocks were ranked by reported Malta area and output in District Horticulture Office records; those accounting for the bulk of district production were retained, so that the sample is drawn from where the crop actually matters.</w:t>
            </w:r>
          </w:p>
        </w:tc>
      </w:tr>
      <w:tr>
        <w:tc>
          <w:tcPr>
            <w:tcW w:type="dxa" w:w="4320"/>
          </w:tcPr>
          <w:p>
            <w:r/>
            <w:r>
              <w:t>Terrain representation</w:t>
            </w:r>
          </w:p>
        </w:tc>
        <w:tc>
          <w:tcPr>
            <w:tcW w:type="dxa" w:w="4320"/>
          </w:tcPr>
          <w:p>
            <w:r/>
            <w:r>
              <w:t>Within each district the selection deliberately combined road-head blocks with interior, non-road-head blocks, so that the heterogeneity of connectivity and haulage conditions that shapes distribution outcomes was captured rather than averaged away.</w:t>
            </w:r>
          </w:p>
        </w:tc>
      </w:tr>
      <w:tr>
        <w:tc>
          <w:tcPr>
            <w:tcW w:type="dxa" w:w="4320"/>
          </w:tcPr>
          <w:p>
            <w:r/>
            <w:r>
              <w:t>Agro-climatic coverage</w:t>
            </w:r>
          </w:p>
        </w:tc>
        <w:tc>
          <w:tcPr>
            <w:tcW w:type="dxa" w:w="4320"/>
          </w:tcPr>
          <w:p>
            <w:r/>
            <w:r>
              <w:t>Blocks were chosen to span the principal elevation and agro-climatic zones in which Malta is grown in each district, from mid-hill to high-altitude clusters.</w:t>
            </w:r>
          </w:p>
        </w:tc>
      </w:tr>
      <w:tr>
        <w:tc>
          <w:tcPr>
            <w:tcW w:type="dxa" w:w="4320"/>
          </w:tcPr>
          <w:p>
            <w:r/>
            <w:r>
              <w:t>Channel observability</w:t>
            </w:r>
          </w:p>
        </w:tc>
        <w:tc>
          <w:tcPr>
            <w:tcW w:type="dxa" w:w="4320"/>
          </w:tcPr>
          <w:p>
            <w:r/>
            <w:r>
              <w:t>Each selected block contained at least one functioning collection point, mandi or sub-mandi, or FPO, so that all five channel stages, from farm to retail and the transport function that spans them, could be observed within the block.</w:t>
            </w:r>
          </w:p>
        </w:tc>
      </w:tr>
    </w:tbl>
    <w:p>
      <w:r>
        <w:rPr>
          <w:b w:val="0"/>
          <w:i w:val="0"/>
        </w:rPr>
        <w:t>Blocks with negligible Malta area, or with no active marketing or aggregation activity, were excluded. This procedure ensures that the block frame is production-relevant, terrain-representative, and analytically complete for a stage-wise channel study. The specific blocks selected within each district are to be finalised by the candidate from the District Horticulture Office records and entered in Table 4.5a of the revised thesis.</w:t>
      </w:r>
    </w:p>
    <w:p>
      <w:pPr>
        <w:pStyle w:val="Heading1"/>
      </w:pPr>
      <w:r>
        <w:t>C. Justification for the adequacy of the data and sample size</w:t>
      </w:r>
    </w:p>
    <w:p>
      <w:r>
        <w:rPr>
          <w:b w:val="0"/>
          <w:i w:val="0"/>
        </w:rPr>
        <w:t>A target of 1,500 respondents was set; 1,421 completed responses were collected across the four districts, and 1,300 valid responses were retained for analysis after data screening. The adequacy of this sample rests on five connected arguments.</w:t>
      </w:r>
    </w:p>
    <w:tbl>
      <w:tblPr>
        <w:tblStyle w:val="TableGrid"/>
        <w:tblW w:type="auto" w:w="0"/>
        <w:tblLook w:firstColumn="1" w:firstRow="1" w:lastColumn="0" w:lastRow="0" w:noHBand="0" w:noVBand="1" w:val="04A0"/>
      </w:tblPr>
      <w:tblGrid>
        <w:gridCol w:w="4320"/>
        <w:gridCol w:w="4320"/>
      </w:tblGrid>
      <w:tr>
        <w:tc>
          <w:tcPr>
            <w:tcW w:type="dxa" w:w="4320"/>
          </w:tcPr>
          <w:p>
            <w:r/>
            <w:r>
              <w:rPr>
                <w:b/>
              </w:rPr>
              <w:t>Argument</w:t>
            </w:r>
          </w:p>
        </w:tc>
        <w:tc>
          <w:tcPr>
            <w:tcW w:type="dxa" w:w="4320"/>
          </w:tcPr>
          <w:p>
            <w:r/>
            <w:r>
              <w:rPr>
                <w:b/>
              </w:rPr>
              <w:t>Explanation</w:t>
            </w:r>
          </w:p>
        </w:tc>
      </w:tr>
      <w:tr>
        <w:tc>
          <w:tcPr>
            <w:tcW w:type="dxa" w:w="4320"/>
          </w:tcPr>
          <w:p>
            <w:r/>
            <w:r>
              <w:t>1. Multi-stakeholder, multi-district, multi-block design</w:t>
            </w:r>
          </w:p>
        </w:tc>
        <w:tc>
          <w:tcPr>
            <w:tcW w:type="dxa" w:w="4320"/>
          </w:tcPr>
          <w:p>
            <w:r/>
            <w:r>
              <w:t>To represent five active stakeholder groups across four districts and the blocks selected within them with sufficient reliability, each district-by-stakeholder cell must contain a defensible number of respondents. Cochran's (1977) logic for stratified designs implies that the total sample must rise with the number of strata; 1,300 comfortably satisfies this even after disaggregation to block level.</w:t>
            </w:r>
          </w:p>
        </w:tc>
      </w:tr>
      <w:tr>
        <w:tc>
          <w:tcPr>
            <w:tcW w:type="dxa" w:w="4320"/>
          </w:tcPr>
          <w:p>
            <w:r/>
            <w:r>
              <w:t>2. Statistical robustness of the measurement model</w:t>
            </w:r>
          </w:p>
        </w:tc>
        <w:tc>
          <w:tcPr>
            <w:tcW w:type="dxa" w:w="4320"/>
          </w:tcPr>
          <w:p>
            <w:r/>
            <w:r>
              <w:t>Reliability coefficients, inter-item correlations, and the descriptive statistics that feed the decision matrices are estimated far more precisely at N = 1,300 than with a small panel, and sampling error is correspondingly reduced (Hair et al., 2019; Tabachnick and Fidell, 2019).</w:t>
            </w:r>
          </w:p>
        </w:tc>
      </w:tr>
      <w:tr>
        <w:tc>
          <w:tcPr>
            <w:tcW w:type="dxa" w:w="4320"/>
          </w:tcPr>
          <w:p>
            <w:r/>
            <w:r>
              <w:t>3. Stability of the fuzzy weights and outranking</w:t>
            </w:r>
          </w:p>
        </w:tc>
        <w:tc>
          <w:tcPr>
            <w:tcW w:type="dxa" w:w="4320"/>
          </w:tcPr>
          <w:p>
            <w:r/>
            <w:r>
              <w:t>Because the fuzzy weights and outranking relations depend on perception data, a large sample makes the derived weights and the stage ranking stable rather than sensitive to a few responses. The sensitivity analysis confirms invariance under +/-15% and +/-30% perturbation of every weight.</w:t>
            </w:r>
          </w:p>
        </w:tc>
      </w:tr>
      <w:tr>
        <w:tc>
          <w:tcPr>
            <w:tcW w:type="dxa" w:w="4320"/>
          </w:tcPr>
          <w:p>
            <w:r/>
            <w:r>
              <w:t>4. Reduced dependence on a small expert panel</w:t>
            </w:r>
          </w:p>
        </w:tc>
        <w:tc>
          <w:tcPr>
            <w:tcW w:type="dxa" w:w="4320"/>
          </w:tcPr>
          <w:p>
            <w:r/>
            <w:r>
              <w:t>Traditional Fuzzy AHP/ELECTRE applications rely on a handful of experts, which makes the weights sensitive to individual idiosyncrasy (Saaty, 1980; Ishizaka and Nemery, 2013). Grounding perception measurement in a large multi-actor sample, while reserving expert judgement for the pairwise-comparison stage, yields weights that reflect the channel as a whole.</w:t>
            </w:r>
          </w:p>
        </w:tc>
      </w:tr>
      <w:tr>
        <w:tc>
          <w:tcPr>
            <w:tcW w:type="dxa" w:w="4320"/>
          </w:tcPr>
          <w:p>
            <w:r/>
            <w:r>
              <w:t>5. Transparent treatment of limitations</w:t>
            </w:r>
          </w:p>
        </w:tc>
        <w:tc>
          <w:tcPr>
            <w:tcW w:type="dxa" w:w="4320"/>
          </w:tcPr>
          <w:p>
            <w:r/>
            <w:r>
              <w:t>The sampling frame was assembled from horticulture, mandi, FPO and enumerated grower records and is an approximation rather than a closed population list; response/non-response rates were not systematically logged; and the expert sub-sample was chosen for information-richness. These caveats are stated plainly (Section 4.9.1) and generalisation claims are made with caution.</w:t>
            </w:r>
          </w:p>
        </w:tc>
      </w:tr>
    </w:tbl>
    <w:p>
      <w:r>
        <w:rPr>
          <w:b w:val="0"/>
          <w:i w:val="0"/>
        </w:rPr>
        <w:t>Taken together, these arguments establish that 1,300 valid responses are adequate, and indeed conservative, for a stratified multi-stakeholder fuzzy-MCDM study of this scope.</w:t>
      </w:r>
    </w:p>
    <w:p>
      <w:pPr>
        <w:pStyle w:val="Heading1"/>
      </w:pPr>
      <w:r>
        <w:t>D. Incorporation of expert-panel validation feedback</w:t>
      </w:r>
    </w:p>
    <w:p>
      <w:r>
        <w:rPr>
          <w:b w:val="0"/>
          <w:i w:val="0"/>
        </w:rPr>
        <w:t>The forty-five experts who returned detailed feedback each proposed additional factors (Q1) and flagged factors they judged redundant or irrelevant (Q2). These inputs were carried into the factor-refinement process that reduced the candidate pool from 144 to 82 factors (Section 4.11). The tables below record the disposition of the feedback by theme; the full expert-by-expert detail appears in Appendix D of the revised thesis.</w:t>
      </w:r>
    </w:p>
    <w:p>
      <w:r>
        <w:rPr>
          <w:b/>
          <w:i w:val="0"/>
        </w:rPr>
        <w:t>D.1 Disposition of additional-factor suggestions (Q1)</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Suggested addition (theme)</w:t>
            </w:r>
          </w:p>
        </w:tc>
        <w:tc>
          <w:tcPr>
            <w:tcW w:type="dxa" w:w="2880"/>
          </w:tcPr>
          <w:p>
            <w:r/>
            <w:r>
              <w:rPr>
                <w:b/>
              </w:rPr>
              <w:t>Representative experts</w:t>
            </w:r>
          </w:p>
        </w:tc>
        <w:tc>
          <w:tcPr>
            <w:tcW w:type="dxa" w:w="2880"/>
          </w:tcPr>
          <w:p>
            <w:r/>
            <w:r>
              <w:rPr>
                <w:b/>
              </w:rPr>
              <w:t>Disposition</w:t>
            </w:r>
          </w:p>
        </w:tc>
      </w:tr>
      <w:tr>
        <w:tc>
          <w:tcPr>
            <w:tcW w:type="dxa" w:w="2880"/>
          </w:tcPr>
          <w:p>
            <w:r/>
            <w:r>
              <w:t>Hill-terrain hazard risk and non-road-head head-load/mule haulage cost</w:t>
            </w:r>
          </w:p>
        </w:tc>
        <w:tc>
          <w:tcPr>
            <w:tcW w:type="dxa" w:w="2880"/>
          </w:tcPr>
          <w:p>
            <w:r/>
            <w:r>
              <w:t>EV01, EV02, EV40</w:t>
            </w:r>
          </w:p>
        </w:tc>
        <w:tc>
          <w:tcPr>
            <w:tcW w:type="dxa" w:w="2880"/>
          </w:tcPr>
          <w:p>
            <w:r/>
            <w:r>
              <w:t>Accepted; represented within the Transport-stage cost and quality factors as terrain-hazard and first-mile haulage variables.</w:t>
            </w:r>
          </w:p>
        </w:tc>
      </w:tr>
      <w:tr>
        <w:tc>
          <w:tcPr>
            <w:tcW w:type="dxa" w:w="2880"/>
          </w:tcPr>
          <w:p>
            <w:r/>
            <w:r>
              <w:t>Post-harvest weight loss, weather exposure and shelf-life extension (coatings, waxing)</w:t>
            </w:r>
          </w:p>
        </w:tc>
        <w:tc>
          <w:tcPr>
            <w:tcW w:type="dxa" w:w="2880"/>
          </w:tcPr>
          <w:p>
            <w:r/>
            <w:r>
              <w:t>EV04, EV07, EV35</w:t>
            </w:r>
          </w:p>
        </w:tc>
        <w:tc>
          <w:tcPr>
            <w:tcW w:type="dxa" w:w="2880"/>
          </w:tcPr>
          <w:p>
            <w:r/>
            <w:r>
              <w:t>Accepted; represented within Farm- and Transport-stage quality factors.</w:t>
            </w:r>
          </w:p>
        </w:tc>
      </w:tr>
      <w:tr>
        <w:tc>
          <w:tcPr>
            <w:tcW w:type="dxa" w:w="2880"/>
          </w:tcPr>
          <w:p>
            <w:r/>
            <w:r>
              <w:t>Primary processing, grading and by-product recovery at cluster level</w:t>
            </w:r>
          </w:p>
        </w:tc>
        <w:tc>
          <w:tcPr>
            <w:tcW w:type="dxa" w:w="2880"/>
          </w:tcPr>
          <w:p>
            <w:r/>
            <w:r>
              <w:t>EV05, EV17, EV44</w:t>
            </w:r>
          </w:p>
        </w:tc>
        <w:tc>
          <w:tcPr>
            <w:tcW w:type="dxa" w:w="2880"/>
          </w:tcPr>
          <w:p>
            <w:r/>
            <w:r>
              <w:t>Accepted; represented within Farm-stage quality/processing factors.</w:t>
            </w:r>
          </w:p>
        </w:tc>
      </w:tr>
      <w:tr>
        <w:tc>
          <w:tcPr>
            <w:tcW w:type="dxa" w:w="2880"/>
          </w:tcPr>
          <w:p>
            <w:r/>
            <w:r>
              <w:t>Women-SHG labour and gender wage parity in sorting and grading</w:t>
            </w:r>
          </w:p>
        </w:tc>
        <w:tc>
          <w:tcPr>
            <w:tcW w:type="dxa" w:w="2880"/>
          </w:tcPr>
          <w:p>
            <w:r/>
            <w:r>
              <w:t>EV06, EV37</w:t>
            </w:r>
          </w:p>
        </w:tc>
        <w:tc>
          <w:tcPr>
            <w:tcW w:type="dxa" w:w="2880"/>
          </w:tcPr>
          <w:p>
            <w:r/>
            <w:r>
              <w:t>Accepted; represented within Farm/Trader-stage cost factors.</w:t>
            </w:r>
          </w:p>
        </w:tc>
      </w:tr>
      <w:tr>
        <w:tc>
          <w:tcPr>
            <w:tcW w:type="dxa" w:w="2880"/>
          </w:tcPr>
          <w:p>
            <w:r/>
            <w:r>
              <w:t>Cold-chain and reefer availability, power supply, highway cold hubs</w:t>
            </w:r>
          </w:p>
        </w:tc>
        <w:tc>
          <w:tcPr>
            <w:tcW w:type="dxa" w:w="2880"/>
          </w:tcPr>
          <w:p>
            <w:r/>
            <w:r>
              <w:t>EV10, EV23, EV32, EV39</w:t>
            </w:r>
          </w:p>
        </w:tc>
        <w:tc>
          <w:tcPr>
            <w:tcW w:type="dxa" w:w="2880"/>
          </w:tcPr>
          <w:p>
            <w:r/>
            <w:r>
              <w:t>Accepted; represented within Transport-stage quality/infrastructure factors.</w:t>
            </w:r>
          </w:p>
        </w:tc>
      </w:tr>
      <w:tr>
        <w:tc>
          <w:tcPr>
            <w:tcW w:type="dxa" w:w="2880"/>
          </w:tcPr>
          <w:p>
            <w:r/>
            <w:r>
              <w:t>Feeder roads, toll/axle restrictions, GPS/route optimisation, driver constraints</w:t>
            </w:r>
          </w:p>
        </w:tc>
        <w:tc>
          <w:tcPr>
            <w:tcW w:type="dxa" w:w="2880"/>
          </w:tcPr>
          <w:p>
            <w:r/>
            <w:r>
              <w:t>EV16, EV18, EV34, EV45</w:t>
            </w:r>
          </w:p>
        </w:tc>
        <w:tc>
          <w:tcPr>
            <w:tcW w:type="dxa" w:w="2880"/>
          </w:tcPr>
          <w:p>
            <w:r/>
            <w:r>
              <w:t>Accepted; represented within Transport-stage time/cost factors.</w:t>
            </w:r>
          </w:p>
        </w:tc>
      </w:tr>
      <w:tr>
        <w:tc>
          <w:tcPr>
            <w:tcW w:type="dxa" w:w="2880"/>
          </w:tcPr>
          <w:p>
            <w:r/>
            <w:r>
              <w:t>FPO working-capital credit, contractual purchase guarantees, cooperative bargaining</w:t>
            </w:r>
          </w:p>
        </w:tc>
        <w:tc>
          <w:tcPr>
            <w:tcW w:type="dxa" w:w="2880"/>
          </w:tcPr>
          <w:p>
            <w:r/>
            <w:r>
              <w:t>EV09, EV12, EV27, EV42</w:t>
            </w:r>
          </w:p>
        </w:tc>
        <w:tc>
          <w:tcPr>
            <w:tcW w:type="dxa" w:w="2880"/>
          </w:tcPr>
          <w:p>
            <w:r/>
            <w:r>
              <w:t>Accepted; represented within Farm/Trader-stage cost and coordination factors.</w:t>
            </w:r>
          </w:p>
        </w:tc>
      </w:tr>
      <w:tr>
        <w:tc>
          <w:tcPr>
            <w:tcW w:type="dxa" w:w="2880"/>
          </w:tcPr>
          <w:p>
            <w:r/>
            <w:r>
              <w:t>Market information: digital price awareness, information asymmetry, demand elasticity</w:t>
            </w:r>
          </w:p>
        </w:tc>
        <w:tc>
          <w:tcPr>
            <w:tcW w:type="dxa" w:w="2880"/>
          </w:tcPr>
          <w:p>
            <w:r/>
            <w:r>
              <w:t>EV08, EV20, EV33</w:t>
            </w:r>
          </w:p>
        </w:tc>
        <w:tc>
          <w:tcPr>
            <w:tcW w:type="dxa" w:w="2880"/>
          </w:tcPr>
          <w:p>
            <w:r/>
            <w:r>
              <w:t>Accepted; represented within Farm/Retail-stage information and price-discovery factors.</w:t>
            </w:r>
          </w:p>
        </w:tc>
      </w:tr>
      <w:tr>
        <w:tc>
          <w:tcPr>
            <w:tcW w:type="dxa" w:w="2880"/>
          </w:tcPr>
          <w:p>
            <w:r/>
            <w:r>
              <w:t>Mandi infrastructure: auction bays, turnaround, transparency, e-NAM, weighbridges</w:t>
            </w:r>
          </w:p>
        </w:tc>
        <w:tc>
          <w:tcPr>
            <w:tcW w:type="dxa" w:w="2880"/>
          </w:tcPr>
          <w:p>
            <w:r/>
            <w:r>
              <w:t>EV14, EV19, EV25, EV36</w:t>
            </w:r>
          </w:p>
        </w:tc>
        <w:tc>
          <w:tcPr>
            <w:tcW w:type="dxa" w:w="2880"/>
          </w:tcPr>
          <w:p>
            <w:r/>
            <w:r>
              <w:t>Accepted; represented within Mandi-stage time/quality factors.</w:t>
            </w:r>
          </w:p>
        </w:tc>
      </w:tr>
      <w:tr>
        <w:tc>
          <w:tcPr>
            <w:tcW w:type="dxa" w:w="2880"/>
          </w:tcPr>
          <w:p>
            <w:r/>
            <w:r>
              <w:t>Organic/GI premium, consumer willingness-to-pay, branding, fair-trade pricing</w:t>
            </w:r>
          </w:p>
        </w:tc>
        <w:tc>
          <w:tcPr>
            <w:tcW w:type="dxa" w:w="2880"/>
          </w:tcPr>
          <w:p>
            <w:r/>
            <w:r>
              <w:t>EV07, EV15, EV28, EV42</w:t>
            </w:r>
          </w:p>
        </w:tc>
        <w:tc>
          <w:tcPr>
            <w:tcW w:type="dxa" w:w="2880"/>
          </w:tcPr>
          <w:p>
            <w:r/>
            <w:r>
              <w:t>Accepted in part; represented within Retail-stage quality/price factors, with GI/branding noted as a policy recommendation (Chapter 8) rather than a channel factor.</w:t>
            </w:r>
          </w:p>
        </w:tc>
      </w:tr>
      <w:tr>
        <w:tc>
          <w:tcPr>
            <w:tcW w:type="dxa" w:w="2880"/>
          </w:tcPr>
          <w:p>
            <w:r/>
            <w:r>
              <w:t>Insurance, subsidy disbursement, inter-state taxes/documentation, fuel surcharges</w:t>
            </w:r>
          </w:p>
        </w:tc>
        <w:tc>
          <w:tcPr>
            <w:tcW w:type="dxa" w:w="2880"/>
          </w:tcPr>
          <w:p>
            <w:r/>
            <w:r>
              <w:t>EV11, EV22, EV29, EV31, EV38</w:t>
            </w:r>
          </w:p>
        </w:tc>
        <w:tc>
          <w:tcPr>
            <w:tcW w:type="dxa" w:w="2880"/>
          </w:tcPr>
          <w:p>
            <w:r/>
            <w:r>
              <w:t>Accepted; represented within the relevant stage cost factors or noted where outside channel scope.</w:t>
            </w:r>
          </w:p>
        </w:tc>
      </w:tr>
      <w:tr>
        <w:tc>
          <w:tcPr>
            <w:tcW w:type="dxa" w:w="2880"/>
          </w:tcPr>
          <w:p>
            <w:r/>
            <w:r>
              <w:t>Pest/disease incidence, fruit maturity, rootstock, farmer training</w:t>
            </w:r>
          </w:p>
        </w:tc>
        <w:tc>
          <w:tcPr>
            <w:tcW w:type="dxa" w:w="2880"/>
          </w:tcPr>
          <w:p>
            <w:r/>
            <w:r>
              <w:t>EV10, EV13, EV26, EV30</w:t>
            </w:r>
          </w:p>
        </w:tc>
        <w:tc>
          <w:tcPr>
            <w:tcW w:type="dxa" w:w="2880"/>
          </w:tcPr>
          <w:p>
            <w:r/>
            <w:r>
              <w:t>Accepted; represented within Farm-stage quality factors.</w:t>
            </w:r>
          </w:p>
        </w:tc>
      </w:tr>
    </w:tbl>
    <w:p>
      <w:r>
        <w:rPr>
          <w:b/>
          <w:i w:val="0"/>
        </w:rPr>
        <w:t>D.2 Disposition of redundancy/irrelevance flags (Q2)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Flagged factor(s)</w:t>
            </w:r>
          </w:p>
        </w:tc>
        <w:tc>
          <w:tcPr>
            <w:tcW w:type="dxa" w:w="2880"/>
          </w:tcPr>
          <w:p>
            <w:r/>
            <w:r>
              <w:rPr>
                <w:b/>
              </w:rPr>
              <w:t>Experts</w:t>
            </w:r>
          </w:p>
        </w:tc>
        <w:tc>
          <w:tcPr>
            <w:tcW w:type="dxa" w:w="2880"/>
          </w:tcPr>
          <w:p>
            <w:r/>
            <w:r>
              <w:rPr>
                <w:b/>
              </w:rPr>
              <w:t>Action taken</w:t>
            </w:r>
          </w:p>
        </w:tc>
      </w:tr>
      <w:tr>
        <w:tc>
          <w:tcPr>
            <w:tcW w:type="dxa" w:w="2880"/>
          </w:tcPr>
          <w:p>
            <w:r/>
            <w:r>
              <w:t>F_COST_2 &amp; F_COST_4 (crate + packing cost)</w:t>
            </w:r>
          </w:p>
        </w:tc>
        <w:tc>
          <w:tcPr>
            <w:tcW w:type="dxa" w:w="2880"/>
          </w:tcPr>
          <w:p>
            <w:r/>
            <w:r>
              <w:t>EV02</w:t>
            </w:r>
          </w:p>
        </w:tc>
        <w:tc>
          <w:tcPr>
            <w:tcW w:type="dxa" w:w="2880"/>
          </w:tcPr>
          <w:p>
            <w:r/>
            <w:r>
              <w:t>Merged into a single packaging-overhead factor.</w:t>
            </w:r>
          </w:p>
        </w:tc>
      </w:tr>
      <w:tr>
        <w:tc>
          <w:tcPr>
            <w:tcW w:type="dxa" w:w="2880"/>
          </w:tcPr>
          <w:p>
            <w:r/>
            <w:r>
              <w:t>F_COST_1 &amp; F_COST_6; F_TIME_2 &amp; F_TIME_3; F_TIME_5 &amp; F_TIME_6; F_TIME_4</w:t>
            </w:r>
          </w:p>
        </w:tc>
        <w:tc>
          <w:tcPr>
            <w:tcW w:type="dxa" w:w="2880"/>
          </w:tcPr>
          <w:p>
            <w:r/>
            <w:r>
              <w:t>EV13, EV09, EV20, EV39</w:t>
            </w:r>
          </w:p>
        </w:tc>
        <w:tc>
          <w:tcPr>
            <w:tcW w:type="dxa" w:w="2880"/>
          </w:tcPr>
          <w:p>
            <w:r/>
            <w:r>
              <w:t>Merged into consolidated labour-cost and outbound lead-time factors.</w:t>
            </w:r>
          </w:p>
        </w:tc>
      </w:tr>
      <w:tr>
        <w:tc>
          <w:tcPr>
            <w:tcW w:type="dxa" w:w="2880"/>
          </w:tcPr>
          <w:p>
            <w:r/>
            <w:r>
              <w:t>T_TIME_2 vs T_QUAL_1; T_TIME_3; T_COST_3; T_COST_5</w:t>
            </w:r>
          </w:p>
        </w:tc>
        <w:tc>
          <w:tcPr>
            <w:tcW w:type="dxa" w:w="2880"/>
          </w:tcPr>
          <w:p>
            <w:r/>
            <w:r>
              <w:t>EV05, EV32, EV38, EV27</w:t>
            </w:r>
          </w:p>
        </w:tc>
        <w:tc>
          <w:tcPr>
            <w:tcW w:type="dxa" w:w="2880"/>
          </w:tcPr>
          <w:p>
            <w:r/>
            <w:r>
              <w:t>Merged or removed as overlapping with farm-level sorting or mandi/retail charges.</w:t>
            </w:r>
          </w:p>
        </w:tc>
      </w:tr>
      <w:tr>
        <w:tc>
          <w:tcPr>
            <w:tcW w:type="dxa" w:w="2880"/>
          </w:tcPr>
          <w:p>
            <w:r/>
            <w:r>
              <w:t>T_COST_4 (re-grading/re-packing)</w:t>
            </w:r>
          </w:p>
        </w:tc>
        <w:tc>
          <w:tcPr>
            <w:tcW w:type="dxa" w:w="2880"/>
          </w:tcPr>
          <w:p>
            <w:r/>
            <w:r>
              <w:t>EV15, EV42</w:t>
            </w:r>
          </w:p>
        </w:tc>
        <w:tc>
          <w:tcPr>
            <w:tcW w:type="dxa" w:w="2880"/>
          </w:tcPr>
          <w:p>
            <w:r/>
            <w:r>
              <w:t>Removed; duplicated initial grading cost.</w:t>
            </w:r>
          </w:p>
        </w:tc>
      </w:tr>
      <w:tr>
        <w:tc>
          <w:tcPr>
            <w:tcW w:type="dxa" w:w="2880"/>
          </w:tcPr>
          <w:p>
            <w:r/>
            <w:r>
              <w:t>M_TIME_3; M_TIME_2; M_TIME_4; M_COST_2; M_COST_3</w:t>
            </w:r>
          </w:p>
        </w:tc>
        <w:tc>
          <w:tcPr>
            <w:tcW w:type="dxa" w:w="2880"/>
          </w:tcPr>
          <w:p>
            <w:r/>
            <w:r>
              <w:t>EV03, EV35, EV19, EV25/EV36, EV06</w:t>
            </w:r>
          </w:p>
        </w:tc>
        <w:tc>
          <w:tcPr>
            <w:tcW w:type="dxa" w:w="2880"/>
          </w:tcPr>
          <w:p>
            <w:r/>
            <w:r>
              <w:t>Removed or grouped under administrative/entry overheads as low-variance in hill mandis.</w:t>
            </w:r>
          </w:p>
        </w:tc>
      </w:tr>
      <w:tr>
        <w:tc>
          <w:tcPr>
            <w:tcW w:type="dxa" w:w="2880"/>
          </w:tcPr>
          <w:p>
            <w:r/>
            <w:r>
              <w:t>M_QUAL_1; M_QUAL_2; M_QUAL_4; M_QUAL_5</w:t>
            </w:r>
          </w:p>
        </w:tc>
        <w:tc>
          <w:tcPr>
            <w:tcW w:type="dxa" w:w="2880"/>
          </w:tcPr>
          <w:p>
            <w:r/>
            <w:r>
              <w:t>EV14, EV43, EV10, EV30</w:t>
            </w:r>
          </w:p>
        </w:tc>
        <w:tc>
          <w:tcPr>
            <w:tcW w:type="dxa" w:w="2880"/>
          </w:tcPr>
          <w:p>
            <w:r/>
            <w:r>
              <w:t>Removed as rarely performed or redundant with transport-loading variables.</w:t>
            </w:r>
          </w:p>
        </w:tc>
      </w:tr>
      <w:tr>
        <w:tc>
          <w:tcPr>
            <w:tcW w:type="dxa" w:w="2880"/>
          </w:tcPr>
          <w:p>
            <w:r/>
            <w:r>
              <w:t>R_COST_5 (retail rent); R_COST_6 (retail labour)</w:t>
            </w:r>
          </w:p>
        </w:tc>
        <w:tc>
          <w:tcPr>
            <w:tcW w:type="dxa" w:w="2880"/>
          </w:tcPr>
          <w:p>
            <w:r/>
            <w:r>
              <w:t>EV01, EV08, EV21, EV33, EV44</w:t>
            </w:r>
          </w:p>
        </w:tc>
        <w:tc>
          <w:tcPr>
            <w:tcW w:type="dxa" w:w="2880"/>
          </w:tcPr>
          <w:p>
            <w:r/>
            <w:r>
              <w:t>Removed/merged as external to rural supply-chain efficiency and adding noise to cost analysis.</w:t>
            </w:r>
          </w:p>
        </w:tc>
      </w:tr>
      <w:tr>
        <w:tc>
          <w:tcPr>
            <w:tcW w:type="dxa" w:w="2880"/>
          </w:tcPr>
          <w:p>
            <w:r/>
            <w:r>
              <w:t>R_TIME_2; R_TIME_3; R_TIME_4; R_QUAL_4; R_QUAL_5</w:t>
            </w:r>
          </w:p>
        </w:tc>
        <w:tc>
          <w:tcPr>
            <w:tcW w:type="dxa" w:w="2880"/>
          </w:tcPr>
          <w:p>
            <w:r/>
            <w:r>
              <w:t>EV12, EV24, EV28, EV37, EV41, EV17</w:t>
            </w:r>
          </w:p>
        </w:tc>
        <w:tc>
          <w:tcPr>
            <w:tcW w:type="dxa" w:w="2880"/>
          </w:tcPr>
          <w:p>
            <w:r/>
            <w:r>
              <w:t>Removed as non-critical, subjective, or difficult to capture in informal retail.</w:t>
            </w:r>
          </w:p>
        </w:tc>
      </w:tr>
      <w:tr>
        <w:tc>
          <w:tcPr>
            <w:tcW w:type="dxa" w:w="2880"/>
          </w:tcPr>
          <w:p>
            <w:r/>
            <w:r>
              <w:t>TR_TIME_1; TR_TIME_4; TR_TIME_5</w:t>
            </w:r>
          </w:p>
        </w:tc>
        <w:tc>
          <w:tcPr>
            <w:tcW w:type="dxa" w:w="2880"/>
          </w:tcPr>
          <w:p>
            <w:r/>
            <w:r>
              <w:t>EV16, EV34, EV07, EV45</w:t>
            </w:r>
          </w:p>
        </w:tc>
        <w:tc>
          <w:tcPr>
            <w:tcW w:type="dxa" w:w="2880"/>
          </w:tcPr>
          <w:p>
            <w:r/>
            <w:r>
              <w:t>Retained TR_TIME_1 at moderate weight; TR_TIME_4 merged with destination transit; TR_TIME_5 excluded from forward-delivery efficiency.</w:t>
            </w:r>
          </w:p>
        </w:tc>
      </w:tr>
      <w:tr>
        <w:tc>
          <w:tcPr>
            <w:tcW w:type="dxa" w:w="2880"/>
          </w:tcPr>
          <w:p>
            <w:r/>
            <w:r>
              <w:t>TR_COST_5; TR_COST_6; TR_QUAL_2; TR_QUAL_4</w:t>
            </w:r>
          </w:p>
        </w:tc>
        <w:tc>
          <w:tcPr>
            <w:tcW w:type="dxa" w:w="2880"/>
          </w:tcPr>
          <w:p>
            <w:r/>
            <w:r>
              <w:t>EV11, EV40, EV18, EV23, EV29</w:t>
            </w:r>
          </w:p>
        </w:tc>
        <w:tc>
          <w:tcPr>
            <w:tcW w:type="dxa" w:w="2880"/>
          </w:tcPr>
          <w:p>
            <w:r/>
            <w:r>
              <w:t>Merged with freight/vehicle-condition factors or retained at uniformly low score where capacity is currently absent.</w:t>
            </w:r>
          </w:p>
        </w:tc>
      </w:tr>
    </w:tbl>
    <w:p>
      <w:r>
        <w:rPr>
          <w:b w:val="0"/>
          <w:i w:val="0"/>
        </w:rPr>
        <w:t>Where a suggested factor lay outside the boundary of the distribution channel (for example, orchard rootstock selection or consumer branding), it was retained as a policy or future-research point rather than as a channel factor, so that the 82-factor set remained conceptually clean and analytically feasible for the Fuzzy AHP-Fuzzy ELECTRE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