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Positioning and Reviewer-Risk Memo</w:t>
      </w:r>
    </w:p>
    <w:p>
      <w:r>
        <w:rPr>
          <w:b/>
          <w:i w:val="0"/>
        </w:rPr>
        <w:t>Paper:</w:t>
      </w:r>
      <w:r>
        <w:rPr>
          <w:b w:val="0"/>
          <w:i w:val="0"/>
        </w:rPr>
        <w:t xml:space="preserve"> </w:t>
      </w:r>
      <w:r>
        <w:rPr>
          <w:b w:val="0"/>
          <w:i/>
        </w:rPr>
        <w:t>Marketing Without Growth: A Market-Systems Theory of Sufficiency, Demarketing, and Consumer Sovereignty Under Limits</w:t>
      </w:r>
    </w:p>
    <w:p>
      <w:r>
        <w:rPr>
          <w:b w:val="0"/>
          <w:i w:val="0"/>
        </w:rPr>
        <w:t>Internal document. Not for submission. Purpose: state honestly where this paper is strong, where it is vulnerable, and what has to be true for it to survive FT50 review.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1. The one-sentence claim</w:t>
      </w:r>
    </w:p>
    <w:p>
      <w:r>
        <w:rPr>
          <w:b w:val="0"/>
          <w:i w:val="0"/>
        </w:rPr>
        <w:t xml:space="preserve">Whether a consumption limit expands or contracts consumer sovereignty depends on how the limit is </w:t>
      </w:r>
      <w:r>
        <w:rPr>
          <w:b w:val="0"/>
          <w:i/>
        </w:rPr>
        <w:t>designed</w:t>
      </w:r>
      <w:r>
        <w:rPr>
          <w:b w:val="0"/>
          <w:i w:val="0"/>
        </w:rPr>
        <w:t>, and whether a market can contract without collapsing depends on the joint presence of business-model reconfiguration and norm propagation — so the discipline usually blamed for overconsumption holds the design tools for its remedy.</w:t>
      </w:r>
    </w:p>
    <w:p>
      <w:r>
        <w:rPr>
          <w:b w:val="0"/>
          <w:i w:val="0"/>
        </w:rPr>
        <w:t>If a reviewer cannot restate that after the introduction, the introduction has failed.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2. Journal fit</w:t>
      </w:r>
    </w:p>
    <w:p>
      <w:pPr>
        <w:pStyle w:val="Heading3"/>
      </w:pPr>
      <w:r>
        <w:rPr>
          <w:b w:val="0"/>
          <w:i w:val="0"/>
        </w:rPr>
        <w:t xml:space="preserve">Journal of Public Policy &amp; Marketing — </w:t>
      </w:r>
      <w:r>
        <w:rPr>
          <w:b/>
          <w:i w:val="0"/>
        </w:rPr>
        <w:t>lead target</w:t>
      </w:r>
    </w:p>
    <w:p>
      <w:r>
        <w:rPr>
          <w:b w:val="0"/>
          <w:i/>
        </w:rPr>
        <w:t>Why.</w:t>
      </w:r>
      <w:r>
        <w:rPr>
          <w:b w:val="0"/>
          <w:i w:val="0"/>
        </w:rPr>
        <w:t xml:space="preserve"> The paper's sharpest and most defensible result is distributive: precarity lowers the micro flip point, which raises the macro tipping threshold, which becomes unattainable beyond a precarity level. That is a public-policy finding with a clear sequencing prescription (distributive policy before sufficiency policy), derived rather than asserted. JPP&amp;M is also the outlet most tolerant of a theory-plus-simulation paper with a stated pre-registration status, and most interested in the Johnson–Neyman result that stringency is counterproductive for the majority of the precarity distribution.</w:t>
      </w:r>
    </w:p>
    <w:p>
      <w:r>
        <w:rPr>
          <w:b w:val="0"/>
          <w:i/>
        </w:rPr>
        <w:t>Fit signals.</w:t>
      </w:r>
      <w:r>
        <w:rPr>
          <w:b w:val="0"/>
          <w:i w:val="0"/>
        </w:rPr>
        <w:t xml:space="preserve"> JPP&amp;M has an active interest in wiser-consumption and sufficiency themes, including a recent call in that territory. The paper speaks directly to campaign calibration, claim substantiation standards for "buy less" messaging, and backlash as a forecastable intervention effect.</w:t>
      </w:r>
    </w:p>
    <w:p>
      <w:r>
        <w:rPr>
          <w:b w:val="0"/>
          <w:i/>
        </w:rPr>
        <w:t>What to lead with.</w:t>
      </w:r>
      <w:r>
        <w:rPr>
          <w:b w:val="0"/>
          <w:i w:val="0"/>
        </w:rPr>
        <w:t xml:space="preserve"> The 54.6% figure and the inequality result. Not the ABM.</w:t>
      </w:r>
    </w:p>
    <w:p>
      <w:pPr>
        <w:pStyle w:val="Heading3"/>
      </w:pPr>
      <w:r>
        <w:rPr>
          <w:b w:val="0"/>
          <w:i w:val="0"/>
        </w:rPr>
        <w:t xml:space="preserve">Journal of Marketing (Marketing &amp; Society) — </w:t>
      </w:r>
      <w:r>
        <w:rPr>
          <w:b/>
          <w:i w:val="0"/>
        </w:rPr>
        <w:t>strong second</w:t>
      </w:r>
    </w:p>
    <w:p>
      <w:r>
        <w:rPr>
          <w:b w:val="0"/>
          <w:i/>
        </w:rPr>
        <w:t>Why.</w:t>
      </w:r>
      <w:r>
        <w:rPr>
          <w:b w:val="0"/>
          <w:i w:val="0"/>
        </w:rPr>
        <w:t xml:space="preserve"> P21 — marketing capability is regime-determining — is a claim about the discipline's constitutive relevance, which is the Marketing &amp; Society section's remit. The formal demonstration that throughput reduction and firm profitability are jointly attainable is a </w:t>
      </w:r>
      <w:r>
        <w:rPr>
          <w:b w:val="0"/>
          <w:i/>
        </w:rPr>
        <w:t>Journal of Marketing</w:t>
      </w:r>
      <w:r>
        <w:rPr>
          <w:b w:val="0"/>
          <w:i w:val="0"/>
        </w:rPr>
        <w:t>-shaped result: counterintuitive, managerially consequential, formally derived.</w:t>
      </w:r>
    </w:p>
    <w:p>
      <w:r>
        <w:rPr>
          <w:b w:val="0"/>
          <w:i/>
        </w:rPr>
        <w:t>Risk.</w:t>
      </w:r>
      <w:r>
        <w:rPr>
          <w:b w:val="0"/>
          <w:i w:val="0"/>
        </w:rPr>
        <w:t xml:space="preserve"> JM will want field data. The synthetic status of Studies 1–3 is a serious obstacle here in a way it is not at JPP&amp;M. Realistic path: run the confirmatory programme first, then submit with real Studies 2–3 and the ABM as Study 4.</w:t>
      </w:r>
    </w:p>
    <w:p>
      <w:r>
        <w:rPr>
          <w:b w:val="0"/>
          <w:i/>
        </w:rPr>
        <w:t>What to lead with.</w:t>
      </w:r>
      <w:r>
        <w:rPr>
          <w:b w:val="0"/>
          <w:i w:val="0"/>
        </w:rPr>
        <w:t xml:space="preserve"> Study 3C (sufficiency washing) and the futility/tipping contrast.</w:t>
      </w:r>
    </w:p>
    <w:p>
      <w:pPr>
        <w:pStyle w:val="Heading3"/>
      </w:pPr>
      <w:r>
        <w:rPr>
          <w:b w:val="0"/>
          <w:i w:val="0"/>
        </w:rPr>
        <w:t xml:space="preserve">Journal of the Academy of Marketing Science — </w:t>
      </w:r>
      <w:r>
        <w:rPr>
          <w:b/>
          <w:i w:val="0"/>
        </w:rPr>
        <w:t>good fit for the full package</w:t>
      </w:r>
    </w:p>
    <w:p>
      <w:r>
        <w:rPr>
          <w:b w:val="0"/>
          <w:i/>
        </w:rPr>
        <w:t>Why.</w:t>
      </w:r>
      <w:r>
        <w:rPr>
          <w:b w:val="0"/>
          <w:i w:val="0"/>
        </w:rPr>
        <w:t xml:space="preserve"> JAMS is the most receptive to multi-method papers combining measurement development, moderated mediation, experiments, and simulation, and to papers that hand the field a validated instrument plus a design specification. Sheth, Sethia and Srinivas's mindful-consumption paper appeared here, which establishes the conversation.</w:t>
      </w:r>
    </w:p>
    <w:p>
      <w:r>
        <w:rPr>
          <w:b w:val="0"/>
          <w:i/>
        </w:rPr>
        <w:t>What to lead with.</w:t>
      </w:r>
      <w:r>
        <w:rPr>
          <w:b w:val="0"/>
          <w:i w:val="0"/>
        </w:rPr>
        <w:t xml:space="preserve"> The construct, the discriminant validity against four adjacent constructs, and the power analysis as a design contribution.</w:t>
      </w:r>
    </w:p>
    <w:p>
      <w:pPr>
        <w:pStyle w:val="Heading3"/>
      </w:pPr>
      <w:r>
        <w:rPr>
          <w:b w:val="0"/>
          <w:i w:val="0"/>
        </w:rPr>
        <w:t xml:space="preserve">Journal of Consumer Research (conceptual track) — </w:t>
      </w:r>
      <w:r>
        <w:rPr>
          <w:b/>
          <w:i w:val="0"/>
        </w:rPr>
        <w:t>highest risk, highest reward</w:t>
      </w:r>
    </w:p>
    <w:p>
      <w:r>
        <w:rPr>
          <w:b w:val="0"/>
          <w:i/>
        </w:rPr>
        <w:t>Why.</w:t>
      </w:r>
      <w:r>
        <w:rPr>
          <w:b w:val="0"/>
          <w:i w:val="0"/>
        </w:rPr>
        <w:t xml:space="preserve"> The dual-route mechanism with a derived nonlinearity, and the CCT extension into "consumption under limits", are JCR-shaped theoretical contributions.</w:t>
      </w:r>
    </w:p>
    <w:p>
      <w:r>
        <w:rPr>
          <w:b w:val="0"/>
          <w:i/>
        </w:rPr>
        <w:t>Risk.</w:t>
      </w:r>
      <w:r>
        <w:rPr>
          <w:b w:val="0"/>
          <w:i w:val="0"/>
        </w:rPr>
        <w:t xml:space="preserve"> JCR will be least sympathetic to the ABM (it will read as out of place) and most demanding about the phenomenological richness of chosen sufficiency. A JCR version should probably drop Study 4 entirely and add qualitative grounding.</w:t>
      </w:r>
    </w:p>
    <w:p>
      <w:pPr>
        <w:pStyle w:val="Heading3"/>
      </w:pPr>
      <w:r>
        <w:rPr>
          <w:b w:val="0"/>
          <w:i w:val="0"/>
        </w:rPr>
        <w:t xml:space="preserve">Where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to send it</w:t>
      </w:r>
    </w:p>
    <w:p>
      <w:r>
        <w:rPr>
          <w:b w:val="0"/>
          <w:i/>
        </w:rPr>
        <w:t>Journal of Macromarketing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Marketing Theory</w:t>
      </w:r>
      <w:r>
        <w:rPr>
          <w:b w:val="0"/>
          <w:i w:val="0"/>
        </w:rPr>
        <w:t xml:space="preserve"> would accept it more readily and defeat the purpose. The stated objective is to move this conversation into FT50-tier outlets; publishing in the journals that already host it forgoes the first-mover positioning that motivates the paper.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3. The five reviewer objections that can kill this paper</w:t>
      </w:r>
    </w:p>
    <w:p>
      <w:pPr>
        <w:pStyle w:val="Heading3"/>
      </w:pPr>
      <w:r>
        <w:rPr>
          <w:b w:val="0"/>
          <w:i w:val="0"/>
        </w:rPr>
        <w:t>R1. "The data are simulated. This is not an empirical paper."</w:t>
      </w:r>
    </w:p>
    <w:p>
      <w:r>
        <w:rPr>
          <w:b/>
          <w:i w:val="0"/>
        </w:rPr>
        <w:t>Severity: fatal if mishandled; manageable if handled first.</w:t>
      </w:r>
    </w:p>
    <w:p>
      <w:r>
        <w:rPr>
          <w:b w:val="0"/>
          <w:i/>
        </w:rPr>
        <w:t>The wrong response</w:t>
      </w:r>
      <w:r>
        <w:rPr>
          <w:b w:val="0"/>
          <w:i w:val="0"/>
        </w:rPr>
        <w:t xml:space="preserve"> is to bury the disclosure, use language like "model-derived data", or imply the synthetic studies are evidence. Reviewers will find it, and the paper will be desk-rejected for misrepresentation rather than reviewed for content.</w:t>
      </w:r>
    </w:p>
    <w:p>
      <w:r>
        <w:rPr>
          <w:b w:val="0"/>
          <w:i/>
        </w:rPr>
        <w:t>The response we have adopted.</w:t>
      </w:r>
      <w:r>
        <w:rPr>
          <w:b w:val="0"/>
          <w:i w:val="0"/>
        </w:rPr>
        <w:t xml:space="preserve"> A boxed disclosure before the abstract, the word "synthetic" in the studies overview table, and a reframing of Studies 1–3 as a </w:t>
      </w:r>
      <w:r>
        <w:rPr>
          <w:b/>
          <w:i w:val="0"/>
        </w:rPr>
        <w:t>computational pre-registration</w:t>
      </w:r>
      <w:r>
        <w:rPr>
          <w:b w:val="0"/>
          <w:i w:val="0"/>
        </w:rPr>
        <w:t xml:space="preserve"> whose deliverable is a specification rather than a finding. The paper claims exactly three things from them: the model is identified and estimable; the construct is discriminable; and specific hypotheses require specific designs. All three are true claims about a model, not about the world.</w:t>
      </w:r>
    </w:p>
    <w:p>
      <w:r>
        <w:rPr>
          <w:b w:val="0"/>
          <w:i/>
        </w:rPr>
        <w:t>The argument that carries it.</w:t>
      </w:r>
      <w:r>
        <w:rPr>
          <w:b w:val="0"/>
          <w:i w:val="0"/>
        </w:rPr>
        <w:t xml:space="preserve"> The power analysis produced a result that no amount of theorising would have produced: the demarketing-credibility interaction is </w:t>
      </w:r>
      <w:r>
        <w:rPr>
          <w:b/>
          <w:i w:val="0"/>
        </w:rPr>
        <w:t>undetectable in a survey at any realistic N</w:t>
      </w:r>
      <w:r>
        <w:rPr>
          <w:b w:val="0"/>
          <w:i w:val="0"/>
        </w:rPr>
        <w:t>. A field team that had not run this would have burned a data collection discovering it. That is a genuine service to a pre-paradigmatic literature, and it is only obtainable by simulation.</w:t>
      </w:r>
    </w:p>
    <w:p>
      <w:r>
        <w:rPr>
          <w:b w:val="0"/>
          <w:i/>
        </w:rPr>
        <w:t>Residual risk.</w:t>
      </w:r>
      <w:r>
        <w:rPr>
          <w:b w:val="0"/>
          <w:i w:val="0"/>
        </w:rPr>
        <w:t xml:space="preserve"> At JM and JCR this may still be disqualifying. JPP&amp;M is the target partly for this reason.</w:t>
      </w:r>
    </w:p>
    <w:p>
      <w:pPr>
        <w:pStyle w:val="Heading3"/>
      </w:pPr>
      <w:r>
        <w:rPr>
          <w:b w:val="0"/>
          <w:i w:val="0"/>
        </w:rPr>
        <w:t>R2. "This is ideologically loaded advocacy, not theory."</w:t>
      </w:r>
    </w:p>
    <w:p>
      <w:r>
        <w:rPr>
          <w:b/>
          <w:i w:val="0"/>
        </w:rPr>
        <w:t>Severity: high. This is the objection the topic attracts.</w:t>
      </w:r>
    </w:p>
    <w:p>
      <w:r>
        <w:rPr>
          <w:b w:val="0"/>
          <w:i/>
        </w:rPr>
        <w:t>Our defences, in order of strength.</w:t>
      </w:r>
    </w:p>
    <w:p>
      <w:pPr>
        <w:pStyle w:val="ListNumber"/>
      </w:pPr>
      <w:r>
        <w:rPr>
          <w:b/>
          <w:i w:val="0"/>
        </w:rPr>
        <w:t>The model rejects one of our own conjectures.</w:t>
      </w:r>
      <w:r>
        <w:rPr>
          <w:b w:val="0"/>
          <w:i w:val="0"/>
        </w:rPr>
        <w:t xml:space="preserve"> P22 (credibility–viability tradeoff) is specified, tested at four erosion rates, and rejected. Advocacy does not do this.</w:t>
      </w:r>
    </w:p>
    <w:p>
      <w:pPr>
        <w:pStyle w:val="ListNumber"/>
      </w:pPr>
      <w:r>
        <w:rPr>
          <w:b/>
          <w:i w:val="0"/>
        </w:rPr>
        <w:t>The theory's own failure mode is inside the model.</w:t>
      </w:r>
      <w:r>
        <w:rPr>
          <w:b w:val="0"/>
          <w:i w:val="0"/>
        </w:rPr>
        <w:t xml:space="preserve"> Compensatory displacement is a measured outcome and reactance-driven rebound generates a regime in which the intervention </w:t>
      </w:r>
      <w:r>
        <w:rPr>
          <w:b w:val="0"/>
          <w:i/>
        </w:rPr>
        <w:t>increases</w:t>
      </w:r>
      <w:r>
        <w:rPr>
          <w:b w:val="0"/>
          <w:i w:val="0"/>
        </w:rPr>
        <w:t xml:space="preserve"> throughput by 23.6%.</w:t>
      </w:r>
    </w:p>
    <w:p>
      <w:pPr>
        <w:pStyle w:val="ListNumber"/>
      </w:pPr>
      <w:r>
        <w:rPr>
          <w:b/>
          <w:i w:val="0"/>
        </w:rPr>
        <w:t>The modal result is negative.</w:t>
      </w:r>
      <w:r>
        <w:rPr>
          <w:b w:val="0"/>
          <w:i w:val="0"/>
        </w:rPr>
        <w:t xml:space="preserve"> 38% futility and 20% collapse at zero policy. If we were advocating, the modal result would be tipping.</w:t>
      </w:r>
    </w:p>
    <w:p>
      <w:pPr>
        <w:pStyle w:val="ListNumber"/>
      </w:pPr>
      <w:r>
        <w:rPr>
          <w:b/>
          <w:i w:val="0"/>
        </w:rPr>
        <w:t>The distributive critique of degrowth is derived as correct</w:t>
      </w:r>
      <w:r>
        <w:rPr>
          <w:b w:val="0"/>
          <w:i w:val="0"/>
        </w:rPr>
        <w:t xml:space="preserve"> under stated conditions, rather than argued away. We say explicitly that the "politics of the comfortable" objection is a correct description of sufficiency policy without distributive policy.</w:t>
      </w:r>
    </w:p>
    <w:p>
      <w:pPr>
        <w:pStyle w:val="ListNumber"/>
      </w:pPr>
      <w:r>
        <w:rPr>
          <w:b/>
          <w:i w:val="0"/>
        </w:rPr>
        <w:t>Boundary conditions are specified, not gestured at.</w:t>
      </w:r>
      <w:r>
        <w:rPr>
          <w:b w:val="0"/>
          <w:i w:val="0"/>
        </w:rPr>
        <w:t xml:space="preserve"> Five moderators with directional predictions, one of which (symbolic intensity) predicts </w:t>
      </w:r>
      <w:r>
        <w:rPr>
          <w:b w:val="0"/>
          <w:i/>
        </w:rPr>
        <w:t>polarisation</w:t>
      </w:r>
      <w:r>
        <w:rPr>
          <w:b w:val="0"/>
          <w:i w:val="0"/>
        </w:rPr>
        <w:t xml:space="preserve"> rather than uniform dampening.</w:t>
      </w:r>
    </w:p>
    <w:p>
      <w:r>
        <w:rPr>
          <w:b w:val="0"/>
          <w:i/>
        </w:rPr>
        <w:t>What we must not do.</w:t>
      </w:r>
      <w:r>
        <w:rPr>
          <w:b w:val="0"/>
          <w:i w:val="0"/>
        </w:rPr>
        <w:t xml:space="preserve"> Use normative language in the theory sections. The words "should", "must", and "urgent" belong only in the implications sections, and even there sparingly. Current draft is reasonably disciplined; a final pass should hunt for advocacy register.</w:t>
      </w:r>
    </w:p>
    <w:p>
      <w:pPr>
        <w:pStyle w:val="Heading3"/>
      </w:pPr>
      <w:r>
        <w:rPr>
          <w:b w:val="0"/>
          <w:i w:val="0"/>
        </w:rPr>
        <w:t>R3. "This is not really marketing."</w:t>
      </w:r>
    </w:p>
    <w:p>
      <w:r>
        <w:rPr>
          <w:b/>
          <w:i w:val="0"/>
        </w:rPr>
        <w:t>Severity: moderate. Fully answerable.</w:t>
      </w:r>
    </w:p>
    <w:p>
      <w:r>
        <w:rPr>
          <w:b w:val="0"/>
          <w:i w:val="0"/>
        </w:rPr>
        <w:t>The antecedent is a designed communication object (limit architecture) and a firm strategy (demarketing intensity, sacrifice signalling, business-model reconfiguration). The mediators are consumer appraisals. The outcomes include brand equity. The macro layer is a competitive market with share, margin, entry, exit and imitation. The headline managerial finding concerns when a brand can position on selling less. §1.2 makes this argument explicitly and early, which is where it belongs.</w:t>
      </w:r>
    </w:p>
    <w:p>
      <w:r>
        <w:rPr>
          <w:b w:val="0"/>
          <w:i w:val="0"/>
        </w:rPr>
        <w:t>Reinforcement available if needed: the paper is continuous with an existing marketing literature — Kotler and Levy (1971) on demarketing, Peattie and Peattie (2009) on consumption reduction, Gonzalez-Arcos et al. (2021) on resistance to sustainability interventions, White et al. (2019) on behaviour change, Giesler and Fischer (2017) on market system dynamics, Rand and Rust (2011) on agent-based rigour. Every methodological move has a marketing precedent.</w:t>
      </w:r>
    </w:p>
    <w:p>
      <w:pPr>
        <w:pStyle w:val="Heading3"/>
      </w:pPr>
      <w:r>
        <w:rPr>
          <w:b w:val="0"/>
          <w:i w:val="0"/>
        </w:rPr>
        <w:t>R4. "The agent-based model's parameters are arbitrary."</w:t>
      </w:r>
    </w:p>
    <w:p>
      <w:r>
        <w:rPr>
          <w:b/>
          <w:i w:val="0"/>
        </w:rPr>
        <w:t>Severity: moderate.</w:t>
      </w:r>
    </w:p>
    <w:p>
      <w:r>
        <w:rPr>
          <w:b w:val="0"/>
          <w:i/>
        </w:rPr>
        <w:t>Defences.</w:t>
      </w:r>
      <w:r>
        <w:rPr>
          <w:b w:val="0"/>
          <w:i w:val="0"/>
        </w:rPr>
        <w:t xml:space="preserve"> The calibration search is reported, with the grid and the selected cell (</w:t>
      </w:r>
      <w:r>
        <w:rPr>
          <w:rFonts w:ascii="Consolas" w:hAnsi="Consolas"/>
          <w:b w:val="0"/>
          <w:i w:val="0"/>
          <w:sz w:val="19"/>
        </w:rPr>
        <w:t>calibration_search.csv</w:t>
      </w:r>
      <w:r>
        <w:rPr>
          <w:b w:val="0"/>
          <w:i w:val="0"/>
        </w:rPr>
        <w:t xml:space="preserve">), and the selected cell is interior in two of three dimensions. Sensitivity analysis covers 16 parameters at ±20%, all 32 perturbations preserving the regime. The claims we make are explicitly </w:t>
      </w:r>
      <w:r>
        <w:rPr>
          <w:b/>
          <w:i w:val="0"/>
        </w:rPr>
        <w:t>structural</w:t>
      </w:r>
      <w:r>
        <w:rPr>
          <w:b w:val="0"/>
          <w:i w:val="0"/>
        </w:rPr>
        <w:t xml:space="preserve"> (which regimes exist, their signatures, which factors are complements, comparative statics) and we state that point predictions are not supported. We disclose that the service-fee parameter sits at the grid's upper bound and that values below ~0.165 make the niche regime unreachable.</w:t>
      </w:r>
    </w:p>
    <w:p>
      <w:r>
        <w:rPr>
          <w:b w:val="0"/>
          <w:i/>
        </w:rPr>
        <w:t>Weakness we cannot fully answer.</w:t>
      </w:r>
      <w:r>
        <w:rPr>
          <w:b w:val="0"/>
          <w:i w:val="0"/>
        </w:rPr>
        <w:t xml:space="preserve"> Only one-factor-at-a-time sensitivity is reported. A Sobol or Morris global analysis would detect parameter interactions and should be added before submission. We list this in the appendix as a check not performed.</w:t>
      </w:r>
    </w:p>
    <w:p>
      <w:pPr>
        <w:pStyle w:val="Heading3"/>
      </w:pPr>
      <w:r>
        <w:rPr>
          <w:b w:val="0"/>
          <w:i w:val="0"/>
        </w:rPr>
        <w:t>R5. "Chosen sufficiency is voluntary simplicity with a new name."</w:t>
      </w:r>
    </w:p>
    <w:p>
      <w:r>
        <w:rPr>
          <w:b/>
          <w:i w:val="0"/>
        </w:rPr>
        <w:t>Severity: moderate. This is the construct-proliferation objection and it is legitimate.</w:t>
      </w:r>
    </w:p>
    <w:p>
      <w:r>
        <w:rPr>
          <w:b w:val="0"/>
          <w:i/>
        </w:rPr>
        <w:t>Response.</w:t>
      </w:r>
      <w:r>
        <w:rPr>
          <w:b w:val="0"/>
          <w:i w:val="0"/>
        </w:rPr>
        <w:t xml:space="preserve"> HTMT = .531 against voluntary simplicity — related, not redundant. More decisively, HTMT = .120 against </w:t>
      </w:r>
      <w:r>
        <w:rPr>
          <w:b/>
          <w:i w:val="0"/>
        </w:rPr>
        <w:t>constrained restraint</w:t>
      </w:r>
      <w:r>
        <w:rPr>
          <w:b w:val="0"/>
          <w:i w:val="0"/>
        </w:rPr>
        <w:t>, which is the same reduction behaviour without endorsement. The construct is not measuring behaviour; it is measuring a relationship to behaviour, and voluntary simplicity cannot make that distinction because it is defined as a lifestyle rather than a state.</w:t>
      </w:r>
    </w:p>
    <w:p>
      <w:r>
        <w:rPr>
          <w:b w:val="0"/>
          <w:i w:val="0"/>
        </w:rPr>
        <w:t xml:space="preserve">The stronger argument is functional. Chosen sufficiency is a </w:t>
      </w:r>
      <w:r>
        <w:rPr>
          <w:b/>
          <w:i w:val="0"/>
        </w:rPr>
        <w:t>state with designable antecedents</w:t>
      </w:r>
      <w:r>
        <w:rPr>
          <w:b w:val="0"/>
          <w:i w:val="0"/>
        </w:rPr>
        <w:t xml:space="preserve">; voluntary simplicity is a trait. Study 3A moves chosen sufficiency by </w:t>
      </w:r>
      <w:r>
        <w:rPr>
          <w:b w:val="0"/>
          <w:i/>
        </w:rPr>
        <w:t>d</w:t>
      </w:r>
      <w:r>
        <w:rPr>
          <w:b w:val="0"/>
          <w:i w:val="0"/>
        </w:rPr>
        <w:t xml:space="preserve"> = .516 through design alone, at constant stringency. Nothing in the voluntary-simplicity tradition predicts or explains that, because traits do not respond to framing.</w:t>
      </w:r>
    </w:p>
    <w:p>
      <w:r>
        <w:rPr>
          <w:b w:val="0"/>
          <w:i/>
        </w:rPr>
        <w:t>Must-do.</w:t>
      </w:r>
      <w:r>
        <w:rPr>
          <w:b w:val="0"/>
          <w:i w:val="0"/>
        </w:rPr>
        <w:t xml:space="preserve"> The confirmatory study must include incremental-predictive-validity tests: chosen sufficiency predicting behaviour, brand equity, and policy support </w:t>
      </w:r>
      <w:r>
        <w:rPr>
          <w:b/>
          <w:i w:val="0"/>
        </w:rPr>
        <w:t>over and above</w:t>
      </w:r>
      <w:r>
        <w:rPr>
          <w:b w:val="0"/>
          <w:i w:val="0"/>
        </w:rPr>
        <w:t xml:space="preserve"> voluntary simplicity and low materialism. If it does not, the construct is redundant and the paper fails.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4. Objections we expect but consider manageable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i w:val="0"/>
                <w:sz w:val="17"/>
              </w:rPr>
              <w:t>Objection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i w:val="0"/>
                <w:sz w:val="17"/>
              </w:rPr>
              <w:t>Response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"The inverted-U is just a quadratic."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Two-lines test (Simonsohn 2018) with both arms significant; replicated within each precarity half.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"The flip-point shift rests on a tercile split."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Primary test is a bootstrap on the turning-point </w:t>
            </w:r>
            <w:r>
              <w:rPr>
                <w:rFonts w:ascii="Calibri" w:hAnsi="Calibri"/>
                <w:b w:val="0"/>
                <w:i/>
                <w:sz w:val="17"/>
              </w:rPr>
              <w:t>difference</w:t>
            </w:r>
            <w:r>
              <w:rPr>
                <w:rFonts w:ascii="Calibri" w:hAnsi="Calibri"/>
                <w:b w:val="0"/>
                <w:i w:val="0"/>
                <w:sz w:val="17"/>
              </w:rPr>
              <w:t>; the stringency²×precarity product term converges (</w:t>
            </w:r>
            <w:r>
              <w:rPr>
                <w:rFonts w:ascii="Calibri" w:hAnsi="Calibri"/>
                <w:b w:val="0"/>
                <w:i/>
                <w:sz w:val="17"/>
              </w:rPr>
              <w:t>p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= .006), and the </w:t>
            </w:r>
            <w:r>
              <w:rPr>
                <w:rFonts w:ascii="Calibri" w:hAnsi="Calibri"/>
                <w:b w:val="0"/>
                <w:i/>
                <w:sz w:val="17"/>
              </w:rPr>
              <w:t>linear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interaction is null, which is the mechanism-specific signature.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"Metric invariance via permutation is non-standard."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Justified on distributional grounds and standard in composite modelling; we make no latent-mean comparisons, so scalar invariance is not required.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"Four countries cannot support claims about the Global South."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We say so explicitly in the limitations and frame the invariance result as a hypothesis.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"Leakage of 1.500 looks like a cap."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It is; disclosed in the appendix, with instruction to read it as "exceeds 1".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"Why is precarity a moderator rather than a control?"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It enters the deprivation cost function's </w:t>
            </w:r>
            <w:r>
              <w:rPr>
                <w:rFonts w:ascii="Calibri" w:hAnsi="Calibri"/>
                <w:b w:val="0"/>
                <w:i/>
                <w:sz w:val="17"/>
              </w:rPr>
              <w:t>curvature</w:t>
            </w:r>
            <w:r>
              <w:rPr>
                <w:rFonts w:ascii="Calibri" w:hAnsi="Calibri"/>
                <w:b w:val="0"/>
                <w:i w:val="0"/>
                <w:sz w:val="17"/>
              </w:rPr>
              <w:t>, not its level — a theoretical claim with a distinctive empirical signature that the data pattern supports.</w:t>
            </w:r>
          </w:p>
        </w:tc>
      </w:tr>
    </w:tbl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5. What has to be true for the paper to survive</w:t>
      </w:r>
    </w:p>
    <w:p>
      <w:pPr>
        <w:pStyle w:val="ListNumber"/>
      </w:pPr>
      <w:r>
        <w:rPr>
          <w:b/>
          <w:i w:val="0"/>
        </w:rPr>
        <w:t>The construct must be discriminable on real data.</w:t>
      </w:r>
      <w:r>
        <w:rPr>
          <w:b w:val="0"/>
          <w:i w:val="0"/>
        </w:rPr>
        <w:t xml:space="preserve"> Specifically, chosen sufficiency must separate from constrained restraint and show incremental validity over voluntary simplicity.</w:t>
      </w:r>
    </w:p>
    <w:p>
      <w:pPr>
        <w:pStyle w:val="ListNumber"/>
      </w:pPr>
      <w:r>
        <w:rPr>
          <w:b/>
          <w:i w:val="0"/>
        </w:rPr>
        <w:t>The inverted-U must replicate with human participants</w:t>
      </w:r>
      <w:r>
        <w:rPr>
          <w:b w:val="0"/>
          <w:i w:val="0"/>
        </w:rPr>
        <w:t>, on the two-lines test, not just the quadratic.</w:t>
      </w:r>
    </w:p>
    <w:p>
      <w:pPr>
        <w:pStyle w:val="ListNumber"/>
      </w:pPr>
      <w:r>
        <w:rPr>
          <w:b/>
          <w:i w:val="0"/>
        </w:rPr>
        <w:t>The flip point must move with precarity.</w:t>
      </w:r>
      <w:r>
        <w:rPr>
          <w:b w:val="0"/>
          <w:i w:val="0"/>
        </w:rPr>
        <w:t xml:space="preserve"> This is the paper's distinctive prediction and the basis of its policy claim.</w:t>
      </w:r>
    </w:p>
    <w:p>
      <w:pPr>
        <w:pStyle w:val="ListNumber"/>
      </w:pPr>
      <w:r>
        <w:rPr>
          <w:b/>
          <w:i w:val="0"/>
        </w:rPr>
        <w:t>Study 3C must replicate.</w:t>
      </w:r>
      <w:r>
        <w:rPr>
          <w:b w:val="0"/>
          <w:i w:val="0"/>
        </w:rPr>
        <w:t xml:space="preserve"> The sufficiency-washing null is the most managerially consequential single result and the easiest to test.</w:t>
      </w:r>
    </w:p>
    <w:p>
      <w:pPr>
        <w:pStyle w:val="ListNumber"/>
      </w:pPr>
      <w:r>
        <w:rPr>
          <w:b/>
          <w:i w:val="0"/>
        </w:rPr>
        <w:t>The ABM must survive global sensitivity analysis</w:t>
      </w:r>
      <w:r>
        <w:rPr>
          <w:b w:val="0"/>
          <w:i w:val="0"/>
        </w:rPr>
        <w:t>, not just one-factor-at-a-time.</w:t>
      </w:r>
    </w:p>
    <w:p>
      <w:r>
        <w:rPr>
          <w:b w:val="0"/>
          <w:i w:val="0"/>
        </w:rPr>
        <w:t>If (1)–(3) fail, the theory is wrong and should be abandoned rather than salvaged. That is the appropriate standard.</w:t>
      </w:r>
    </w:p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6. Recommended submission sequence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i w:val="0"/>
                <w:sz w:val="17"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i w:val="0"/>
                <w:sz w:val="17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i w:val="0"/>
                <w:sz w:val="17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Now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Circulate as a working paper; present at Macromarketing and the AMA Marketing &amp; Public Policy conference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Establishes the priority claim on the construct and the formal result while the confirmatory data are collected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Next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Run Studies 3A–3C on panels (total </w:t>
            </w:r>
            <w:r>
              <w:rPr>
                <w:rFonts w:ascii="Calibri" w:hAnsi="Calibri"/>
                <w:b w:val="0"/>
                <w:i/>
                <w:sz w:val="17"/>
              </w:rPr>
              <w:t>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≈ 3,900 per the power analysis); pre-register using </w:t>
            </w:r>
            <w:r>
              <w:rPr>
                <w:rFonts w:ascii="Calibri" w:hAnsi="Calibri"/>
                <w:b w:val="0"/>
                <w:i w:val="0"/>
                <w:sz w:val="17"/>
              </w:rPr>
              <w:t>run_all.py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as the analysis script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The experiments are cheap, fast, and carry the most distinctive predictions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Then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Run the cross-national Study 2 (</w:t>
            </w:r>
            <w:r>
              <w:rPr>
                <w:rFonts w:ascii="Calibri" w:hAnsi="Calibri"/>
                <w:b w:val="0"/>
                <w:i/>
                <w:sz w:val="17"/>
              </w:rPr>
              <w:t>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≈ 1,600, four countries)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The expensive one; do it after the experiments have validated the measures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Then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Add global sensitivity analysis and, if possible, calibrate the ABM to apparel and household energy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Converts the phase diagram from existence proof to forecast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JPP&amp;M with real Studies 2–3 and the ABM as Study 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Best combination of fit and tolerance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Parallel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A theory-only version for </w:t>
            </w:r>
            <w:r>
              <w:rPr>
                <w:rFonts w:ascii="Calibri" w:hAnsi="Calibri"/>
                <w:b w:val="0"/>
                <w:i/>
                <w:sz w:val="17"/>
              </w:rPr>
              <w:t>Marketing Theory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or </w:t>
            </w:r>
            <w:r>
              <w:rPr>
                <w:rFonts w:ascii="Calibri" w:hAnsi="Calibri"/>
                <w:b w:val="0"/>
                <w:i/>
                <w:sz w:val="17"/>
              </w:rPr>
              <w:t>Journal of Macromarketing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is </w:t>
            </w:r>
            <w:r>
              <w:rPr>
                <w:rFonts w:ascii="Calibri" w:hAnsi="Calibri"/>
                <w:b/>
                <w:i w:val="0"/>
                <w:sz w:val="17"/>
              </w:rPr>
              <w:t>not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recommended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i w:val="0"/>
                <w:sz w:val="17"/>
              </w:rPr>
              <w:t>Would forfeit the FT50 positioning that motivates the project</w:t>
            </w:r>
          </w:p>
        </w:tc>
      </w:tr>
    </w:tbl>
    <w:p>
      <w:pPr>
        <w:jc w:val="center"/>
      </w:pPr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7. Honest assessment of novelty</w:t>
      </w:r>
    </w:p>
    <w:p>
      <w:r>
        <w:rPr>
          <w:b w:val="0"/>
          <w:i w:val="0"/>
        </w:rPr>
        <w:t>The claim in the brief was "breakthrough — genuinely pre-paradigmatic territory". Our assessment after building the model:</w:t>
      </w:r>
    </w:p>
    <w:p>
      <w:r>
        <w:rPr>
          <w:b/>
          <w:i w:val="0"/>
        </w:rPr>
        <w:t>Genuinely novel.</w:t>
      </w:r>
      <w:r>
        <w:rPr>
          <w:b w:val="0"/>
          <w:i w:val="0"/>
        </w:rPr>
        <w:t xml:space="preserve"> The dual-route architecture with a derived flip point; the demonstration that </w:t>
      </w:r>
      <w:r>
        <w:rPr>
          <w:b w:val="0"/>
          <w:i/>
        </w:rPr>
        <w:t>S*</w:t>
      </w:r>
      <w:r>
        <w:rPr>
          <w:b w:val="0"/>
          <w:i w:val="0"/>
        </w:rPr>
        <w:t xml:space="preserve"> moves with precarity; the formal treatment of demarketing propagation with a leakage measure; the strict-complementarity result; the micro-to-macro derivation of the inequality constraint; the polarisation prediction for symbolic categories; the sufficiency-washing asymmetry.</w:t>
      </w:r>
    </w:p>
    <w:p>
      <w:r>
        <w:rPr>
          <w:b/>
          <w:i w:val="0"/>
        </w:rPr>
        <w:t>Novel in this domain but not in general.</w:t>
      </w:r>
      <w:r>
        <w:rPr>
          <w:b w:val="0"/>
          <w:i w:val="0"/>
        </w:rPr>
        <w:t xml:space="preserve"> The saturating-versus-accelerating mechanism is a familiar functional form in economics and psychology; its application here is new, the form is not. Social-multiplier tipping is well established in the social-norms literature (Centola et al. 2018; Nyborg et al. 2016); the contribution is the marketing-specific transmission channel and the firm-viability coupling.</w:t>
      </w:r>
    </w:p>
    <w:p>
      <w:r>
        <w:rPr>
          <w:b/>
          <w:i w:val="0"/>
        </w:rPr>
        <w:t>Not novel, and should not be claimed as such.</w:t>
      </w:r>
      <w:r>
        <w:rPr>
          <w:b w:val="0"/>
          <w:i w:val="0"/>
        </w:rPr>
        <w:t xml:space="preserve"> That sufficiency must be chosen rather than imposed; that demarketing risks free-riding; that degrowth raises distributive concerns. These are all present in the existing literature as arguments. The contribution is converting them into derived, quantified, falsifiable statements — which is a real contribution, and a different one from discovering them.</w:t>
      </w:r>
    </w:p>
    <w:p>
      <w:r>
        <w:rPr>
          <w:b/>
          <w:i w:val="0"/>
        </w:rPr>
        <w:t>The honest headline.</w:t>
      </w:r>
      <w:r>
        <w:rPr>
          <w:b w:val="0"/>
          <w:i w:val="0"/>
        </w:rPr>
        <w:t xml:space="preserve"> This is not a new insight dressed as a model. It is a set of existing arguments converted into a theory with closed-form implications, specified boundary conditions, a falsifiable measurement model, and a formal market-level result that the literature has asserted without deriving. That is a strong contribution. Overclaiming it as a discovery would invite exactly the ideology objection the paper is otherwise well defended against.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