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Web Appendix</w:t>
      </w:r>
    </w:p>
    <w:p>
      <w:r>
        <w:rPr>
          <w:b/>
          <w:i w:val="0"/>
        </w:rPr>
        <w:t>Companion to:</w:t>
      </w:r>
      <w:r>
        <w:rPr>
          <w:b w:val="0"/>
          <w:i w:val="0"/>
        </w:rPr>
        <w:t xml:space="preserve"> </w:t>
      </w:r>
      <w:r>
        <w:rPr>
          <w:b w:val="0"/>
          <w:i/>
        </w:rPr>
        <w:t>Marketing Without Growth: A Market-Systems Theory of Sufficiency, Demarketing, and Consumer Sovereignty Under Limits</w:t>
      </w:r>
    </w:p>
    <w:tbl>
      <w:tblPr>
        <w:tblStyle w:val="LightGrid-Accent1"/>
        <w:tblW w:type="auto" w:w="0"/>
        <w:tblLook w:firstColumn="1" w:firstRow="1" w:lastColumn="0" w:lastRow="0" w:noHBand="0" w:noVBand="1" w:val="04A0"/>
      </w:tblPr>
      <w:tblGrid>
        <w:gridCol w:w="4320"/>
        <w:gridCol w:w="4320"/>
      </w:tblGrid>
      <w:tr>
        <w:tc>
          <w:tcPr>
            <w:tcW w:type="dxa" w:w="4320"/>
          </w:tcPr>
          <w:p>
            <w:r>
              <w:rPr>
                <w:rFonts w:ascii="Calibri" w:hAnsi="Calibri"/>
                <w:b/>
                <w:sz w:val="17"/>
              </w:rPr>
            </w:r>
            <w:r>
              <w:rPr>
                <w:rFonts w:ascii="Calibri" w:hAnsi="Calibri"/>
                <w:b/>
                <w:i w:val="0"/>
                <w:sz w:val="17"/>
              </w:rPr>
              <w:t>Section</w:t>
            </w:r>
          </w:p>
        </w:tc>
        <w:tc>
          <w:tcPr>
            <w:tcW w:type="dxa" w:w="4320"/>
          </w:tcPr>
          <w:p>
            <w:r>
              <w:rPr>
                <w:rFonts w:ascii="Calibri" w:hAnsi="Calibri"/>
                <w:b/>
                <w:sz w:val="17"/>
              </w:rPr>
            </w:r>
            <w:r>
              <w:rPr>
                <w:rFonts w:ascii="Calibri" w:hAnsi="Calibri"/>
                <w:b/>
                <w:i w:val="0"/>
                <w:sz w:val="17"/>
              </w:rPr>
              <w:t>Contents</w:t>
            </w:r>
          </w:p>
        </w:tc>
      </w:tr>
      <w:tr>
        <w:tc>
          <w:tcPr>
            <w:tcW w:type="dxa" w:w="4320"/>
          </w:tcPr>
          <w:p>
            <w:r>
              <w:rPr>
                <w:rFonts w:ascii="Calibri" w:hAnsi="Calibri"/>
                <w:sz w:val="17"/>
              </w:rPr>
            </w:r>
            <w:r>
              <w:rPr>
                <w:rFonts w:ascii="Calibri" w:hAnsi="Calibri"/>
                <w:b w:val="0"/>
                <w:i w:val="0"/>
                <w:sz w:val="17"/>
              </w:rPr>
              <w:t>A</w:t>
            </w:r>
          </w:p>
        </w:tc>
        <w:tc>
          <w:tcPr>
            <w:tcW w:type="dxa" w:w="4320"/>
          </w:tcPr>
          <w:p>
            <w:r>
              <w:rPr>
                <w:rFonts w:ascii="Calibri" w:hAnsi="Calibri"/>
                <w:sz w:val="17"/>
              </w:rPr>
            </w:r>
            <w:r>
              <w:rPr>
                <w:rFonts w:ascii="Calibri" w:hAnsi="Calibri"/>
                <w:b w:val="0"/>
                <w:i w:val="0"/>
                <w:sz w:val="17"/>
              </w:rPr>
              <w:t>Measures: full item wording for all 15 constructs</w:t>
            </w:r>
          </w:p>
        </w:tc>
      </w:tr>
      <w:tr>
        <w:tc>
          <w:tcPr>
            <w:tcW w:type="dxa" w:w="4320"/>
          </w:tcPr>
          <w:p>
            <w:r>
              <w:rPr>
                <w:rFonts w:ascii="Calibri" w:hAnsi="Calibri"/>
                <w:sz w:val="17"/>
              </w:rPr>
            </w:r>
            <w:r>
              <w:rPr>
                <w:rFonts w:ascii="Calibri" w:hAnsi="Calibri"/>
                <w:b w:val="0"/>
                <w:i w:val="0"/>
                <w:sz w:val="17"/>
              </w:rPr>
              <w:t>B</w:t>
            </w:r>
          </w:p>
        </w:tc>
        <w:tc>
          <w:tcPr>
            <w:tcW w:type="dxa" w:w="4320"/>
          </w:tcPr>
          <w:p>
            <w:r>
              <w:rPr>
                <w:rFonts w:ascii="Calibri" w:hAnsi="Calibri"/>
                <w:sz w:val="17"/>
              </w:rPr>
            </w:r>
            <w:r>
              <w:rPr>
                <w:rFonts w:ascii="Calibri" w:hAnsi="Calibri"/>
                <w:b w:val="0"/>
                <w:i w:val="0"/>
                <w:sz w:val="17"/>
              </w:rPr>
              <w:t>Experimental stimuli for Studies 3A–3C</w:t>
            </w:r>
          </w:p>
        </w:tc>
      </w:tr>
      <w:tr>
        <w:tc>
          <w:tcPr>
            <w:tcW w:type="dxa" w:w="4320"/>
          </w:tcPr>
          <w:p>
            <w:r>
              <w:rPr>
                <w:rFonts w:ascii="Calibri" w:hAnsi="Calibri"/>
                <w:sz w:val="17"/>
              </w:rPr>
            </w:r>
            <w:r>
              <w:rPr>
                <w:rFonts w:ascii="Calibri" w:hAnsi="Calibri"/>
                <w:b w:val="0"/>
                <w:i w:val="0"/>
                <w:sz w:val="17"/>
              </w:rPr>
              <w:t>C</w:t>
            </w:r>
          </w:p>
        </w:tc>
        <w:tc>
          <w:tcPr>
            <w:tcW w:type="dxa" w:w="4320"/>
          </w:tcPr>
          <w:p>
            <w:r>
              <w:rPr>
                <w:rFonts w:ascii="Calibri" w:hAnsi="Calibri"/>
                <w:sz w:val="17"/>
              </w:rPr>
            </w:r>
            <w:r>
              <w:rPr>
                <w:rFonts w:ascii="Calibri" w:hAnsi="Calibri"/>
                <w:b w:val="0"/>
                <w:i w:val="0"/>
                <w:sz w:val="17"/>
              </w:rPr>
              <w:t>Complete formal specification of the market-systems model</w:t>
            </w:r>
          </w:p>
        </w:tc>
      </w:tr>
      <w:tr>
        <w:tc>
          <w:tcPr>
            <w:tcW w:type="dxa" w:w="4320"/>
          </w:tcPr>
          <w:p>
            <w:r>
              <w:rPr>
                <w:rFonts w:ascii="Calibri" w:hAnsi="Calibri"/>
                <w:sz w:val="17"/>
              </w:rPr>
            </w:r>
            <w:r>
              <w:rPr>
                <w:rFonts w:ascii="Calibri" w:hAnsi="Calibri"/>
                <w:b w:val="0"/>
                <w:i w:val="0"/>
                <w:sz w:val="17"/>
              </w:rPr>
              <w:t>D</w:t>
            </w:r>
          </w:p>
        </w:tc>
        <w:tc>
          <w:tcPr>
            <w:tcW w:type="dxa" w:w="4320"/>
          </w:tcPr>
          <w:p>
            <w:r>
              <w:rPr>
                <w:rFonts w:ascii="Calibri" w:hAnsi="Calibri"/>
                <w:sz w:val="17"/>
              </w:rPr>
            </w:r>
            <w:r>
              <w:rPr>
                <w:rFonts w:ascii="Calibri" w:hAnsi="Calibri"/>
                <w:b w:val="0"/>
                <w:i w:val="0"/>
                <w:sz w:val="17"/>
              </w:rPr>
              <w:t>Study 4 calibration search</w:t>
            </w:r>
          </w:p>
        </w:tc>
      </w:tr>
      <w:tr>
        <w:tc>
          <w:tcPr>
            <w:tcW w:type="dxa" w:w="4320"/>
          </w:tcPr>
          <w:p>
            <w:r>
              <w:rPr>
                <w:rFonts w:ascii="Calibri" w:hAnsi="Calibri"/>
                <w:sz w:val="17"/>
              </w:rPr>
            </w:r>
            <w:r>
              <w:rPr>
                <w:rFonts w:ascii="Calibri" w:hAnsi="Calibri"/>
                <w:b w:val="0"/>
                <w:i w:val="0"/>
                <w:sz w:val="17"/>
              </w:rPr>
              <w:t>E</w:t>
            </w:r>
          </w:p>
        </w:tc>
        <w:tc>
          <w:tcPr>
            <w:tcW w:type="dxa" w:w="4320"/>
          </w:tcPr>
          <w:p>
            <w:r>
              <w:rPr>
                <w:rFonts w:ascii="Calibri" w:hAnsi="Calibri"/>
                <w:sz w:val="17"/>
              </w:rPr>
            </w:r>
            <w:r>
              <w:rPr>
                <w:rFonts w:ascii="Calibri" w:hAnsi="Calibri"/>
                <w:b w:val="0"/>
                <w:i w:val="0"/>
                <w:sz w:val="17"/>
              </w:rPr>
              <w:t>Robustness checks and known fragilities</w:t>
            </w:r>
          </w:p>
        </w:tc>
      </w:tr>
      <w:tr>
        <w:tc>
          <w:tcPr>
            <w:tcW w:type="dxa" w:w="4320"/>
          </w:tcPr>
          <w:p>
            <w:r>
              <w:rPr>
                <w:rFonts w:ascii="Calibri" w:hAnsi="Calibri"/>
                <w:sz w:val="17"/>
              </w:rPr>
            </w:r>
            <w:r>
              <w:rPr>
                <w:rFonts w:ascii="Calibri" w:hAnsi="Calibri"/>
                <w:b w:val="0"/>
                <w:i w:val="0"/>
                <w:sz w:val="17"/>
              </w:rPr>
              <w:t>F</w:t>
            </w:r>
          </w:p>
        </w:tc>
        <w:tc>
          <w:tcPr>
            <w:tcW w:type="dxa" w:w="4320"/>
          </w:tcPr>
          <w:p>
            <w:r>
              <w:rPr>
                <w:rFonts w:ascii="Calibri" w:hAnsi="Calibri"/>
                <w:sz w:val="17"/>
              </w:rPr>
            </w:r>
            <w:r>
              <w:rPr>
                <w:rFonts w:ascii="Calibri" w:hAnsi="Calibri"/>
                <w:b w:val="0"/>
                <w:i w:val="0"/>
                <w:sz w:val="17"/>
              </w:rPr>
              <w:t>Full results index</w:t>
            </w:r>
          </w:p>
        </w:tc>
      </w:tr>
      <w:tr>
        <w:tc>
          <w:tcPr>
            <w:tcW w:type="dxa" w:w="4320"/>
          </w:tcPr>
          <w:p>
            <w:r>
              <w:rPr>
                <w:rFonts w:ascii="Calibri" w:hAnsi="Calibri"/>
                <w:sz w:val="17"/>
              </w:rPr>
            </w:r>
            <w:r>
              <w:rPr>
                <w:rFonts w:ascii="Calibri" w:hAnsi="Calibri"/>
                <w:b w:val="0"/>
                <w:i w:val="0"/>
                <w:sz w:val="17"/>
              </w:rPr>
              <w:t>G</w:t>
            </w:r>
          </w:p>
        </w:tc>
        <w:tc>
          <w:tcPr>
            <w:tcW w:type="dxa" w:w="4320"/>
          </w:tcPr>
          <w:p>
            <w:r>
              <w:rPr>
                <w:rFonts w:ascii="Calibri" w:hAnsi="Calibri"/>
                <w:sz w:val="17"/>
              </w:rPr>
            </w:r>
            <w:r>
              <w:rPr>
                <w:rFonts w:ascii="Calibri" w:hAnsi="Calibri"/>
                <w:b w:val="0"/>
                <w:i w:val="0"/>
                <w:sz w:val="17"/>
              </w:rPr>
              <w:t>Reproduction instructions</w:t>
            </w:r>
          </w:p>
        </w:tc>
      </w:tr>
    </w:tbl>
    <w:p>
      <w:pPr>
        <w:jc w:val="center"/>
      </w:pPr>
      <w:r>
        <w:rPr>
          <w:color w:val="BBBBBB"/>
        </w:rPr>
        <w:t>____________________________________________________________</w:t>
      </w:r>
    </w:p>
    <w:p>
      <w:pPr>
        <w:pStyle w:val="Heading2"/>
      </w:pPr>
      <w:r>
        <w:rPr>
          <w:b w:val="0"/>
          <w:i w:val="0"/>
        </w:rPr>
        <w:t>A. Measures</w:t>
      </w:r>
    </w:p>
    <w:p>
      <w:r>
        <w:rPr>
          <w:b w:val="0"/>
          <w:i w:val="0"/>
        </w:rPr>
        <w:t xml:space="preserve">All items are seven-point Likert (1 = strongly disagree, 7 = strongly agree) unless noted. Items are written for a domain-specific administration: </w:t>
      </w:r>
      <w:r>
        <w:rPr>
          <w:rFonts w:ascii="Consolas" w:hAnsi="Consolas"/>
          <w:b w:val="0"/>
          <w:i w:val="0"/>
          <w:sz w:val="19"/>
        </w:rPr>
        <w:t>[DOMAIN]</w:t>
      </w:r>
      <w:r>
        <w:rPr>
          <w:b w:val="0"/>
          <w:i w:val="0"/>
        </w:rPr>
        <w:t xml:space="preserve"> is replaced with the assigned category (in Study 2, either </w:t>
      </w:r>
      <w:r>
        <w:rPr>
          <w:b w:val="0"/>
          <w:i/>
        </w:rPr>
        <w:t>clothing and footwear</w:t>
      </w:r>
      <w:r>
        <w:rPr>
          <w:b w:val="0"/>
          <w:i w:val="0"/>
        </w:rPr>
        <w:t xml:space="preserve"> — high symbolic intensity — or </w:t>
      </w:r>
      <w:r>
        <w:rPr>
          <w:b w:val="0"/>
          <w:i/>
        </w:rPr>
        <w:t>household energy</w:t>
      </w:r>
      <w:r>
        <w:rPr>
          <w:b w:val="0"/>
          <w:i w:val="0"/>
        </w:rPr>
        <w:t xml:space="preserve"> — low symbolic intensity). Reverse-scored items are marked </w:t>
      </w:r>
      <w:r>
        <w:rPr>
          <w:b/>
          <w:i w:val="0"/>
        </w:rPr>
        <w:t>(R)</w:t>
      </w:r>
      <w:r>
        <w:rPr>
          <w:b w:val="0"/>
          <w:i w:val="0"/>
        </w:rPr>
        <w:t>.</w:t>
      </w:r>
    </w:p>
    <w:p>
      <w:r>
        <w:rPr>
          <w:b w:val="0"/>
          <w:i w:val="0"/>
        </w:rPr>
        <w:t xml:space="preserve">Items were drafted to satisfy the definitional requirements in </w:t>
      </w:r>
      <w:r>
        <w:rPr>
          <w:rFonts w:ascii="Consolas" w:hAnsi="Consolas"/>
          <w:b w:val="0"/>
          <w:i w:val="0"/>
          <w:sz w:val="19"/>
        </w:rPr>
        <w:t>../model/constructs.md</w:t>
      </w:r>
      <w:r>
        <w:rPr>
          <w:b w:val="0"/>
          <w:i w:val="0"/>
        </w:rPr>
        <w:t xml:space="preserve"> §1.1 and to be discriminable from the adjacent constructs in §1.2. They have </w:t>
      </w:r>
      <w:r>
        <w:rPr>
          <w:b/>
          <w:i w:val="0"/>
        </w:rPr>
        <w:t>not</w:t>
      </w:r>
      <w:r>
        <w:rPr>
          <w:b w:val="0"/>
          <w:i w:val="0"/>
        </w:rPr>
        <w:t xml:space="preserve"> been validated on human respondents; validation is the first task of the confirmatory programme.</w:t>
      </w:r>
    </w:p>
    <w:p>
      <w:pPr>
        <w:pStyle w:val="Heading3"/>
      </w:pPr>
      <w:r>
        <w:rPr>
          <w:b w:val="0"/>
          <w:i w:val="0"/>
        </w:rPr>
        <w:t>A.1 Chosen sufficiency (CS) — focal construct</w:t>
      </w:r>
    </w:p>
    <w:p>
      <w:pPr>
        <w:pStyle w:val="IntenseQuote"/>
      </w:pPr>
      <w:r>
        <w:rPr>
          <w:b w:val="0"/>
          <w:i w:val="0"/>
        </w:rPr>
        <w:t xml:space="preserve">Anchor: </w:t>
      </w:r>
      <w:r>
        <w:rPr>
          <w:b w:val="0"/>
          <w:i/>
        </w:rPr>
        <w:t>"Some people set themselves a point at which they have enough of something, and stop there. Thinking about [DOMAIN]:"</w:t>
      </w:r>
    </w:p>
    <w:p>
      <w:pPr>
        <w:pStyle w:val="ListNumber"/>
      </w:pPr>
      <w:r>
        <w:rPr>
          <w:b w:val="0"/>
          <w:i w:val="0"/>
        </w:rPr>
        <w:t xml:space="preserve">I have a clear sense of how much [DOMAIN] is </w:t>
      </w:r>
      <w:r>
        <w:rPr>
          <w:b w:val="0"/>
          <w:i/>
        </w:rPr>
        <w:t>enough</w:t>
      </w:r>
      <w:r>
        <w:rPr>
          <w:b w:val="0"/>
          <w:i w:val="0"/>
        </w:rPr>
        <w:t xml:space="preserve"> for me.</w:t>
      </w:r>
    </w:p>
    <w:p>
      <w:pPr>
        <w:pStyle w:val="ListNumber"/>
      </w:pPr>
      <w:r>
        <w:rPr>
          <w:b w:val="0"/>
          <w:i w:val="0"/>
        </w:rPr>
        <w:t>The limit I keep on my [DOMAIN] consumption is one I set myself, not one imposed on me.</w:t>
      </w:r>
    </w:p>
    <w:p>
      <w:pPr>
        <w:pStyle w:val="ListNumber"/>
      </w:pPr>
      <w:r>
        <w:rPr>
          <w:b w:val="0"/>
          <w:i w:val="0"/>
        </w:rPr>
        <w:t>Staying within my own limit on [DOMAIN] feels like an expression of who I am.</w:t>
      </w:r>
    </w:p>
    <w:p>
      <w:pPr>
        <w:pStyle w:val="ListNumber"/>
      </w:pPr>
      <w:r>
        <w:rPr>
          <w:b w:val="0"/>
          <w:i w:val="0"/>
        </w:rPr>
        <w:t>I would keep to my limit on [DOMAIN] even if nobody ever knew about it.</w:t>
      </w:r>
    </w:p>
    <w:p>
      <w:r>
        <w:rPr>
          <w:b w:val="0"/>
          <w:i/>
        </w:rPr>
        <w:t>Design notes.</w:t>
      </w:r>
      <w:r>
        <w:rPr>
          <w:b w:val="0"/>
          <w:i w:val="0"/>
        </w:rPr>
        <w:t xml:space="preserve"> Item 1 carries the bounded-quantity referent; items 2 and 4 carry self-endorsement (item 4 is the surveillance-independence test that distinguishes integrated from introjected regulation); item 3 carries positive identity valence. All three definitional features in §1.1 are represented, which is why a three-item version would be under-identified with respect to the definition.</w:t>
      </w:r>
    </w:p>
    <w:p>
      <w:pPr>
        <w:pStyle w:val="Heading3"/>
      </w:pPr>
      <w:r>
        <w:rPr>
          <w:b w:val="0"/>
          <w:i w:val="0"/>
        </w:rPr>
        <w:t>A.2 Route A mediators</w:t>
      </w:r>
    </w:p>
    <w:p>
      <w:r>
        <w:rPr>
          <w:b/>
          <w:i w:val="0"/>
        </w:rPr>
        <w:t>Perceived autonomy (PA)</w:t>
      </w:r>
      <w:r>
        <w:rPr>
          <w:b w:val="0"/>
          <w:i w:val="0"/>
        </w:rPr>
        <w:t xml:space="preserve"> — limit-specific autonomy need satisfaction</w:t>
      </w:r>
    </w:p>
    <w:p>
      <w:pPr>
        <w:pStyle w:val="ListNumber"/>
      </w:pPr>
      <w:r>
        <w:rPr>
          <w:b w:val="0"/>
          <w:i w:val="0"/>
        </w:rPr>
        <w:t>The limit I keep on [DOMAIN] is genuinely my own choice.</w:t>
      </w:r>
    </w:p>
    <w:p>
      <w:pPr>
        <w:pStyle w:val="ListNumber"/>
      </w:pPr>
      <w:r>
        <w:rPr>
          <w:b w:val="0"/>
          <w:i w:val="0"/>
        </w:rPr>
        <w:t xml:space="preserve">I feel pressured into cutting back on [DOMAIN]. </w:t>
      </w:r>
      <w:r>
        <w:rPr>
          <w:b/>
          <w:i w:val="0"/>
        </w:rPr>
        <w:t>(R)</w:t>
      </w:r>
    </w:p>
    <w:p>
      <w:pPr>
        <w:pStyle w:val="ListNumber"/>
      </w:pPr>
      <w:r>
        <w:rPr>
          <w:b w:val="0"/>
          <w:i w:val="0"/>
        </w:rPr>
        <w:t>I decide for myself how much [DOMAIN] is appropriate for me.</w:t>
      </w:r>
    </w:p>
    <w:p>
      <w:pPr>
        <w:pStyle w:val="ListNumber"/>
      </w:pPr>
      <w:r>
        <w:rPr>
          <w:b w:val="0"/>
          <w:i w:val="0"/>
        </w:rPr>
        <w:t>When it comes to [DOMAIN], I feel free to consume as much or as little as I judge right.</w:t>
      </w:r>
    </w:p>
    <w:p>
      <w:r>
        <w:rPr>
          <w:b/>
          <w:i w:val="0"/>
        </w:rPr>
        <w:t>Restraint identity affirmation (RIA)</w:t>
      </w:r>
      <w:r>
        <w:rPr>
          <w:b w:val="0"/>
          <w:i w:val="0"/>
        </w:rPr>
        <w:t xml:space="preserve"> — restraint as self-expansion</w:t>
      </w:r>
    </w:p>
    <w:p>
      <w:pPr>
        <w:pStyle w:val="ListNumber"/>
      </w:pPr>
      <w:r>
        <w:rPr>
          <w:b w:val="0"/>
          <w:i w:val="0"/>
        </w:rPr>
        <w:t>Keeping within a limit on [DOMAIN] says something good about the kind of person I am.</w:t>
      </w:r>
    </w:p>
    <w:p>
      <w:pPr>
        <w:pStyle w:val="ListNumber"/>
      </w:pPr>
      <w:r>
        <w:rPr>
          <w:b w:val="0"/>
          <w:i w:val="0"/>
        </w:rPr>
        <w:t>Living with less [DOMAIN] makes me feel more like myself, not less.</w:t>
      </w:r>
    </w:p>
    <w:p>
      <w:pPr>
        <w:pStyle w:val="ListNumber"/>
      </w:pPr>
      <w:r>
        <w:rPr>
          <w:b w:val="0"/>
          <w:i w:val="0"/>
        </w:rPr>
        <w:t>There is something I value about myself in not needing more [DOMAIN].</w:t>
      </w:r>
    </w:p>
    <w:p>
      <w:pPr>
        <w:pStyle w:val="ListNumber"/>
      </w:pPr>
      <w:r>
        <w:rPr>
          <w:b w:val="0"/>
          <w:i w:val="0"/>
        </w:rPr>
        <w:t xml:space="preserve">Cutting back on [DOMAIN] would mean giving up part of who I am. </w:t>
      </w:r>
      <w:r>
        <w:rPr>
          <w:b/>
          <w:i w:val="0"/>
        </w:rPr>
        <w:t>(R)</w:t>
      </w:r>
    </w:p>
    <w:p>
      <w:r>
        <w:rPr>
          <w:b/>
          <w:i w:val="0"/>
        </w:rPr>
        <w:t>Restraint signaling value (RSV)</w:t>
      </w:r>
      <w:r>
        <w:rPr>
          <w:b w:val="0"/>
          <w:i w:val="0"/>
        </w:rPr>
        <w:t xml:space="preserve"> — conspicuous restraint</w:t>
      </w:r>
    </w:p>
    <w:p>
      <w:pPr>
        <w:pStyle w:val="ListNumber"/>
      </w:pPr>
      <w:r>
        <w:rPr>
          <w:b w:val="0"/>
          <w:i w:val="0"/>
        </w:rPr>
        <w:t>People I care about would think well of me for consuming less [DOMAIN].</w:t>
      </w:r>
    </w:p>
    <w:p>
      <w:pPr>
        <w:pStyle w:val="ListNumber"/>
      </w:pPr>
      <w:r>
        <w:rPr>
          <w:b w:val="0"/>
          <w:i w:val="0"/>
        </w:rPr>
        <w:t>Being visibly moderate about [DOMAIN] is something worth being known for.</w:t>
      </w:r>
    </w:p>
    <w:p>
      <w:pPr>
        <w:pStyle w:val="ListNumber"/>
      </w:pPr>
      <w:r>
        <w:rPr>
          <w:b w:val="0"/>
          <w:i w:val="0"/>
        </w:rPr>
        <w:t>I would happily let others see that I keep a limit on [DOMAIN].</w:t>
      </w:r>
    </w:p>
    <w:p>
      <w:r>
        <w:rPr>
          <w:b/>
          <w:i w:val="0"/>
        </w:rPr>
        <w:t>Collective efficacy and norm reinforcement (CE)</w:t>
      </w:r>
    </w:p>
    <w:p>
      <w:pPr>
        <w:pStyle w:val="ListNumber"/>
      </w:pPr>
      <w:r>
        <w:rPr>
          <w:b w:val="0"/>
          <w:i w:val="0"/>
        </w:rPr>
        <w:t>If people like me kept limits on [DOMAIN], it would make a real difference.</w:t>
      </w:r>
    </w:p>
    <w:p>
      <w:pPr>
        <w:pStyle w:val="ListNumber"/>
      </w:pPr>
      <w:r>
        <w:rPr>
          <w:b w:val="0"/>
          <w:i w:val="0"/>
        </w:rPr>
        <w:t>The limit I keep on [DOMAIN] is something I share with others, not something I do alone.</w:t>
      </w:r>
    </w:p>
    <w:p>
      <w:pPr>
        <w:pStyle w:val="ListNumber"/>
      </w:pPr>
      <w:r>
        <w:rPr>
          <w:b w:val="0"/>
          <w:i w:val="0"/>
        </w:rPr>
        <w:t>People around me are also trying to keep their [DOMAIN] consumption within bounds.</w:t>
      </w:r>
    </w:p>
    <w:p>
      <w:pPr>
        <w:pStyle w:val="Heading3"/>
      </w:pPr>
      <w:r>
        <w:rPr>
          <w:b w:val="0"/>
          <w:i w:val="0"/>
        </w:rPr>
        <w:t>A.3 Route B mediators</w:t>
      </w:r>
    </w:p>
    <w:p>
      <w:r>
        <w:rPr>
          <w:b/>
          <w:i w:val="0"/>
        </w:rPr>
        <w:t>Anticipated deprivation (AD)</w:t>
      </w:r>
    </w:p>
    <w:p>
      <w:pPr>
        <w:pStyle w:val="ListNumber"/>
      </w:pPr>
      <w:r>
        <w:rPr>
          <w:b w:val="0"/>
          <w:i w:val="0"/>
        </w:rPr>
        <w:t>Keeping to a limit on [DOMAIN] would mean going without things that matter to me.</w:t>
      </w:r>
    </w:p>
    <w:p>
      <w:pPr>
        <w:pStyle w:val="ListNumber"/>
      </w:pPr>
      <w:r>
        <w:rPr>
          <w:b w:val="0"/>
          <w:i w:val="0"/>
        </w:rPr>
        <w:t>My life would be noticeably worse with less [DOMAIN].</w:t>
      </w:r>
    </w:p>
    <w:p>
      <w:pPr>
        <w:pStyle w:val="ListNumber"/>
      </w:pPr>
      <w:r>
        <w:rPr>
          <w:b w:val="0"/>
          <w:i w:val="0"/>
        </w:rPr>
        <w:t>A limit on [DOMAIN] would stop me doing things I want to do.</w:t>
      </w:r>
    </w:p>
    <w:p>
      <w:pPr>
        <w:pStyle w:val="ListNumber"/>
      </w:pPr>
      <w:r>
        <w:rPr>
          <w:b w:val="0"/>
          <w:i w:val="0"/>
        </w:rPr>
        <w:t xml:space="preserve">I could live within a limit on [DOMAIN] without really missing anything. </w:t>
      </w:r>
      <w:r>
        <w:rPr>
          <w:b/>
          <w:i w:val="0"/>
        </w:rPr>
        <w:t>(R)</w:t>
      </w:r>
    </w:p>
    <w:p>
      <w:r>
        <w:rPr>
          <w:b/>
          <w:i w:val="0"/>
        </w:rPr>
        <w:t>Psychological reactance (PR)</w:t>
      </w:r>
      <w:r>
        <w:rPr>
          <w:b w:val="0"/>
          <w:i w:val="0"/>
        </w:rPr>
        <w:t xml:space="preserve"> — adapted from Dillard and Shen (2005); anger and negative cognition toward the limit-setting agent</w:t>
      </w:r>
    </w:p>
    <w:p>
      <w:pPr>
        <w:pStyle w:val="ListNumber"/>
      </w:pPr>
      <w:r>
        <w:rPr>
          <w:b w:val="0"/>
          <w:i w:val="0"/>
        </w:rPr>
        <w:t>Being told how much [DOMAIN] to consume irritates me.</w:t>
      </w:r>
    </w:p>
    <w:p>
      <w:pPr>
        <w:pStyle w:val="ListNumber"/>
      </w:pPr>
      <w:r>
        <w:rPr>
          <w:b w:val="0"/>
          <w:i w:val="0"/>
        </w:rPr>
        <w:t>I resent whoever thinks they can set limits on my [DOMAIN] consumption.</w:t>
      </w:r>
    </w:p>
    <w:p>
      <w:pPr>
        <w:pStyle w:val="ListNumber"/>
      </w:pPr>
      <w:r>
        <w:rPr>
          <w:b w:val="0"/>
          <w:i w:val="0"/>
        </w:rPr>
        <w:t>Attempts to limit my [DOMAIN] consumption make me want to consume more, not less.</w:t>
      </w:r>
    </w:p>
    <w:p>
      <w:pPr>
        <w:pStyle w:val="ListNumber"/>
      </w:pPr>
      <w:r>
        <w:rPr>
          <w:b w:val="0"/>
          <w:i w:val="0"/>
        </w:rPr>
        <w:t>I react against being pushed to use less [DOMAIN].</w:t>
      </w:r>
    </w:p>
    <w:p>
      <w:pPr>
        <w:pStyle w:val="Heading3"/>
      </w:pPr>
      <w:r>
        <w:rPr>
          <w:b w:val="0"/>
          <w:i w:val="0"/>
        </w:rPr>
        <w:t>A.4 Outcomes</w:t>
      </w:r>
    </w:p>
    <w:p>
      <w:r>
        <w:rPr>
          <w:b/>
          <w:i w:val="0"/>
        </w:rPr>
        <w:t>Sufficiency commitment behaviour (SCB)</w:t>
      </w:r>
      <w:r>
        <w:rPr>
          <w:b w:val="0"/>
          <w:i w:val="0"/>
        </w:rPr>
        <w:t xml:space="preserve"> 1. Over the next six months I intend to keep my [DOMAIN] consumption within a set limit. 2. I am prepared to commit to a specific cap on my [DOMAIN] consumption. 3. I have already taken concrete steps to hold my [DOMAIN] consumption down.</w:t>
      </w:r>
    </w:p>
    <w:p>
      <w:pPr>
        <w:pStyle w:val="IntenseQuote"/>
      </w:pPr>
      <w:r>
        <w:rPr>
          <w:b w:val="0"/>
          <w:i/>
        </w:rPr>
        <w:t>Behavioural supplement (recommended for the confirmatory study).</w:t>
      </w:r>
      <w:r>
        <w:rPr>
          <w:b w:val="0"/>
          <w:i w:val="0"/>
        </w:rPr>
        <w:t xml:space="preserve"> An incentive-compatible commitment: respondents choose between a fixed payment and a smaller payment plus a binding pledge to a specified reduction, verified at follow-up. This converts SCB from stated to revealed and is the single most valuable addition to the measurement battery.</w:t>
      </w:r>
    </w:p>
    <w:p>
      <w:r>
        <w:rPr>
          <w:b/>
          <w:i w:val="0"/>
        </w:rPr>
        <w:t>Brand sufficiency equity (BSE)</w:t>
      </w:r>
      <w:r>
        <w:rPr>
          <w:b w:val="0"/>
          <w:i w:val="0"/>
        </w:rPr>
        <w:t xml:space="preserve"> — administered after the firm vignette 1. I would trust this company more than others in its category. 2. This company's approach makes me want to support it. 3. I would recommend this company to people I know. 4. This company is doing something genuinely different, not just talking about it.</w:t>
      </w:r>
    </w:p>
    <w:p>
      <w:r>
        <w:rPr>
          <w:b/>
          <w:i w:val="0"/>
        </w:rPr>
        <w:t>Sufficiency policy support (SPS)</w:t>
      </w:r>
      <w:r>
        <w:rPr>
          <w:b w:val="0"/>
          <w:i w:val="0"/>
        </w:rPr>
        <w:t xml:space="preserve"> 1. I would support policies that cap total consumption of [DOMAIN]. 2. Governments should require products in this category to last much longer, even at higher prices. 3. I would support restrictions on advertising that encourages more [DOMAIN] consumption.</w:t>
      </w:r>
    </w:p>
    <w:p>
      <w:r>
        <w:rPr>
          <w:b/>
          <w:i w:val="0"/>
        </w:rPr>
        <w:t>Compensatory displacement consumption (CDC)</w:t>
      </w:r>
      <w:r>
        <w:rPr>
          <w:b w:val="0"/>
          <w:i w:val="0"/>
        </w:rPr>
        <w:t xml:space="preserve"> 1. If I cut back on [DOMAIN], I would probably treat myself more in other areas. 2. Saving money on [DOMAIN] would free me up to spend more elsewhere. 3. Going without in one area makes me want to make up for it in another.</w:t>
      </w:r>
    </w:p>
    <w:p>
      <w:pPr>
        <w:pStyle w:val="Heading3"/>
      </w:pPr>
      <w:r>
        <w:rPr>
          <w:b w:val="0"/>
          <w:i w:val="0"/>
        </w:rPr>
        <w:t>A.5 Moderators</w:t>
      </w:r>
    </w:p>
    <w:p>
      <w:pPr>
        <w:pStyle w:val="IntenseQuote"/>
      </w:pPr>
      <w:r>
        <w:rPr>
          <w:b/>
          <w:i w:val="0"/>
        </w:rPr>
        <w:t>Note on the simulation.</w:t>
      </w:r>
      <w:r>
        <w:rPr>
          <w:b w:val="0"/>
          <w:i w:val="0"/>
        </w:rPr>
        <w:t xml:space="preserve"> In Studies 1–3 the five moderators are represented as single observed standardised variables, because the object of those studies is the </w:t>
      </w:r>
      <w:r>
        <w:rPr>
          <w:b w:val="0"/>
          <w:i/>
        </w:rPr>
        <w:t>structural</w:t>
      </w:r>
      <w:r>
        <w:rPr>
          <w:b w:val="0"/>
          <w:i w:val="0"/>
        </w:rPr>
        <w:t xml:space="preserve"> model and adding measurement error to the moderators would confound the power analysis of the structural paths with the reliability of the moderators. The batteries below are specified for the confirmatory study, where moderators should be measured reflectively and their unreliability propagated. Doing so will </w:t>
      </w:r>
      <w:r>
        <w:rPr>
          <w:b/>
          <w:i w:val="0"/>
        </w:rPr>
        <w:t>attenuate</w:t>
      </w:r>
      <w:r>
        <w:rPr>
          <w:b w:val="0"/>
          <w:i w:val="0"/>
        </w:rPr>
        <w:t xml:space="preserve"> the interaction terms, so the required sample sizes in Table (Study 1C) should be treated as lower bounds — a point that matters most for the two interactions that are already the hardest to detect.</w:t>
      </w:r>
    </w:p>
    <w:p>
      <w:r>
        <w:rPr>
          <w:b/>
          <w:i w:val="0"/>
        </w:rPr>
        <w:t>Economic precarity</w:t>
      </w:r>
      <w:r>
        <w:rPr>
          <w:b w:val="0"/>
          <w:i w:val="0"/>
        </w:rPr>
        <w:t xml:space="preserve"> (M2) 1. I worry about being able to cover an unexpected expense. 2. My financial situation feels stable and predictable. </w:t>
      </w:r>
      <w:r>
        <w:rPr>
          <w:b/>
          <w:i w:val="0"/>
        </w:rPr>
        <w:t>(R)</w:t>
      </w:r>
      <w:r>
        <w:rPr>
          <w:b w:val="0"/>
          <w:i w:val="0"/>
        </w:rPr>
        <w:t xml:space="preserve"> 3. I have very little slack in my budget from month to month. 4. Losing my main source of income would put me in serious difficulty quickly.</w:t>
      </w:r>
    </w:p>
    <w:p>
      <w:r>
        <w:rPr>
          <w:b/>
          <w:i w:val="0"/>
        </w:rPr>
        <w:t>Cultural collectivism / interdependent self-construal</w:t>
      </w:r>
      <w:r>
        <w:rPr>
          <w:b w:val="0"/>
          <w:i w:val="0"/>
        </w:rPr>
        <w:t xml:space="preserve"> (M1) — abbreviated Singelis-style measure 1. What happens to my community matters as much to me as what happens to me. 2. I would sacrifice something I want for the sake of a group I belong to. 3. My sense of who I am depends a lot on the people around me.</w:t>
      </w:r>
    </w:p>
    <w:p>
      <w:r>
        <w:rPr>
          <w:b/>
          <w:i w:val="0"/>
        </w:rPr>
        <w:t>Community embeddedness</w:t>
      </w:r>
      <w:r>
        <w:rPr>
          <w:b w:val="0"/>
          <w:i w:val="0"/>
        </w:rPr>
        <w:t xml:space="preserve"> (M4) 1. I take part in groups or spaces where people share, repair, or borrow things. 2. I know people I could turn to for help maintaining or repairing what I own. 3. I feel part of a community that values making things last.</w:t>
      </w:r>
    </w:p>
    <w:p>
      <w:r>
        <w:rPr>
          <w:b/>
          <w:i w:val="0"/>
        </w:rPr>
        <w:t>Growth-paradigm endorsement</w:t>
      </w:r>
      <w:r>
        <w:rPr>
          <w:b w:val="0"/>
          <w:i w:val="0"/>
        </w:rPr>
        <w:t xml:space="preserve"> (M5) 1. A healthy economy has to keep growing. 2. Environmental problems can be solved without reducing how much we consume. 3. Higher consumption is generally a sign of a society doing well.</w:t>
      </w:r>
    </w:p>
    <w:p>
      <w:r>
        <w:rPr>
          <w:b/>
          <w:i w:val="0"/>
        </w:rPr>
        <w:t>Category symbolic intensity</w:t>
      </w:r>
      <w:r>
        <w:rPr>
          <w:b w:val="0"/>
          <w:i w:val="0"/>
        </w:rPr>
        <w:t xml:space="preserve"> (M3) — manipulated by category assignment in Studies 2–3; measured for validation 1. What people own in this category says something about who they are. 2. Choices in this category are mostly practical rather than expressive. </w:t>
      </w:r>
      <w:r>
        <w:rPr>
          <w:b/>
          <w:i w:val="0"/>
        </w:rPr>
        <w:t>(R)</w:t>
      </w:r>
      <w:r>
        <w:rPr>
          <w:b w:val="0"/>
          <w:i w:val="0"/>
        </w:rPr>
        <w:t xml:space="preserve"> 3. This category is one where people express identity through what they buy.</w:t>
      </w:r>
    </w:p>
    <w:p>
      <w:pPr>
        <w:pStyle w:val="Heading3"/>
      </w:pPr>
      <w:r>
        <w:rPr>
          <w:b w:val="0"/>
          <w:i w:val="0"/>
        </w:rPr>
        <w:t>A.6 Adjacent constructs (discriminant validity)</w:t>
      </w:r>
    </w:p>
    <w:p>
      <w:r>
        <w:rPr>
          <w:b/>
          <w:i w:val="0"/>
        </w:rPr>
        <w:t>Voluntary simplicity</w:t>
      </w:r>
      <w:r>
        <w:rPr>
          <w:b w:val="0"/>
          <w:i w:val="0"/>
        </w:rPr>
        <w:t xml:space="preserve"> (Etzioni 1998, adapted) 1. I have deliberately simplified my life overall. 2. I have chosen to live on less than I could afford. 3. Simplicity is a guiding principle in how I live.</w:t>
      </w:r>
    </w:p>
    <w:p>
      <w:r>
        <w:rPr>
          <w:b/>
          <w:i w:val="0"/>
        </w:rPr>
        <w:t>Frugality</w:t>
      </w:r>
      <w:r>
        <w:rPr>
          <w:b w:val="0"/>
          <w:i w:val="0"/>
        </w:rPr>
        <w:t xml:space="preserve"> (Lastovicka et al. 1999, adapted) 1. I make careful use of what I have rather than replacing it. 2. I take pride in getting good value for money. 3. I resist spending on things I do not strictly need.</w:t>
      </w:r>
    </w:p>
    <w:p>
      <w:r>
        <w:rPr>
          <w:b/>
          <w:i w:val="0"/>
        </w:rPr>
        <w:t>Materialism</w:t>
      </w:r>
      <w:r>
        <w:rPr>
          <w:b w:val="0"/>
          <w:i w:val="0"/>
        </w:rPr>
        <w:t xml:space="preserve"> (Richins and Dawson 1992, adapted) 1. The things I own say a lot about how well I am doing in life. 2. I would be happier if I could afford to buy more. 3. Acquiring things is an important source of satisfaction for me.</w:t>
      </w:r>
    </w:p>
    <w:p>
      <w:r>
        <w:rPr>
          <w:b/>
          <w:i w:val="0"/>
        </w:rPr>
        <w:t>Constrained restraint</w:t>
      </w:r>
      <w:r>
        <w:rPr>
          <w:b w:val="0"/>
          <w:i w:val="0"/>
        </w:rPr>
        <w:t xml:space="preserve"> (developed here — the critical contrast case) 1. I consume less [DOMAIN] than I would like to because I cannot afford more. 2. My limits on [DOMAIN] are forced on me by circumstances. 3. If my situation improved, I would consume considerably more [DOMAIN].</w:t>
      </w:r>
    </w:p>
    <w:p>
      <w:pPr>
        <w:pStyle w:val="IntenseQuote"/>
      </w:pPr>
      <w:r>
        <w:rPr>
          <w:b w:val="0"/>
          <w:i w:val="0"/>
        </w:rPr>
        <w:t>The empirical separation of constrained restraint from chosen sufficiency (HTMT = .120) is the measurement result on which the construct's novelty rests. If a confirmatory study finds these two constructs collapsing, the theory's central distinction is not measurable and the paper's claim fails.</w:t>
      </w:r>
    </w:p>
    <w:p>
      <w:pPr>
        <w:pStyle w:val="Heading3"/>
      </w:pPr>
      <w:r>
        <w:rPr>
          <w:b w:val="0"/>
          <w:i w:val="0"/>
        </w:rPr>
        <w:t>A.7 Controls recommended for the confirmatory study</w:t>
      </w:r>
    </w:p>
    <w:p>
      <w:r>
        <w:rPr>
          <w:b w:val="0"/>
          <w:i w:val="0"/>
        </w:rPr>
        <w:t>Age, gender, education, household income (for precarity discriminant validity), household size, category expenditure share, political orientation, social desirability (short-form), attention checks, and a common-method marker variable (Podsakoff et al. 2003).</w:t>
      </w:r>
    </w:p>
    <w:p>
      <w:pPr>
        <w:jc w:val="center"/>
      </w:pPr>
      <w:r>
        <w:rPr>
          <w:color w:val="BBBBBB"/>
        </w:rPr>
        <w:t>____________________________________________________________</w:t>
      </w:r>
    </w:p>
    <w:p>
      <w:pPr>
        <w:pStyle w:val="Heading2"/>
      </w:pPr>
      <w:r>
        <w:rPr>
          <w:b w:val="0"/>
          <w:i w:val="0"/>
        </w:rPr>
        <w:t>B. Experimental stimuli</w:t>
      </w:r>
    </w:p>
    <w:p>
      <w:pPr>
        <w:pStyle w:val="Heading3"/>
      </w:pPr>
      <w:r>
        <w:rPr>
          <w:b w:val="0"/>
          <w:i w:val="0"/>
        </w:rPr>
        <w:t>B.1 Study 3A — 2 (agency) × 2 (locus) × 2 (frame)</w:t>
      </w:r>
    </w:p>
    <w:p>
      <w:r>
        <w:rPr>
          <w:b w:val="0"/>
          <w:i w:val="0"/>
        </w:rPr>
        <w:t xml:space="preserve">Stringency is held constant at 35% across all eight cells. Only the framing of the </w:t>
      </w:r>
      <w:r>
        <w:rPr>
          <w:b w:val="0"/>
          <w:i/>
        </w:rPr>
        <w:t>same</w:t>
      </w:r>
      <w:r>
        <w:rPr>
          <w:b w:val="0"/>
          <w:i w:val="0"/>
        </w:rPr>
        <w:t xml:space="preserve"> 35% reduction varies. This is what licenses the interpretation of the </w:t>
      </w:r>
      <w:r>
        <w:rPr>
          <w:b w:val="0"/>
          <w:i/>
        </w:rPr>
        <w:t>d</w:t>
      </w:r>
      <w:r>
        <w:rPr>
          <w:b w:val="0"/>
          <w:i w:val="0"/>
        </w:rPr>
        <w:t xml:space="preserve"> = .516 best-versus-worst contrast as a pure design effect.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Calibri" w:hAnsi="Calibri"/>
                <w:b/>
                <w:sz w:val="17"/>
              </w:rPr>
            </w:r>
            <w:r>
              <w:rPr>
                <w:rFonts w:ascii="Calibri" w:hAnsi="Calibri"/>
                <w:b/>
                <w:i w:val="0"/>
                <w:sz w:val="17"/>
              </w:rPr>
              <w:t>Factor</w:t>
            </w:r>
          </w:p>
        </w:tc>
        <w:tc>
          <w:tcPr>
            <w:tcW w:type="dxa" w:w="2880"/>
          </w:tcPr>
          <w:p>
            <w:r>
              <w:rPr>
                <w:rFonts w:ascii="Calibri" w:hAnsi="Calibri"/>
                <w:b/>
                <w:sz w:val="17"/>
              </w:rPr>
            </w:r>
            <w:r>
              <w:rPr>
                <w:rFonts w:ascii="Calibri" w:hAnsi="Calibri"/>
                <w:b/>
                <w:i w:val="0"/>
                <w:sz w:val="17"/>
              </w:rPr>
              <w:t>Level</w:t>
            </w:r>
          </w:p>
        </w:tc>
        <w:tc>
          <w:tcPr>
            <w:tcW w:type="dxa" w:w="2880"/>
          </w:tcPr>
          <w:p>
            <w:r>
              <w:rPr>
                <w:rFonts w:ascii="Calibri" w:hAnsi="Calibri"/>
                <w:b/>
                <w:sz w:val="17"/>
              </w:rPr>
            </w:r>
            <w:r>
              <w:rPr>
                <w:rFonts w:ascii="Calibri" w:hAnsi="Calibri"/>
                <w:b/>
                <w:i w:val="0"/>
                <w:sz w:val="17"/>
              </w:rPr>
              <w:t>Stimulus wording</w:t>
            </w:r>
          </w:p>
        </w:tc>
      </w:tr>
      <w:tr>
        <w:tc>
          <w:tcPr>
            <w:tcW w:type="dxa" w:w="2880"/>
          </w:tcPr>
          <w:p>
            <w:r>
              <w:rPr>
                <w:rFonts w:ascii="Calibri" w:hAnsi="Calibri"/>
                <w:sz w:val="17"/>
              </w:rPr>
            </w:r>
            <w:r>
              <w:rPr>
                <w:rFonts w:ascii="Calibri" w:hAnsi="Calibri"/>
                <w:b w:val="0"/>
                <w:i w:val="0"/>
                <w:sz w:val="17"/>
              </w:rPr>
              <w:t>Agency</w:t>
            </w:r>
          </w:p>
        </w:tc>
        <w:tc>
          <w:tcPr>
            <w:tcW w:type="dxa" w:w="2880"/>
          </w:tcPr>
          <w:p>
            <w:r>
              <w:rPr>
                <w:rFonts w:ascii="Calibri" w:hAnsi="Calibri"/>
                <w:sz w:val="17"/>
              </w:rPr>
            </w:r>
            <w:r>
              <w:rPr>
                <w:rFonts w:ascii="Calibri" w:hAnsi="Calibri"/>
                <w:b w:val="0"/>
                <w:i w:val="0"/>
                <w:sz w:val="17"/>
              </w:rPr>
              <w:t>Chosen</w:t>
            </w:r>
          </w:p>
        </w:tc>
        <w:tc>
          <w:tcPr>
            <w:tcW w:type="dxa" w:w="2880"/>
          </w:tcPr>
          <w:p>
            <w:r>
              <w:rPr>
                <w:rFonts w:ascii="Calibri" w:hAnsi="Calibri"/>
                <w:sz w:val="17"/>
              </w:rPr>
            </w:r>
            <w:r>
              <w:rPr>
                <w:rFonts w:ascii="Calibri" w:hAnsi="Calibri"/>
                <w:b w:val="0"/>
                <w:i w:val="0"/>
                <w:sz w:val="17"/>
              </w:rPr>
              <w:t xml:space="preserve">"You will be asked to </w:t>
            </w:r>
            <w:r>
              <w:rPr>
                <w:rFonts w:ascii="Calibri" w:hAnsi="Calibri"/>
                <w:b/>
                <w:i w:val="0"/>
                <w:sz w:val="17"/>
              </w:rPr>
              <w:t>set your own</w:t>
            </w:r>
            <w:r>
              <w:rPr>
                <w:rFonts w:ascii="Calibri" w:hAnsi="Calibri"/>
                <w:b w:val="0"/>
                <w:i w:val="0"/>
                <w:sz w:val="17"/>
              </w:rPr>
              <w:t xml:space="preserve"> target for reducing your [DOMAIN] consumption. Most people in your position choose around 35%."</w:t>
            </w:r>
          </w:p>
        </w:tc>
      </w:tr>
      <w:tr>
        <w:tc>
          <w:tcPr>
            <w:tcW w:type="dxa" w:w="2880"/>
          </w:tcPr>
          <w:p>
            <w:r>
              <w:rPr>
                <w:rFonts w:ascii="Calibri" w:hAnsi="Calibri"/>
                <w:sz w:val="17"/>
              </w:rPr>
            </w:r>
          </w:p>
        </w:tc>
        <w:tc>
          <w:tcPr>
            <w:tcW w:type="dxa" w:w="2880"/>
          </w:tcPr>
          <w:p>
            <w:r>
              <w:rPr>
                <w:rFonts w:ascii="Calibri" w:hAnsi="Calibri"/>
                <w:sz w:val="17"/>
              </w:rPr>
            </w:r>
            <w:r>
              <w:rPr>
                <w:rFonts w:ascii="Calibri" w:hAnsi="Calibri"/>
                <w:b w:val="0"/>
                <w:i w:val="0"/>
                <w:sz w:val="17"/>
              </w:rPr>
              <w:t>Imposed</w:t>
            </w:r>
          </w:p>
        </w:tc>
        <w:tc>
          <w:tcPr>
            <w:tcW w:type="dxa" w:w="2880"/>
          </w:tcPr>
          <w:p>
            <w:r>
              <w:rPr>
                <w:rFonts w:ascii="Calibri" w:hAnsi="Calibri"/>
                <w:sz w:val="17"/>
              </w:rPr>
            </w:r>
            <w:r>
              <w:rPr>
                <w:rFonts w:ascii="Calibri" w:hAnsi="Calibri"/>
                <w:b w:val="0"/>
                <w:i w:val="0"/>
                <w:sz w:val="17"/>
              </w:rPr>
              <w:t xml:space="preserve">"A target has been </w:t>
            </w:r>
            <w:r>
              <w:rPr>
                <w:rFonts w:ascii="Calibri" w:hAnsi="Calibri"/>
                <w:b/>
                <w:i w:val="0"/>
                <w:sz w:val="17"/>
              </w:rPr>
              <w:t>set for you</w:t>
            </w:r>
            <w:r>
              <w:rPr>
                <w:rFonts w:ascii="Calibri" w:hAnsi="Calibri"/>
                <w:b w:val="0"/>
                <w:i w:val="0"/>
                <w:sz w:val="17"/>
              </w:rPr>
              <w:t>: a 35% reduction in your [DOMAIN] consumption."</w:t>
            </w:r>
          </w:p>
        </w:tc>
      </w:tr>
      <w:tr>
        <w:tc>
          <w:tcPr>
            <w:tcW w:type="dxa" w:w="2880"/>
          </w:tcPr>
          <w:p>
            <w:r>
              <w:rPr>
                <w:rFonts w:ascii="Calibri" w:hAnsi="Calibri"/>
                <w:sz w:val="17"/>
              </w:rPr>
            </w:r>
            <w:r>
              <w:rPr>
                <w:rFonts w:ascii="Calibri" w:hAnsi="Calibri"/>
                <w:b w:val="0"/>
                <w:i w:val="0"/>
                <w:sz w:val="17"/>
              </w:rPr>
              <w:t>Locus</w:t>
            </w:r>
          </w:p>
        </w:tc>
        <w:tc>
          <w:tcPr>
            <w:tcW w:type="dxa" w:w="2880"/>
          </w:tcPr>
          <w:p>
            <w:r>
              <w:rPr>
                <w:rFonts w:ascii="Calibri" w:hAnsi="Calibri"/>
                <w:sz w:val="17"/>
              </w:rPr>
            </w:r>
            <w:r>
              <w:rPr>
                <w:rFonts w:ascii="Calibri" w:hAnsi="Calibri"/>
                <w:b w:val="0"/>
                <w:i w:val="0"/>
                <w:sz w:val="17"/>
              </w:rPr>
              <w:t>Collective</w:t>
            </w:r>
          </w:p>
        </w:tc>
        <w:tc>
          <w:tcPr>
            <w:tcW w:type="dxa" w:w="2880"/>
          </w:tcPr>
          <w:p>
            <w:r>
              <w:rPr>
                <w:rFonts w:ascii="Calibri" w:hAnsi="Calibri"/>
                <w:sz w:val="17"/>
              </w:rPr>
            </w:r>
            <w:r>
              <w:rPr>
                <w:rFonts w:ascii="Calibri" w:hAnsi="Calibri"/>
                <w:b w:val="0"/>
                <w:i w:val="0"/>
                <w:sz w:val="17"/>
              </w:rPr>
              <w:t xml:space="preserve">"This is a </w:t>
            </w:r>
            <w:r>
              <w:rPr>
                <w:rFonts w:ascii="Calibri" w:hAnsi="Calibri"/>
                <w:b/>
                <w:i w:val="0"/>
                <w:sz w:val="17"/>
              </w:rPr>
              <w:t>shared</w:t>
            </w:r>
            <w:r>
              <w:rPr>
                <w:rFonts w:ascii="Calibri" w:hAnsi="Calibri"/>
                <w:b w:val="0"/>
                <w:i w:val="0"/>
                <w:sz w:val="17"/>
              </w:rPr>
              <w:t xml:space="preserve"> target. You and others in your area are working toward it together, and progress is reported for the group."</w:t>
            </w:r>
          </w:p>
        </w:tc>
      </w:tr>
      <w:tr>
        <w:tc>
          <w:tcPr>
            <w:tcW w:type="dxa" w:w="2880"/>
          </w:tcPr>
          <w:p>
            <w:r>
              <w:rPr>
                <w:rFonts w:ascii="Calibri" w:hAnsi="Calibri"/>
                <w:sz w:val="17"/>
              </w:rPr>
            </w:r>
          </w:p>
        </w:tc>
        <w:tc>
          <w:tcPr>
            <w:tcW w:type="dxa" w:w="2880"/>
          </w:tcPr>
          <w:p>
            <w:r>
              <w:rPr>
                <w:rFonts w:ascii="Calibri" w:hAnsi="Calibri"/>
                <w:sz w:val="17"/>
              </w:rPr>
            </w:r>
            <w:r>
              <w:rPr>
                <w:rFonts w:ascii="Calibri" w:hAnsi="Calibri"/>
                <w:b w:val="0"/>
                <w:i w:val="0"/>
                <w:sz w:val="17"/>
              </w:rPr>
              <w:t>Individual</w:t>
            </w:r>
          </w:p>
        </w:tc>
        <w:tc>
          <w:tcPr>
            <w:tcW w:type="dxa" w:w="2880"/>
          </w:tcPr>
          <w:p>
            <w:r>
              <w:rPr>
                <w:rFonts w:ascii="Calibri" w:hAnsi="Calibri"/>
                <w:sz w:val="17"/>
              </w:rPr>
            </w:r>
            <w:r>
              <w:rPr>
                <w:rFonts w:ascii="Calibri" w:hAnsi="Calibri"/>
                <w:b w:val="0"/>
                <w:i w:val="0"/>
                <w:sz w:val="17"/>
              </w:rPr>
              <w:t xml:space="preserve">"This is </w:t>
            </w:r>
            <w:r>
              <w:rPr>
                <w:rFonts w:ascii="Calibri" w:hAnsi="Calibri"/>
                <w:b/>
                <w:i w:val="0"/>
                <w:sz w:val="17"/>
              </w:rPr>
              <w:t>your own</w:t>
            </w:r>
            <w:r>
              <w:rPr>
                <w:rFonts w:ascii="Calibri" w:hAnsi="Calibri"/>
                <w:b w:val="0"/>
                <w:i w:val="0"/>
                <w:sz w:val="17"/>
              </w:rPr>
              <w:t xml:space="preserve"> target. Progress is reported for you individually."</w:t>
            </w:r>
          </w:p>
        </w:tc>
      </w:tr>
      <w:tr>
        <w:tc>
          <w:tcPr>
            <w:tcW w:type="dxa" w:w="2880"/>
          </w:tcPr>
          <w:p>
            <w:r>
              <w:rPr>
                <w:rFonts w:ascii="Calibri" w:hAnsi="Calibri"/>
                <w:sz w:val="17"/>
              </w:rPr>
            </w:r>
            <w:r>
              <w:rPr>
                <w:rFonts w:ascii="Calibri" w:hAnsi="Calibri"/>
                <w:b w:val="0"/>
                <w:i w:val="0"/>
                <w:sz w:val="17"/>
              </w:rPr>
              <w:t>Frame</w:t>
            </w:r>
          </w:p>
        </w:tc>
        <w:tc>
          <w:tcPr>
            <w:tcW w:type="dxa" w:w="2880"/>
          </w:tcPr>
          <w:p>
            <w:r>
              <w:rPr>
                <w:rFonts w:ascii="Calibri" w:hAnsi="Calibri"/>
                <w:sz w:val="17"/>
              </w:rPr>
            </w:r>
            <w:r>
              <w:rPr>
                <w:rFonts w:ascii="Calibri" w:hAnsi="Calibri"/>
                <w:b w:val="0"/>
                <w:i w:val="0"/>
                <w:sz w:val="17"/>
              </w:rPr>
              <w:t>Sufficiency</w:t>
            </w:r>
          </w:p>
        </w:tc>
        <w:tc>
          <w:tcPr>
            <w:tcW w:type="dxa" w:w="2880"/>
          </w:tcPr>
          <w:p>
            <w:r>
              <w:rPr>
                <w:rFonts w:ascii="Calibri" w:hAnsi="Calibri"/>
                <w:sz w:val="17"/>
              </w:rPr>
            </w:r>
            <w:r>
              <w:rPr>
                <w:rFonts w:ascii="Calibri" w:hAnsi="Calibri"/>
                <w:b w:val="0"/>
                <w:i w:val="0"/>
                <w:sz w:val="17"/>
              </w:rPr>
              <w:t xml:space="preserve">"The aim is to find the point where you have </w:t>
            </w:r>
            <w:r>
              <w:rPr>
                <w:rFonts w:ascii="Calibri" w:hAnsi="Calibri"/>
                <w:b/>
                <w:i w:val="0"/>
                <w:sz w:val="17"/>
              </w:rPr>
              <w:t>enough</w:t>
            </w:r>
            <w:r>
              <w:rPr>
                <w:rFonts w:ascii="Calibri" w:hAnsi="Calibri"/>
                <w:b w:val="0"/>
                <w:i w:val="0"/>
                <w:sz w:val="17"/>
              </w:rPr>
              <w:t xml:space="preserve"> — a level of [DOMAIN] that works well for you and stays there."</w:t>
            </w:r>
          </w:p>
        </w:tc>
      </w:tr>
      <w:tr>
        <w:tc>
          <w:tcPr>
            <w:tcW w:type="dxa" w:w="2880"/>
          </w:tcPr>
          <w:p>
            <w:r>
              <w:rPr>
                <w:rFonts w:ascii="Calibri" w:hAnsi="Calibri"/>
                <w:sz w:val="17"/>
              </w:rPr>
            </w:r>
          </w:p>
        </w:tc>
        <w:tc>
          <w:tcPr>
            <w:tcW w:type="dxa" w:w="2880"/>
          </w:tcPr>
          <w:p>
            <w:r>
              <w:rPr>
                <w:rFonts w:ascii="Calibri" w:hAnsi="Calibri"/>
                <w:sz w:val="17"/>
              </w:rPr>
            </w:r>
            <w:r>
              <w:rPr>
                <w:rFonts w:ascii="Calibri" w:hAnsi="Calibri"/>
                <w:b w:val="0"/>
                <w:i w:val="0"/>
                <w:sz w:val="17"/>
              </w:rPr>
              <w:t>Reduction</w:t>
            </w:r>
          </w:p>
        </w:tc>
        <w:tc>
          <w:tcPr>
            <w:tcW w:type="dxa" w:w="2880"/>
          </w:tcPr>
          <w:p>
            <w:r>
              <w:rPr>
                <w:rFonts w:ascii="Calibri" w:hAnsi="Calibri"/>
                <w:sz w:val="17"/>
              </w:rPr>
            </w:r>
            <w:r>
              <w:rPr>
                <w:rFonts w:ascii="Calibri" w:hAnsi="Calibri"/>
                <w:b w:val="0"/>
                <w:i w:val="0"/>
                <w:sz w:val="17"/>
              </w:rPr>
              <w:t xml:space="preserve">"The aim is to </w:t>
            </w:r>
            <w:r>
              <w:rPr>
                <w:rFonts w:ascii="Calibri" w:hAnsi="Calibri"/>
                <w:b/>
                <w:i w:val="0"/>
                <w:sz w:val="17"/>
              </w:rPr>
              <w:t>cut back</w:t>
            </w:r>
            <w:r>
              <w:rPr>
                <w:rFonts w:ascii="Calibri" w:hAnsi="Calibri"/>
                <w:b w:val="0"/>
                <w:i w:val="0"/>
                <w:sz w:val="17"/>
              </w:rPr>
              <w:t xml:space="preserve"> — to consume 35% </w:t>
            </w:r>
            <w:r>
              <w:rPr>
                <w:rFonts w:ascii="Calibri" w:hAnsi="Calibri"/>
                <w:b/>
                <w:i w:val="0"/>
                <w:sz w:val="17"/>
              </w:rPr>
              <w:t>less</w:t>
            </w:r>
            <w:r>
              <w:rPr>
                <w:rFonts w:ascii="Calibri" w:hAnsi="Calibri"/>
                <w:b w:val="0"/>
                <w:i w:val="0"/>
                <w:sz w:val="17"/>
              </w:rPr>
              <w:t xml:space="preserve"> [DOMAIN] than you do now."</w:t>
            </w:r>
          </w:p>
        </w:tc>
      </w:tr>
    </w:tbl>
    <w:p>
      <w:r>
        <w:rPr>
          <w:b w:val="0"/>
          <w:i w:val="0"/>
        </w:rPr>
        <w:t xml:space="preserve">Manipulation checks: perceived choice over the target; perceived shared-versus-individual framing; perceived gain-versus-loss framing; perceived magnitude of the reduction (should </w:t>
      </w:r>
      <w:r>
        <w:rPr>
          <w:b/>
          <w:i w:val="0"/>
        </w:rPr>
        <w:t>not</w:t>
      </w:r>
      <w:r>
        <w:rPr>
          <w:b w:val="0"/>
          <w:i w:val="0"/>
        </w:rPr>
        <w:t xml:space="preserve"> differ across cells — this is the critical null check).</w:t>
      </w:r>
    </w:p>
    <w:p>
      <w:pPr>
        <w:pStyle w:val="Heading3"/>
      </w:pPr>
      <w:r>
        <w:rPr>
          <w:b w:val="0"/>
          <w:i w:val="0"/>
        </w:rPr>
        <w:t>B.2 Study 3B — continuous dose</w:t>
      </w:r>
    </w:p>
    <w:p>
      <w:r>
        <w:rPr>
          <w:b w:val="0"/>
          <w:i w:val="0"/>
        </w:rPr>
        <w:t xml:space="preserve">Seven levels of stringency (5%, 15%, 30%, 45%, 60%, 75%, 90%) with agency set to </w:t>
      </w:r>
      <w:r>
        <w:rPr>
          <w:b w:val="0"/>
          <w:i/>
        </w:rPr>
        <w:t>chosen</w:t>
      </w:r>
      <w:r>
        <w:rPr>
          <w:b w:val="0"/>
          <w:i w:val="0"/>
        </w:rPr>
        <w:t xml:space="preserve"> and frame set to </w:t>
      </w:r>
      <w:r>
        <w:rPr>
          <w:b w:val="0"/>
          <w:i/>
        </w:rPr>
        <w:t>sufficiency</w:t>
      </w:r>
      <w:r>
        <w:rPr>
          <w:b w:val="0"/>
          <w:i w:val="0"/>
        </w:rPr>
        <w:t xml:space="preserve"> throughout, so the dose effect is not confounded with architecture. Because the predicted function is non-monotonic, at least seven levels are required: a three-level design cannot distinguish an inverted-U from a plateau, and a five-level design locates the turning point with intervals too wide to test the precarity shift.</w:t>
      </w:r>
    </w:p>
    <w:p>
      <w:pPr>
        <w:pStyle w:val="Heading3"/>
      </w:pPr>
      <w:r>
        <w:rPr>
          <w:b w:val="0"/>
          <w:i w:val="0"/>
        </w:rPr>
        <w:t>B.3 Study 3C — 2 (demarketing intensity) × 2 (sacrifice signal)</w:t>
      </w:r>
    </w:p>
    <w:p>
      <w:r>
        <w:rPr>
          <w:b w:val="0"/>
          <w:i w:val="0"/>
        </w:rPr>
        <w:t>Firm vignettes describing a company in the assigned category.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Calibri" w:hAnsi="Calibri"/>
                <w:b/>
                <w:sz w:val="17"/>
              </w:rPr>
            </w:r>
            <w:r>
              <w:rPr>
                <w:rFonts w:ascii="Calibri" w:hAnsi="Calibri"/>
                <w:b/>
                <w:i w:val="0"/>
                <w:sz w:val="17"/>
              </w:rPr>
              <w:t>Factor</w:t>
            </w:r>
          </w:p>
        </w:tc>
        <w:tc>
          <w:tcPr>
            <w:tcW w:type="dxa" w:w="2880"/>
          </w:tcPr>
          <w:p>
            <w:r>
              <w:rPr>
                <w:rFonts w:ascii="Calibri" w:hAnsi="Calibri"/>
                <w:b/>
                <w:sz w:val="17"/>
              </w:rPr>
            </w:r>
            <w:r>
              <w:rPr>
                <w:rFonts w:ascii="Calibri" w:hAnsi="Calibri"/>
                <w:b/>
                <w:i w:val="0"/>
                <w:sz w:val="17"/>
              </w:rPr>
              <w:t>Level</w:t>
            </w:r>
          </w:p>
        </w:tc>
        <w:tc>
          <w:tcPr>
            <w:tcW w:type="dxa" w:w="2880"/>
          </w:tcPr>
          <w:p>
            <w:r>
              <w:rPr>
                <w:rFonts w:ascii="Calibri" w:hAnsi="Calibri"/>
                <w:b/>
                <w:sz w:val="17"/>
              </w:rPr>
            </w:r>
            <w:r>
              <w:rPr>
                <w:rFonts w:ascii="Calibri" w:hAnsi="Calibri"/>
                <w:b/>
                <w:i w:val="0"/>
                <w:sz w:val="17"/>
              </w:rPr>
              <w:t>Stimulus content</w:t>
            </w:r>
          </w:p>
        </w:tc>
      </w:tr>
      <w:tr>
        <w:tc>
          <w:tcPr>
            <w:tcW w:type="dxa" w:w="2880"/>
          </w:tcPr>
          <w:p>
            <w:r>
              <w:rPr>
                <w:rFonts w:ascii="Calibri" w:hAnsi="Calibri"/>
                <w:sz w:val="17"/>
              </w:rPr>
            </w:r>
            <w:r>
              <w:rPr>
                <w:rFonts w:ascii="Calibri" w:hAnsi="Calibri"/>
                <w:b w:val="0"/>
                <w:i w:val="0"/>
                <w:sz w:val="17"/>
              </w:rPr>
              <w:t>Intensity</w:t>
            </w:r>
          </w:p>
        </w:tc>
        <w:tc>
          <w:tcPr>
            <w:tcW w:type="dxa" w:w="2880"/>
          </w:tcPr>
          <w:p>
            <w:r>
              <w:rPr>
                <w:rFonts w:ascii="Calibri" w:hAnsi="Calibri"/>
                <w:sz w:val="17"/>
              </w:rPr>
            </w:r>
            <w:r>
              <w:rPr>
                <w:rFonts w:ascii="Calibri" w:hAnsi="Calibri"/>
                <w:b w:val="0"/>
                <w:i w:val="0"/>
                <w:sz w:val="17"/>
              </w:rPr>
              <w:t>High</w:t>
            </w:r>
          </w:p>
        </w:tc>
        <w:tc>
          <w:tcPr>
            <w:tcW w:type="dxa" w:w="2880"/>
          </w:tcPr>
          <w:p>
            <w:r>
              <w:rPr>
                <w:rFonts w:ascii="Calibri" w:hAnsi="Calibri"/>
                <w:sz w:val="17"/>
              </w:rPr>
            </w:r>
            <w:r>
              <w:rPr>
                <w:rFonts w:ascii="Calibri" w:hAnsi="Calibri"/>
                <w:b w:val="0"/>
                <w:i w:val="0"/>
                <w:sz w:val="17"/>
              </w:rPr>
              <w:t>The company actively urges customers to buy less: campaigns advising against replacement, tools to assess whether a purchase is needed, refusal to run seasonal promotions.</w:t>
            </w:r>
          </w:p>
        </w:tc>
      </w:tr>
      <w:tr>
        <w:tc>
          <w:tcPr>
            <w:tcW w:type="dxa" w:w="2880"/>
          </w:tcPr>
          <w:p>
            <w:r>
              <w:rPr>
                <w:rFonts w:ascii="Calibri" w:hAnsi="Calibri"/>
                <w:sz w:val="17"/>
              </w:rPr>
            </w:r>
          </w:p>
        </w:tc>
        <w:tc>
          <w:tcPr>
            <w:tcW w:type="dxa" w:w="2880"/>
          </w:tcPr>
          <w:p>
            <w:r>
              <w:rPr>
                <w:rFonts w:ascii="Calibri" w:hAnsi="Calibri"/>
                <w:sz w:val="17"/>
              </w:rPr>
            </w:r>
            <w:r>
              <w:rPr>
                <w:rFonts w:ascii="Calibri" w:hAnsi="Calibri"/>
                <w:b w:val="0"/>
                <w:i w:val="0"/>
                <w:sz w:val="17"/>
              </w:rPr>
              <w:t>Low</w:t>
            </w:r>
          </w:p>
        </w:tc>
        <w:tc>
          <w:tcPr>
            <w:tcW w:type="dxa" w:w="2880"/>
          </w:tcPr>
          <w:p>
            <w:r>
              <w:rPr>
                <w:rFonts w:ascii="Calibri" w:hAnsi="Calibri"/>
                <w:sz w:val="17"/>
              </w:rPr>
            </w:r>
            <w:r>
              <w:rPr>
                <w:rFonts w:ascii="Calibri" w:hAnsi="Calibri"/>
                <w:b w:val="0"/>
                <w:i w:val="0"/>
                <w:sz w:val="17"/>
              </w:rPr>
              <w:t>The company markets conventionally, with sustainability mentioned among its product attributes.</w:t>
            </w:r>
          </w:p>
        </w:tc>
      </w:tr>
      <w:tr>
        <w:tc>
          <w:tcPr>
            <w:tcW w:type="dxa" w:w="2880"/>
          </w:tcPr>
          <w:p>
            <w:r>
              <w:rPr>
                <w:rFonts w:ascii="Calibri" w:hAnsi="Calibri"/>
                <w:sz w:val="17"/>
              </w:rPr>
            </w:r>
            <w:r>
              <w:rPr>
                <w:rFonts w:ascii="Calibri" w:hAnsi="Calibri"/>
                <w:b w:val="0"/>
                <w:i w:val="0"/>
                <w:sz w:val="17"/>
              </w:rPr>
              <w:t>Sacrifice</w:t>
            </w:r>
          </w:p>
        </w:tc>
        <w:tc>
          <w:tcPr>
            <w:tcW w:type="dxa" w:w="2880"/>
          </w:tcPr>
          <w:p>
            <w:r>
              <w:rPr>
                <w:rFonts w:ascii="Calibri" w:hAnsi="Calibri"/>
                <w:sz w:val="17"/>
              </w:rPr>
            </w:r>
            <w:r>
              <w:rPr>
                <w:rFonts w:ascii="Calibri" w:hAnsi="Calibri"/>
                <w:b w:val="0"/>
                <w:i w:val="0"/>
                <w:sz w:val="17"/>
              </w:rPr>
              <w:t>High</w:t>
            </w:r>
          </w:p>
        </w:tc>
        <w:tc>
          <w:tcPr>
            <w:tcW w:type="dxa" w:w="2880"/>
          </w:tcPr>
          <w:p>
            <w:r>
              <w:rPr>
                <w:rFonts w:ascii="Calibri" w:hAnsi="Calibri"/>
                <w:sz w:val="17"/>
              </w:rPr>
            </w:r>
            <w:r>
              <w:rPr>
                <w:rFonts w:ascii="Calibri" w:hAnsi="Calibri"/>
                <w:b w:val="0"/>
                <w:i w:val="0"/>
                <w:sz w:val="17"/>
              </w:rPr>
              <w:t xml:space="preserve">The company discloses that this has </w:t>
            </w:r>
            <w:r>
              <w:rPr>
                <w:rFonts w:ascii="Calibri" w:hAnsi="Calibri"/>
                <w:b/>
                <w:i w:val="0"/>
                <w:sz w:val="17"/>
              </w:rPr>
              <w:t>reduced its revenue by 18% over three years</w:t>
            </w:r>
            <w:r>
              <w:rPr>
                <w:rFonts w:ascii="Calibri" w:hAnsi="Calibri"/>
                <w:b w:val="0"/>
                <w:i w:val="0"/>
                <w:sz w:val="17"/>
              </w:rPr>
              <w:t>, has closed stores, and has told investors it expects lower volumes permanently.</w:t>
            </w:r>
          </w:p>
        </w:tc>
      </w:tr>
      <w:tr>
        <w:tc>
          <w:tcPr>
            <w:tcW w:type="dxa" w:w="2880"/>
          </w:tcPr>
          <w:p>
            <w:r>
              <w:rPr>
                <w:rFonts w:ascii="Calibri" w:hAnsi="Calibri"/>
                <w:sz w:val="17"/>
              </w:rPr>
            </w:r>
          </w:p>
        </w:tc>
        <w:tc>
          <w:tcPr>
            <w:tcW w:type="dxa" w:w="2880"/>
          </w:tcPr>
          <w:p>
            <w:r>
              <w:rPr>
                <w:rFonts w:ascii="Calibri" w:hAnsi="Calibri"/>
                <w:sz w:val="17"/>
              </w:rPr>
            </w:r>
            <w:r>
              <w:rPr>
                <w:rFonts w:ascii="Calibri" w:hAnsi="Calibri"/>
                <w:b w:val="0"/>
                <w:i w:val="0"/>
                <w:sz w:val="17"/>
              </w:rPr>
              <w:t>Low</w:t>
            </w:r>
          </w:p>
        </w:tc>
        <w:tc>
          <w:tcPr>
            <w:tcW w:type="dxa" w:w="2880"/>
          </w:tcPr>
          <w:p>
            <w:r>
              <w:rPr>
                <w:rFonts w:ascii="Calibri" w:hAnsi="Calibri"/>
                <w:sz w:val="17"/>
              </w:rPr>
            </w:r>
            <w:r>
              <w:rPr>
                <w:rFonts w:ascii="Calibri" w:hAnsi="Calibri"/>
                <w:b w:val="0"/>
                <w:i w:val="0"/>
                <w:sz w:val="17"/>
              </w:rPr>
              <w:t xml:space="preserve">The company states that the approach is "good for business" and reports </w:t>
            </w:r>
            <w:r>
              <w:rPr>
                <w:rFonts w:ascii="Calibri" w:hAnsi="Calibri"/>
                <w:b/>
                <w:i w:val="0"/>
                <w:sz w:val="17"/>
              </w:rPr>
              <w:t>record revenue</w:t>
            </w:r>
            <w:r>
              <w:rPr>
                <w:rFonts w:ascii="Calibri" w:hAnsi="Calibri"/>
                <w:b w:val="0"/>
                <w:i w:val="0"/>
                <w:sz w:val="17"/>
              </w:rPr>
              <w:t>.</w:t>
            </w:r>
          </w:p>
        </w:tc>
      </w:tr>
    </w:tbl>
    <w:p>
      <w:r>
        <w:rPr>
          <w:b w:val="0"/>
          <w:i w:val="0"/>
        </w:rPr>
        <w:t xml:space="preserve">The high-intensity/low-sacrifice cell is the operationalisation of </w:t>
      </w:r>
      <w:r>
        <w:rPr>
          <w:b/>
          <w:i w:val="0"/>
        </w:rPr>
        <w:t>sufficiency washing</w:t>
      </w:r>
      <w:r>
        <w:rPr>
          <w:b w:val="0"/>
          <w:i w:val="0"/>
        </w:rPr>
        <w:t xml:space="preserve"> and is the paper's practical target. The low-intensity/high-sacrifice cell — sacrifice claimed without corresponding action — is the worst-performing cell (</w:t>
      </w:r>
      <w:r>
        <w:rPr>
          <w:b w:val="0"/>
          <w:i/>
        </w:rPr>
        <w:t>M</w:t>
      </w:r>
      <w:r>
        <w:rPr>
          <w:b w:val="0"/>
          <w:i w:val="0"/>
        </w:rPr>
        <w:t xml:space="preserve"> = −.178) and models a firm whose stated commitment outruns its behaviour.</w:t>
      </w:r>
    </w:p>
    <w:p>
      <w:pPr>
        <w:jc w:val="center"/>
      </w:pPr>
      <w:r>
        <w:rPr>
          <w:color w:val="BBBBBB"/>
        </w:rPr>
        <w:t>____________________________________________________________</w:t>
      </w:r>
    </w:p>
    <w:p>
      <w:pPr>
        <w:pStyle w:val="Heading2"/>
      </w:pPr>
      <w:r>
        <w:rPr>
          <w:b w:val="0"/>
          <w:i w:val="0"/>
        </w:rPr>
        <w:t>C. Complete specification of the market-systems model</w:t>
      </w:r>
    </w:p>
    <w:p>
      <w:r>
        <w:rPr>
          <w:b w:val="0"/>
          <w:i w:val="0"/>
        </w:rPr>
        <w:t xml:space="preserve">Notation: consumers </w:t>
      </w:r>
      <w:r>
        <w:rPr>
          <w:b w:val="0"/>
          <w:i/>
        </w:rPr>
        <w:t>i</w:t>
      </w:r>
      <w:r>
        <w:rPr>
          <w:b w:val="0"/>
          <w:i w:val="0"/>
        </w:rPr>
        <w:t xml:space="preserve"> = 1…</w:t>
      </w:r>
      <w:r>
        <w:rPr>
          <w:b w:val="0"/>
          <w:i/>
        </w:rPr>
        <w:t>N</w:t>
      </w:r>
      <w:r>
        <w:rPr>
          <w:b w:val="0"/>
          <w:i w:val="0"/>
        </w:rPr>
        <w:t xml:space="preserve">; firms </w:t>
      </w:r>
      <w:r>
        <w:rPr>
          <w:b w:val="0"/>
          <w:i/>
        </w:rPr>
        <w:t>j</w:t>
      </w:r>
      <w:r>
        <w:rPr>
          <w:b w:val="0"/>
          <w:i w:val="0"/>
        </w:rPr>
        <w:t xml:space="preserve"> = 1…</w:t>
      </w:r>
      <w:r>
        <w:rPr>
          <w:b w:val="0"/>
          <w:i/>
        </w:rPr>
        <w:t>J</w:t>
      </w:r>
      <w:r>
        <w:rPr>
          <w:b w:val="0"/>
          <w:i w:val="0"/>
        </w:rPr>
        <w:t xml:space="preserve">; periods </w:t>
      </w:r>
      <w:r>
        <w:rPr>
          <w:b w:val="0"/>
          <w:i/>
        </w:rPr>
        <w:t>t</w:t>
      </w:r>
      <w:r>
        <w:rPr>
          <w:b w:val="0"/>
          <w:i w:val="0"/>
        </w:rPr>
        <w:t xml:space="preserve"> = 1…</w:t>
      </w:r>
      <w:r>
        <w:rPr>
          <w:b w:val="0"/>
          <w:i/>
        </w:rPr>
        <w:t>T</w:t>
      </w:r>
      <w:r>
        <w:rPr>
          <w:b w:val="0"/>
          <w:i w:val="0"/>
        </w:rPr>
        <w:t xml:space="preserve">. Reference implementation: </w:t>
      </w:r>
      <w:r>
        <w:rPr>
          <w:rFonts w:ascii="Consolas" w:hAnsi="Consolas"/>
          <w:b w:val="0"/>
          <w:i w:val="0"/>
          <w:sz w:val="19"/>
        </w:rPr>
        <w:t>../analysis/src/abm_market.py</w:t>
      </w:r>
      <w:r>
        <w:rPr>
          <w:b w:val="0"/>
          <w:i w:val="0"/>
        </w:rPr>
        <w:t>.</w:t>
      </w:r>
    </w:p>
    <w:p>
      <w:pPr>
        <w:pStyle w:val="Heading3"/>
      </w:pPr>
      <w:r>
        <w:rPr>
          <w:b w:val="0"/>
          <w:i w:val="0"/>
        </w:rPr>
        <w:t>C.1 Initialisation</w:t>
      </w:r>
    </w:p>
    <w:p>
      <w:r>
        <w:rPr>
          <w:b w:val="0"/>
          <w:i w:val="0"/>
        </w:rPr>
        <w:t xml:space="preserve">Precarity </w:t>
      </w:r>
      <w:r>
        <w:rPr>
          <w:b w:val="0"/>
          <w:i/>
        </w:rPr>
        <w:t>z_i</w:t>
      </w:r>
      <w:r>
        <w:rPr>
          <w:b w:val="0"/>
          <w:i w:val="0"/>
        </w:rPr>
        <w:t xml:space="preserve"> ~ 𝒩(μ_z, σ_z). Baseline demand </w:t>
      </w:r>
      <w:r>
        <w:rPr>
          <w:b w:val="0"/>
          <w:i/>
        </w:rPr>
        <w:t>q</w:t>
      </w:r>
      <w:r>
        <w:rPr>
          <w:b w:val="0"/>
          <w:i w:val="0"/>
        </w:rPr>
        <w:t>⁰_i ~ lognormal(0, 0.35), floored at 0.15.</w:t>
      </w:r>
    </w:p>
    <w:p>
      <w:r>
        <w:rPr>
          <w:b w:val="0"/>
          <w:i w:val="0"/>
        </w:rPr>
        <w:t xml:space="preserve">Chosen sufficiency is initialised as a </w:t>
      </w:r>
      <w:r>
        <w:rPr>
          <w:b/>
          <w:i w:val="0"/>
        </w:rPr>
        <w:t>mixture</w:t>
      </w:r>
      <w:r>
        <w:rPr>
          <w:b w:val="0"/>
          <w:i w:val="0"/>
        </w:rPr>
        <w:t>, not a single mode:</w:t>
      </w:r>
    </w:p>
    <w:p>
      <w:pPr>
        <w:pStyle w:val="IntenseQuote"/>
      </w:pPr>
      <w:r>
        <w:rPr>
          <w:b w:val="0"/>
          <w:i w:val="0"/>
        </w:rPr>
        <w:t>cs_i,0 ~ 𝒩(0.50, 0.15) with probability 0.15 (the committed minority) cs_i,0 ~ 𝒩(0.15, 0.10) otherwise (the mainstream)</w:t>
      </w:r>
    </w:p>
    <w:p>
      <w:r>
        <w:rPr>
          <w:b w:val="0"/>
          <w:i w:val="0"/>
        </w:rPr>
        <w:t xml:space="preserve">The committed minority is the seed on which any demarketing strategy must survive before contagion can operate. This is why the population's </w:t>
      </w:r>
      <w:r>
        <w:rPr>
          <w:b/>
          <w:i w:val="0"/>
        </w:rPr>
        <w:t>variance</w:t>
      </w:r>
      <w:r>
        <w:rPr>
          <w:b w:val="0"/>
          <w:i w:val="0"/>
        </w:rPr>
        <w:t>, not its mean, is the decisive macro parameter (P19).</w:t>
      </w:r>
    </w:p>
    <w:p>
      <w:r>
        <w:rPr>
          <w:b w:val="0"/>
          <w:i w:val="0"/>
        </w:rPr>
        <w:t xml:space="preserve">Social network </w:t>
      </w:r>
      <w:r>
        <w:rPr>
          <w:b w:val="0"/>
          <w:i/>
        </w:rPr>
        <w:t>G</w:t>
      </w:r>
      <w:r>
        <w:rPr>
          <w:b w:val="0"/>
          <w:i w:val="0"/>
        </w:rPr>
        <w:t xml:space="preserve">: Watts–Strogatz small world with </w:t>
      </w:r>
      <w:r>
        <w:rPr>
          <w:b w:val="0"/>
          <w:i/>
        </w:rPr>
        <w:t>k</w:t>
      </w:r>
      <w:r>
        <w:rPr>
          <w:b w:val="0"/>
          <w:i w:val="0"/>
        </w:rPr>
        <w:t xml:space="preserve"> = 8, rewiring </w:t>
      </w:r>
      <w:r>
        <w:rPr>
          <w:b w:val="0"/>
          <w:i/>
        </w:rPr>
        <w:t>p</w:t>
      </w:r>
      <w:r>
        <w:rPr>
          <w:b w:val="0"/>
          <w:i w:val="0"/>
        </w:rPr>
        <w:t xml:space="preserve"> = 0.10; </w:t>
      </w:r>
      <w:r>
        <w:rPr>
          <w:b/>
          <w:i w:val="0"/>
        </w:rPr>
        <w:t>W</w:t>
      </w:r>
      <w:r>
        <w:rPr>
          <w:b w:val="0"/>
          <w:i w:val="0"/>
        </w:rPr>
        <w:t xml:space="preserve"> is its row-normalised adjacency matrix.</w:t>
      </w:r>
    </w:p>
    <w:p>
      <w:r>
        <w:rPr>
          <w:b w:val="0"/>
          <w:i w:val="0"/>
        </w:rPr>
        <w:t xml:space="preserve">Micro-model input, computed once per consumer from the </w:t>
      </w:r>
      <w:r>
        <w:rPr>
          <w:b w:val="0"/>
          <w:i/>
        </w:rPr>
        <w:t>same</w:t>
      </w:r>
      <w:r>
        <w:rPr>
          <w:b w:val="0"/>
          <w:i w:val="0"/>
        </w:rPr>
        <w:t xml:space="preserve"> dual-route function estimated in Studies 2–3:</w:t>
      </w:r>
    </w:p>
    <w:p>
      <w:pPr>
        <w:pStyle w:val="IntenseQuote"/>
      </w:pPr>
      <w:r>
        <w:rPr>
          <w:b w:val="0"/>
          <w:i w:val="0"/>
        </w:rPr>
        <w:t>g_i = CS(S_req, z_i) — the net dual-route valence of the required limit dep_i = max(0, −g_i) — the deprivation excess for consumers past their flip point</w:t>
      </w:r>
    </w:p>
    <w:p>
      <w:r>
        <w:rPr>
          <w:b w:val="0"/>
          <w:i w:val="0"/>
        </w:rPr>
        <w:t xml:space="preserve">Firms: demarketers </w:t>
      </w:r>
      <w:r>
        <w:rPr>
          <w:b w:val="0"/>
          <w:i/>
        </w:rPr>
        <w:t>j</w:t>
      </w:r>
      <w:r>
        <w:rPr>
          <w:b w:val="0"/>
          <w:i w:val="0"/>
        </w:rPr>
        <w:t xml:space="preserve"> ≤ </w:t>
      </w:r>
      <w:r>
        <w:rPr>
          <w:b w:val="0"/>
          <w:i/>
        </w:rPr>
        <w:t>n_dem</w:t>
      </w:r>
      <w:r>
        <w:rPr>
          <w:b w:val="0"/>
          <w:i w:val="0"/>
        </w:rPr>
        <w:t xml:space="preserve"> receive (d_j, r_j) = (d̄, r̄); others (0, 0). Base prices </w:t>
      </w:r>
      <w:r>
        <w:rPr>
          <w:b w:val="0"/>
          <w:i/>
        </w:rPr>
        <w:t>p</w:t>
      </w:r>
      <w:r>
        <w:rPr>
          <w:b w:val="0"/>
          <w:i w:val="0"/>
        </w:rPr>
        <w:t>⁰_j ~ 𝒰(0.96, 1.04). Installed base IB_j = 1.</w:t>
      </w:r>
    </w:p>
    <w:p>
      <w:pPr>
        <w:pStyle w:val="Heading3"/>
      </w:pPr>
      <w:r>
        <w:rPr>
          <w:b w:val="0"/>
          <w:i w:val="0"/>
        </w:rPr>
        <w:t>C.2 Per-period sequence</w:t>
      </w:r>
    </w:p>
    <w:p>
      <w:r>
        <w:rPr>
          <w:b/>
          <w:i w:val="0"/>
        </w:rPr>
        <w:t>(1) Sacrifice credibility and price.</w:t>
      </w:r>
    </w:p>
    <w:p>
      <w:pPr>
        <w:pStyle w:val="IntenseQuote"/>
      </w:pPr>
      <w:r>
        <w:rPr>
          <w:b w:val="0"/>
          <w:i w:val="0"/>
        </w:rPr>
        <w:t>sac_j = d_j (1 − φ r_j),  φ = 0.40 p_j = p⁰_j (1 + π_prem · sac_j),  π_prem = 0.15</w:t>
      </w:r>
    </w:p>
    <w:p>
      <w:r>
        <w:rPr>
          <w:b w:val="0"/>
          <w:i w:val="0"/>
        </w:rPr>
        <w:t>Credible demarketing earns a willingness-to-pay premium, which is simultaneously a cost in the choice model: the firm trades volume for margin.</w:t>
      </w:r>
    </w:p>
    <w:p>
      <w:r>
        <w:rPr>
          <w:b/>
          <w:i w:val="0"/>
        </w:rPr>
        <w:t>(2) Choice — the sign-flipped segment elasticity.</w:t>
      </w:r>
    </w:p>
    <w:p>
      <w:pPr>
        <w:pStyle w:val="IntenseQuote"/>
      </w:pPr>
      <w:r>
        <w:rPr>
          <w:b w:val="0"/>
          <w:i w:val="0"/>
        </w:rPr>
        <w:t>u_ij = β_leg d_j sac_j cs_i − β_disc d_j (1 − (1 − ρ) cs_i) − β_p p_j share_ij = softmax_j(κ_L · u_ij)</w:t>
      </w:r>
    </w:p>
    <w:p>
      <w:r>
        <w:rPr>
          <w:b w:val="0"/>
          <w:i w:val="0"/>
        </w:rPr>
        <w:t>with β_leg = 1.20, β_disc = 0.85, β_p = 0.60, ρ = 0.60 (residual discouragement), κ_L = 2.50 (logit scale). Dead firms receive u = −∞.</w:t>
      </w:r>
    </w:p>
    <w:p>
      <w:r>
        <w:rPr>
          <w:b w:val="0"/>
          <w:i w:val="0"/>
        </w:rPr>
        <w:t>The residual discouragement ρ is load-bearing. Without it the legitimacy premium is unbounded in cs_i and the model runs away to a demarketing monopoly — an artefact, not a prediction. Its substantive interpretation is that a demarketing firm still offers less assortment, less novelty, and lower availability even to fully committed consumers.</w:t>
      </w:r>
    </w:p>
    <w:p>
      <w:r>
        <w:rPr>
          <w:b/>
          <w:i w:val="0"/>
        </w:rPr>
        <w:t>(3) Demand.</w:t>
      </w:r>
    </w:p>
    <w:p>
      <w:pPr>
        <w:pStyle w:val="IntenseQuote"/>
      </w:pPr>
      <w:r>
        <w:rPr>
          <w:b w:val="0"/>
          <w:i w:val="0"/>
        </w:rPr>
        <w:t>q_i = q⁰_i (1 − η cs_i)(1 + ζ rebound_i),  η = 0.55, ζ = 0.60 units_j = Σ_i q_i share_ij (1 − ν d_j) · (1 − δ r_j),  ν = 0.55, δ = 0.30</w:t>
      </w:r>
    </w:p>
    <w:p>
      <w:r>
        <w:rPr>
          <w:b w:val="0"/>
          <w:i w:val="0"/>
        </w:rPr>
        <w:t>The two multipliers separate the demarketing act (ν, own-demand suppression) from durability (δ, lengthened replacement cycles).</w:t>
      </w:r>
    </w:p>
    <w:p>
      <w:r>
        <w:rPr>
          <w:b/>
          <w:i w:val="0"/>
        </w:rPr>
        <w:t>(4) Firm economics.</w:t>
      </w:r>
    </w:p>
    <w:p>
      <w:pPr>
        <w:pStyle w:val="IntenseQuote"/>
      </w:pPr>
      <w:r>
        <w:rPr>
          <w:b w:val="0"/>
          <w:i w:val="0"/>
        </w:rPr>
        <w:t>IB_j ← IB_j (1 − dec(1 − ψ r_j)) + units_j,  dec = 0.10, ψ = 0.65 rev_j = units_j p_j m_u + r_j IB_j f_s m_s (1 + subsidy),  m_u = 0.22, f_s = 0.19, m_s = 0.38 cost_j = FC + c_r r_j R̄ + defector_cost (1 − d_j) units_j,  FC = 0.40 R̄, c_r = 0.14 π_j = rev_j − cost_j</w:t>
      </w:r>
    </w:p>
    <w:p>
      <w:r>
        <w:rPr>
          <w:b w:val="0"/>
          <w:i w:val="0"/>
        </w:rPr>
        <w:t>where R̄ is baseline per-firm gross margin revenue. The reconfiguration cost c_r r_j R̄ represents the capability investment required to decouple revenue from units; without it, reconfiguration would be free money and the model would trivially favour it.</w:t>
      </w:r>
    </w:p>
    <w:p>
      <w:r>
        <w:rPr>
          <w:b/>
          <w:i w:val="0"/>
        </w:rPr>
        <w:t>(5) Exit.</w:t>
      </w:r>
      <w:r>
        <w:rPr>
          <w:b w:val="0"/>
          <w:i w:val="0"/>
        </w:rPr>
        <w:t xml:space="preserve"> A firm exits after </w:t>
      </w:r>
      <w:r>
        <w:rPr>
          <w:rFonts w:ascii="Consolas" w:hAnsi="Consolas"/>
          <w:b w:val="0"/>
          <w:i w:val="0"/>
          <w:sz w:val="19"/>
        </w:rPr>
        <w:t>exit_patience</w:t>
      </w:r>
      <w:r>
        <w:rPr>
          <w:b w:val="0"/>
          <w:i w:val="0"/>
        </w:rPr>
        <w:t xml:space="preserve"> = 12 </w:t>
      </w:r>
      <w:r>
        <w:rPr>
          <w:b w:val="0"/>
          <w:i/>
        </w:rPr>
        <w:t>consecutive</w:t>
      </w:r>
      <w:r>
        <w:rPr>
          <w:b w:val="0"/>
          <w:i w:val="0"/>
        </w:rPr>
        <w:t xml:space="preserve"> periods with π_j / π_ref &lt; −0.05, where π_ref is the market's mean profit at the end of burn-in. Requiring persistence prevents firms dying on a single bad period, which would otherwise kill every demarketer during its investment phase and make the niche and tipping regimes unreachable.</w:t>
      </w:r>
    </w:p>
    <w:p>
      <w:r>
        <w:rPr>
          <w:b/>
          <w:i w:val="0"/>
        </w:rPr>
        <w:t>(6) Supply-side imitation.</w:t>
      </w:r>
      <w:r>
        <w:rPr>
          <w:b w:val="0"/>
          <w:i w:val="0"/>
        </w:rPr>
        <w:t xml:space="preserve"> Each period, with probability 0.08, a firm compares its profit with a randomly chosen rival's and, if the rival is more profitable, moves (d_j, r_j) 20% of the way toward the rival's. Demarketing therefore spreads or dies </w:t>
      </w:r>
      <w:r>
        <w:rPr>
          <w:b/>
          <w:i w:val="0"/>
        </w:rPr>
        <w:t>endogenously</w:t>
      </w:r>
      <w:r>
        <w:rPr>
          <w:b w:val="0"/>
          <w:i w:val="0"/>
        </w:rPr>
        <w:t>.</w:t>
      </w:r>
    </w:p>
    <w:p>
      <w:r>
        <w:rPr>
          <w:b/>
          <w:i w:val="0"/>
        </w:rPr>
        <w:t>(7) Contagion and the micro–macro bridge.</w:t>
      </w:r>
    </w:p>
    <w:p>
      <w:pPr>
        <w:pStyle w:val="IntenseQuote"/>
      </w:pPr>
      <w:r>
        <w:rPr>
          <w:b w:val="0"/>
          <w:i w:val="0"/>
        </w:rPr>
        <w:t>exposure_i = Σ_j share_ij d_j sac_j cs*_i = clip( disposition_i + γ g_i + λ (W cs)_i , 0, 1 ),  γ = 0.35 cs_i ← clip( cs_i + κ exposure_i + θ (cs*_i − cs_i) + norm_i , 0, 1 ),  κ = 0.08, θ = 0.12 norm_i = norm_signal · 𝟙[g_i &gt; 0]</w:t>
      </w:r>
    </w:p>
    <w:p>
      <w:r>
        <w:rPr>
          <w:b w:val="0"/>
          <w:i w:val="0"/>
        </w:rPr>
        <w:t>Three design decisions matter here.</w:t>
      </w:r>
    </w:p>
    <w:p>
      <w:r>
        <w:rPr>
          <w:b w:val="0"/>
          <w:i/>
        </w:rPr>
        <w:t>Contagion enters the attractor, not the level.</w:t>
      </w:r>
      <w:r>
        <w:rPr>
          <w:b w:val="0"/>
          <w:i w:val="0"/>
        </w:rPr>
        <w:t xml:space="preserve"> Averaging toward neighbours homogenises a population; it cannot raise its mean. Because (W cs) is endogenous, the population fixed point is approximately cs ≈ (disposition + γg)/(1 − λ), making λ a genuine </w:t>
      </w:r>
      <w:r>
        <w:rPr>
          <w:b/>
          <w:i w:val="0"/>
        </w:rPr>
        <w:t>social multiplier</w:t>
      </w:r>
      <w:r>
        <w:rPr>
          <w:b w:val="0"/>
          <w:i w:val="0"/>
        </w:rPr>
        <w:t xml:space="preserve"> that diverges as λ → 1. That divergence is the tipping mechanism.</w:t>
      </w:r>
    </w:p>
    <w:p>
      <w:r>
        <w:rPr>
          <w:b w:val="0"/>
          <w:i/>
        </w:rPr>
        <w:t>The attractor is person-specific.</w:t>
      </w:r>
      <w:r>
        <w:rPr>
          <w:b w:val="0"/>
          <w:i w:val="0"/>
        </w:rPr>
        <w:t xml:space="preserve"> Relaxation toward cs*_i rather than toward zero preserves population heterogeneity, including the committed minority, and lets the micro model shift each consumer's attractor up (affirmation) or down (deprivation) individually.</w:t>
      </w:r>
    </w:p>
    <w:p>
      <w:r>
        <w:rPr>
          <w:b w:val="0"/>
          <w:i/>
        </w:rPr>
        <w:t>Norm signals are gated on g_i &gt; 0.</w:t>
      </w:r>
      <w:r>
        <w:rPr>
          <w:b w:val="0"/>
          <w:i w:val="0"/>
        </w:rPr>
        <w:t xml:space="preserve"> Broadcasting a sufficiency norm at consumers who experience the limit as deprivation does not manufacture consent; it manufactures reactance, handled in (8).</w:t>
      </w:r>
    </w:p>
    <w:p>
      <w:r>
        <w:rPr>
          <w:b/>
          <w:i w:val="0"/>
        </w:rPr>
        <w:t>(8) Reactance and rebound.</w:t>
      </w:r>
    </w:p>
    <w:p>
      <w:pPr>
        <w:pStyle w:val="IntenseQuote"/>
      </w:pPr>
      <w:r>
        <w:rPr>
          <w:b w:val="0"/>
          <w:i w:val="0"/>
        </w:rPr>
        <w:t>pressure_i = exposure_i + pol_pressure rebound_i ← clip( rebound_i + ξ dep_i pressure_i − 0.10 rebound_i , 0, 1 ),  ξ = 0.55</w:t>
      </w:r>
    </w:p>
    <w:p>
      <w:r>
        <w:rPr>
          <w:b w:val="0"/>
          <w:i w:val="0"/>
        </w:rPr>
        <w:t xml:space="preserve">Reactance accumulates only where a limit is deprivating </w:t>
      </w:r>
      <w:r>
        <w:rPr>
          <w:b/>
          <w:i w:val="0"/>
        </w:rPr>
        <w:t>and</w:t>
      </w:r>
      <w:r>
        <w:rPr>
          <w:b w:val="0"/>
          <w:i w:val="0"/>
        </w:rPr>
        <w:t xml:space="preserve"> the consumer is subject to sufficiency pressure, from firms or from institutions. Being told to consume less is what converts latent deprivation into active reactance and reactance into compensatory displacement. This is the macro image of the CDC construct in the micro model, and it generates the backlash regime.</w:t>
      </w:r>
    </w:p>
    <w:p>
      <w:pPr>
        <w:pStyle w:val="Heading3"/>
      </w:pPr>
      <w:r>
        <w:rPr>
          <w:b w:val="0"/>
          <w:i w:val="0"/>
        </w:rPr>
        <w:t>C.3 Policy instruments</w:t>
      </w:r>
    </w:p>
    <w:p>
      <w:r>
        <w:rPr>
          <w:b w:val="0"/>
          <w:i w:val="0"/>
        </w:rPr>
        <w:t>Policy intensity ℓ ∈ [0, 1] sets: repair subsidy = 0.50ℓ; defector cost = 0.09ℓ; norm signal = 0.010ℓ; consumer-facing sufficiency pressure = 0.60ℓ.</w:t>
      </w:r>
    </w:p>
    <w:p>
      <w:pPr>
        <w:pStyle w:val="Heading3"/>
      </w:pPr>
      <w:r>
        <w:rPr>
          <w:b w:val="0"/>
          <w:i w:val="0"/>
        </w:rPr>
        <w:t>C.4 Outcome measures</w:t>
      </w:r>
    </w:p>
    <w:p>
      <w:r>
        <w:rPr>
          <w:b w:val="0"/>
          <w:i w:val="0"/>
        </w:rPr>
        <w:t xml:space="preserve">The counterfactual is </w:t>
      </w:r>
      <w:r>
        <w:rPr>
          <w:b/>
          <w:i w:val="0"/>
        </w:rPr>
        <w:t>business as usual</w:t>
      </w:r>
      <w:r>
        <w:rPr>
          <w:b w:val="0"/>
          <w:i w:val="0"/>
        </w:rPr>
        <w:t xml:space="preserve">: no demarketing </w:t>
      </w:r>
      <w:r>
        <w:rPr>
          <w:b w:val="0"/>
          <w:i/>
        </w:rPr>
        <w:t>and</w:t>
      </w:r>
      <w:r>
        <w:rPr>
          <w:b w:val="0"/>
          <w:i w:val="0"/>
        </w:rPr>
        <w:t xml:space="preserve"> no policy, same seed. Measuring against a policy-inclusive baseline would conceal policy-induced backlash, which is one of the regimes the theory predicts.</w:t>
      </w:r>
    </w:p>
    <w:p>
      <w:pPr>
        <w:pStyle w:val="IntenseQuote"/>
      </w:pPr>
      <w:r>
        <w:rPr>
          <w:b w:val="0"/>
          <w:i w:val="0"/>
        </w:rPr>
        <w:t>Δthroughput = (Q_base − Q_treat) / Q_base leakage = 1 − (Q_base − Q_treat) / (units forgone at demarketers) relative profit = π̄_demarketers,treat / π̄_all,base PMV = 1 iff (no demarketer exit) ∧ (relative profit ≥ 0.95) ∧ (Δthroughput &gt; 0.10)</w:t>
      </w:r>
    </w:p>
    <w:p>
      <w:r>
        <w:rPr>
          <w:b/>
          <w:i w:val="0"/>
        </w:rPr>
        <w:t>Regime classification</w:t>
      </w:r>
      <w:r>
        <w:rPr>
          <w:b w:val="0"/>
          <w:i w:val="0"/>
        </w:rPr>
        <w:t xml:space="preserve"> (order matters; failure modes are diagnosed first):</w:t>
      </w:r>
    </w:p>
    <w:tbl>
      <w:tblPr>
        <w:tblStyle w:val="LightGrid-Accent1"/>
        <w:tblW w:type="auto" w:w="0"/>
        <w:tblLook w:firstColumn="1" w:firstRow="1" w:lastColumn="0" w:lastRow="0" w:noHBand="0" w:noVBand="1" w:val="04A0"/>
      </w:tblPr>
      <w:tblGrid>
        <w:gridCol w:w="4320"/>
        <w:gridCol w:w="4320"/>
      </w:tblGrid>
      <w:tr>
        <w:tc>
          <w:tcPr>
            <w:tcW w:type="dxa" w:w="4320"/>
          </w:tcPr>
          <w:p>
            <w:r>
              <w:rPr>
                <w:rFonts w:ascii="Calibri" w:hAnsi="Calibri"/>
                <w:b/>
                <w:sz w:val="17"/>
              </w:rPr>
            </w:r>
            <w:r>
              <w:rPr>
                <w:rFonts w:ascii="Calibri" w:hAnsi="Calibri"/>
                <w:b/>
                <w:i w:val="0"/>
                <w:sz w:val="17"/>
              </w:rPr>
              <w:t>Regime</w:t>
            </w:r>
          </w:p>
        </w:tc>
        <w:tc>
          <w:tcPr>
            <w:tcW w:type="dxa" w:w="4320"/>
          </w:tcPr>
          <w:p>
            <w:r>
              <w:rPr>
                <w:rFonts w:ascii="Calibri" w:hAnsi="Calibri"/>
                <w:b/>
                <w:sz w:val="17"/>
              </w:rPr>
            </w:r>
            <w:r>
              <w:rPr>
                <w:rFonts w:ascii="Calibri" w:hAnsi="Calibri"/>
                <w:b/>
                <w:i w:val="0"/>
                <w:sz w:val="17"/>
              </w:rPr>
              <w:t>Condition</w:t>
            </w:r>
          </w:p>
        </w:tc>
      </w:tr>
      <w:tr>
        <w:tc>
          <w:tcPr>
            <w:tcW w:type="dxa" w:w="4320"/>
          </w:tcPr>
          <w:p>
            <w:r>
              <w:rPr>
                <w:rFonts w:ascii="Calibri" w:hAnsi="Calibri"/>
                <w:sz w:val="17"/>
              </w:rPr>
            </w:r>
            <w:r>
              <w:rPr>
                <w:rFonts w:ascii="Calibri" w:hAnsi="Calibri"/>
                <w:b w:val="0"/>
                <w:i w:val="0"/>
                <w:sz w:val="17"/>
              </w:rPr>
              <w:t>Backlash</w:t>
            </w:r>
          </w:p>
        </w:tc>
        <w:tc>
          <w:tcPr>
            <w:tcW w:type="dxa" w:w="4320"/>
          </w:tcPr>
          <w:p>
            <w:r>
              <w:rPr>
                <w:rFonts w:ascii="Calibri" w:hAnsi="Calibri"/>
                <w:sz w:val="17"/>
              </w:rPr>
            </w:r>
            <w:r>
              <w:rPr>
                <w:rFonts w:ascii="Calibri" w:hAnsi="Calibri"/>
                <w:b w:val="0"/>
                <w:i w:val="0"/>
                <w:sz w:val="17"/>
              </w:rPr>
              <w:t>Δthroughput &lt; −0.02</w:t>
            </w:r>
          </w:p>
        </w:tc>
      </w:tr>
      <w:tr>
        <w:tc>
          <w:tcPr>
            <w:tcW w:type="dxa" w:w="4320"/>
          </w:tcPr>
          <w:p>
            <w:r>
              <w:rPr>
                <w:rFonts w:ascii="Calibri" w:hAnsi="Calibri"/>
                <w:sz w:val="17"/>
              </w:rPr>
            </w:r>
            <w:r>
              <w:rPr>
                <w:rFonts w:ascii="Calibri" w:hAnsi="Calibri"/>
                <w:b w:val="0"/>
                <w:i w:val="0"/>
                <w:sz w:val="17"/>
              </w:rPr>
              <w:t>Collapse</w:t>
            </w:r>
          </w:p>
        </w:tc>
        <w:tc>
          <w:tcPr>
            <w:tcW w:type="dxa" w:w="4320"/>
          </w:tcPr>
          <w:p>
            <w:r>
              <w:rPr>
                <w:rFonts w:ascii="Calibri" w:hAnsi="Calibri"/>
                <w:sz w:val="17"/>
              </w:rPr>
            </w:r>
            <w:r>
              <w:rPr>
                <w:rFonts w:ascii="Calibri" w:hAnsi="Calibri"/>
                <w:b w:val="0"/>
                <w:i w:val="0"/>
                <w:sz w:val="17"/>
              </w:rPr>
              <w:t>demarketer exit, or relative profit ≤ 0</w:t>
            </w:r>
          </w:p>
        </w:tc>
      </w:tr>
      <w:tr>
        <w:tc>
          <w:tcPr>
            <w:tcW w:type="dxa" w:w="4320"/>
          </w:tcPr>
          <w:p>
            <w:r>
              <w:rPr>
                <w:rFonts w:ascii="Calibri" w:hAnsi="Calibri"/>
                <w:sz w:val="17"/>
              </w:rPr>
            </w:r>
            <w:r>
              <w:rPr>
                <w:rFonts w:ascii="Calibri" w:hAnsi="Calibri"/>
                <w:b w:val="0"/>
                <w:i w:val="0"/>
                <w:sz w:val="17"/>
              </w:rPr>
              <w:t>Futility</w:t>
            </w:r>
          </w:p>
        </w:tc>
        <w:tc>
          <w:tcPr>
            <w:tcW w:type="dxa" w:w="4320"/>
          </w:tcPr>
          <w:p>
            <w:r>
              <w:rPr>
                <w:rFonts w:ascii="Calibri" w:hAnsi="Calibri"/>
                <w:sz w:val="17"/>
              </w:rPr>
            </w:r>
            <w:r>
              <w:rPr>
                <w:rFonts w:ascii="Calibri" w:hAnsi="Calibri"/>
                <w:b w:val="0"/>
                <w:i w:val="0"/>
                <w:sz w:val="17"/>
              </w:rPr>
              <w:t>Δthroughput &lt; 0.05</w:t>
            </w:r>
          </w:p>
        </w:tc>
      </w:tr>
      <w:tr>
        <w:tc>
          <w:tcPr>
            <w:tcW w:type="dxa" w:w="4320"/>
          </w:tcPr>
          <w:p>
            <w:r>
              <w:rPr>
                <w:rFonts w:ascii="Calibri" w:hAnsi="Calibri"/>
                <w:sz w:val="17"/>
              </w:rPr>
            </w:r>
            <w:r>
              <w:rPr>
                <w:rFonts w:ascii="Calibri" w:hAnsi="Calibri"/>
                <w:b w:val="0"/>
                <w:i w:val="0"/>
                <w:sz w:val="17"/>
              </w:rPr>
              <w:t>Niche</w:t>
            </w:r>
          </w:p>
        </w:tc>
        <w:tc>
          <w:tcPr>
            <w:tcW w:type="dxa" w:w="4320"/>
          </w:tcPr>
          <w:p>
            <w:r>
              <w:rPr>
                <w:rFonts w:ascii="Calibri" w:hAnsi="Calibri"/>
                <w:sz w:val="17"/>
              </w:rPr>
            </w:r>
            <w:r>
              <w:rPr>
                <w:rFonts w:ascii="Calibri" w:hAnsi="Calibri"/>
                <w:b w:val="0"/>
                <w:i w:val="0"/>
                <w:sz w:val="17"/>
              </w:rPr>
              <w:t>0.05 ≤ Δthroughput &lt; 0.20 and viable</w:t>
            </w:r>
          </w:p>
        </w:tc>
      </w:tr>
      <w:tr>
        <w:tc>
          <w:tcPr>
            <w:tcW w:type="dxa" w:w="4320"/>
          </w:tcPr>
          <w:p>
            <w:r>
              <w:rPr>
                <w:rFonts w:ascii="Calibri" w:hAnsi="Calibri"/>
                <w:sz w:val="17"/>
              </w:rPr>
            </w:r>
            <w:r>
              <w:rPr>
                <w:rFonts w:ascii="Calibri" w:hAnsi="Calibri"/>
                <w:b w:val="0"/>
                <w:i w:val="0"/>
                <w:sz w:val="17"/>
              </w:rPr>
              <w:t>Tipping</w:t>
            </w:r>
          </w:p>
        </w:tc>
        <w:tc>
          <w:tcPr>
            <w:tcW w:type="dxa" w:w="4320"/>
          </w:tcPr>
          <w:p>
            <w:r>
              <w:rPr>
                <w:rFonts w:ascii="Calibri" w:hAnsi="Calibri"/>
                <w:sz w:val="17"/>
              </w:rPr>
            </w:r>
            <w:r>
              <w:rPr>
                <w:rFonts w:ascii="Calibri" w:hAnsi="Calibri"/>
                <w:b w:val="0"/>
                <w:i w:val="0"/>
                <w:sz w:val="17"/>
              </w:rPr>
              <w:t>Δthroughput ≥ 0.20 and viable</w:t>
            </w:r>
          </w:p>
        </w:tc>
      </w:tr>
      <w:tr>
        <w:tc>
          <w:tcPr>
            <w:tcW w:type="dxa" w:w="4320"/>
          </w:tcPr>
          <w:p>
            <w:r>
              <w:rPr>
                <w:rFonts w:ascii="Calibri" w:hAnsi="Calibri"/>
                <w:sz w:val="17"/>
              </w:rPr>
            </w:r>
            <w:r>
              <w:rPr>
                <w:rFonts w:ascii="Calibri" w:hAnsi="Calibri"/>
                <w:b w:val="0"/>
                <w:i w:val="0"/>
                <w:sz w:val="17"/>
              </w:rPr>
              <w:t>Strained</w:t>
            </w:r>
          </w:p>
        </w:tc>
        <w:tc>
          <w:tcPr>
            <w:tcW w:type="dxa" w:w="4320"/>
          </w:tcPr>
          <w:p>
            <w:r>
              <w:rPr>
                <w:rFonts w:ascii="Calibri" w:hAnsi="Calibri"/>
                <w:sz w:val="17"/>
              </w:rPr>
            </w:r>
            <w:r>
              <w:rPr>
                <w:rFonts w:ascii="Calibri" w:hAnsi="Calibri"/>
                <w:b w:val="0"/>
                <w:i w:val="0"/>
                <w:sz w:val="17"/>
              </w:rPr>
              <w:t>reduction achieved only by eroding demarketer profitability</w:t>
            </w:r>
          </w:p>
        </w:tc>
      </w:tr>
    </w:tbl>
    <w:p>
      <w:r>
        <w:rPr>
          <w:b w:val="0"/>
          <w:i w:val="0"/>
        </w:rPr>
        <w:t xml:space="preserve">Only </w:t>
      </w:r>
      <w:r>
        <w:rPr>
          <w:b/>
          <w:i w:val="0"/>
        </w:rPr>
        <w:t>demarketer</w:t>
      </w:r>
      <w:r>
        <w:rPr>
          <w:b w:val="0"/>
          <w:i w:val="0"/>
        </w:rPr>
        <w:t xml:space="preserve"> exit counts as collapse. A conventional volume incumbent exiting during a successful transition is incumbent displacement, not failure; conflating the two mislabels the theory's success case as its failure case. (This was a genuine bug in an earlier version of the analysis, caught by inspecting the phase diagram: the high-λ, high-</w:t>
      </w:r>
      <w:r>
        <w:rPr>
          <w:b w:val="0"/>
          <w:i/>
        </w:rPr>
        <w:t>r</w:t>
      </w:r>
      <w:r>
        <w:rPr>
          <w:b w:val="0"/>
          <w:i w:val="0"/>
        </w:rPr>
        <w:t>, high-policy corner was being coded as "collapse" because incumbents were dying.)</w:t>
      </w:r>
    </w:p>
    <w:p>
      <w:pPr>
        <w:jc w:val="center"/>
      </w:pPr>
      <w:r>
        <w:rPr>
          <w:color w:val="BBBBBB"/>
        </w:rPr>
        <w:t>____________________________________________________________</w:t>
      </w:r>
    </w:p>
    <w:p>
      <w:pPr>
        <w:pStyle w:val="Heading2"/>
      </w:pPr>
      <w:r>
        <w:rPr>
          <w:b w:val="0"/>
          <w:i w:val="0"/>
        </w:rPr>
        <w:t>D. Study 4 calibration search</w:t>
      </w:r>
    </w:p>
    <w:p>
      <w:r>
        <w:rPr>
          <w:b w:val="0"/>
          <w:i w:val="0"/>
        </w:rPr>
        <w:t xml:space="preserve">The theory predicts five qualitatively distinct regimes. A model that cannot produce all five is not a test of the theory; a model that produces any regime for any parameters has no content. We therefore searched the three firm-economics parameters that govern the value of reconfiguration for a region in which all five regimes are reachable </w:t>
      </w:r>
      <w:r>
        <w:rPr>
          <w:b/>
          <w:i w:val="0"/>
        </w:rPr>
        <w:t>from their theoretically specified configurations</w:t>
      </w:r>
      <w:r>
        <w:rPr>
          <w:b w:val="0"/>
          <w:i w:val="0"/>
        </w:rPr>
        <w:t>, and report the search rather than asserting the result.</w:t>
      </w:r>
    </w:p>
    <w:p>
      <w:r>
        <w:rPr>
          <w:b w:val="0"/>
          <w:i w:val="0"/>
        </w:rPr>
        <w:t>Grid: service fee ∈ {0.115, 0.140, 0.165, 0.190} × reconfiguration cost share ∈ {0.10, 0.14, 0.18} × repair-subsidy coefficient ∈ {0.35, 0.50, 0.80}. 36 cells, each evaluated on all five scenarios.</w:t>
      </w:r>
    </w:p>
    <w:p>
      <w:r>
        <w:rPr>
          <w:b w:val="0"/>
          <w:i w:val="0"/>
        </w:rPr>
        <w:t xml:space="preserve">Selected parameterisation: </w:t>
      </w:r>
      <w:r>
        <w:rPr>
          <w:b/>
          <w:i w:val="0"/>
        </w:rPr>
        <w:t>service fee 0.19, reconfiguration cost share 0.14, subsidy coefficient 0.50</w:t>
      </w:r>
      <w:r>
        <w:rPr>
          <w:b w:val="0"/>
          <w:i w:val="0"/>
        </w:rPr>
        <w:t xml:space="preserve"> — chosen as interior in two of three dimensions rather than for maximum effect size. All five regimes are reproduced. Full search: </w:t>
      </w:r>
      <w:r>
        <w:rPr>
          <w:rFonts w:ascii="Consolas" w:hAnsi="Consolas"/>
          <w:b w:val="0"/>
          <w:i w:val="0"/>
          <w:sz w:val="19"/>
        </w:rPr>
        <w:t>../analysis/output/tables/calibration_search.csv</w:t>
      </w:r>
      <w:r>
        <w:rPr>
          <w:b w:val="0"/>
          <w:i w:val="0"/>
        </w:rPr>
        <w:t xml:space="preserve">; script: </w:t>
      </w:r>
      <w:r>
        <w:rPr>
          <w:rFonts w:ascii="Consolas" w:hAnsi="Consolas"/>
          <w:b w:val="0"/>
          <w:i w:val="0"/>
          <w:sz w:val="19"/>
        </w:rPr>
        <w:t>../analysis/src/calibrate_abm.py</w:t>
      </w:r>
      <w:r>
        <w:rPr>
          <w:b w:val="0"/>
          <w:i w:val="0"/>
        </w:rPr>
        <w:t>.</w:t>
      </w:r>
    </w:p>
    <w:p>
      <w:r>
        <w:rPr>
          <w:b/>
          <w:i w:val="0"/>
        </w:rPr>
        <w:t>Disclosed limitation.</w:t>
      </w:r>
      <w:r>
        <w:rPr>
          <w:b w:val="0"/>
          <w:i w:val="0"/>
        </w:rPr>
        <w:t xml:space="preserve"> The service fee sits at the upper bound of the searched grid. Values below approximately 0.165 make the niche regime unreachable (the reconfigured demarketer becomes "strained" rather than viable), because reconfiguration is then insufficiently remunerative to cover its own capability cost. The structural results — complementarity, the λ*(r) frontier, the inequality result — hold throughout the region where all five regimes exist, but the </w:t>
      </w:r>
      <w:r>
        <w:rPr>
          <w:b w:val="0"/>
          <w:i/>
        </w:rPr>
        <w:t>level</w:t>
      </w:r>
      <w:r>
        <w:rPr>
          <w:b w:val="0"/>
          <w:i w:val="0"/>
        </w:rPr>
        <w:t xml:space="preserve"> of the tipping regime's profitability is sensitive to this parameter and should not be quoted as a forecast.</w:t>
      </w:r>
    </w:p>
    <w:p>
      <w:r>
        <w:rPr>
          <w:b w:val="0"/>
          <w:i w:val="0"/>
        </w:rPr>
        <w:t xml:space="preserve">Similarly, the micro parameters were calibrated so that the limit-architecture levers produce vignette-experiment effect sizes in the </w:t>
      </w:r>
      <w:r>
        <w:rPr>
          <w:b w:val="0"/>
          <w:i/>
        </w:rPr>
        <w:t>d</w:t>
      </w:r>
      <w:r>
        <w:rPr>
          <w:b w:val="0"/>
          <w:i w:val="0"/>
        </w:rPr>
        <w:t xml:space="preserve"> = .20–.40 range with a best-versus-worst contrast near </w:t>
      </w:r>
      <w:r>
        <w:rPr>
          <w:b w:val="0"/>
          <w:i/>
        </w:rPr>
        <w:t>d</w:t>
      </w:r>
      <w:r>
        <w:rPr>
          <w:b w:val="0"/>
          <w:i w:val="0"/>
        </w:rPr>
        <w:t xml:space="preserve"> = .6 (</w:t>
      </w:r>
      <w:r>
        <w:rPr>
          <w:rFonts w:ascii="Consolas" w:hAnsi="Consolas"/>
          <w:b w:val="0"/>
          <w:i w:val="0"/>
          <w:sz w:val="19"/>
        </w:rPr>
        <w:t>../analysis/src/calibrate_micro.py</w:t>
      </w:r>
      <w:r>
        <w:rPr>
          <w:b w:val="0"/>
          <w:i w:val="0"/>
        </w:rPr>
        <w:t>). Study 1's power curves are conditional on those magnitudes; halving them roughly quadruples the required sample sizes.</w:t>
      </w:r>
    </w:p>
    <w:p>
      <w:pPr>
        <w:jc w:val="center"/>
      </w:pPr>
      <w:r>
        <w:rPr>
          <w:color w:val="BBBBBB"/>
        </w:rPr>
        <w:t>____________________________________________________________</w:t>
      </w:r>
    </w:p>
    <w:p>
      <w:pPr>
        <w:pStyle w:val="Heading2"/>
      </w:pPr>
      <w:r>
        <w:rPr>
          <w:b w:val="0"/>
          <w:i w:val="0"/>
        </w:rPr>
        <w:t>E. Robustness checks and known fragilities</w:t>
      </w:r>
    </w:p>
    <w:p>
      <w:pPr>
        <w:pStyle w:val="Heading3"/>
      </w:pPr>
      <w:r>
        <w:rPr>
          <w:b w:val="0"/>
          <w:i w:val="0"/>
        </w:rPr>
        <w:t>E.1 Checks performed</w:t>
      </w:r>
    </w:p>
    <w:tbl>
      <w:tblPr>
        <w:tblStyle w:val="LightGrid-Accent1"/>
        <w:tblW w:type="auto" w:w="0"/>
        <w:tblLook w:firstColumn="1" w:firstRow="1" w:lastColumn="0" w:lastRow="0" w:noHBand="0" w:noVBand="1" w:val="04A0"/>
      </w:tblPr>
      <w:tblGrid>
        <w:gridCol w:w="4320"/>
        <w:gridCol w:w="4320"/>
      </w:tblGrid>
      <w:tr>
        <w:tc>
          <w:tcPr>
            <w:tcW w:type="dxa" w:w="4320"/>
          </w:tcPr>
          <w:p>
            <w:r>
              <w:rPr>
                <w:rFonts w:ascii="Calibri" w:hAnsi="Calibri"/>
                <w:b/>
                <w:sz w:val="17"/>
              </w:rPr>
            </w:r>
            <w:r>
              <w:rPr>
                <w:rFonts w:ascii="Calibri" w:hAnsi="Calibri"/>
                <w:b/>
                <w:i w:val="0"/>
                <w:sz w:val="17"/>
              </w:rPr>
              <w:t>Check</w:t>
            </w:r>
          </w:p>
        </w:tc>
        <w:tc>
          <w:tcPr>
            <w:tcW w:type="dxa" w:w="4320"/>
          </w:tcPr>
          <w:p>
            <w:r>
              <w:rPr>
                <w:rFonts w:ascii="Calibri" w:hAnsi="Calibri"/>
                <w:b/>
                <w:sz w:val="17"/>
              </w:rPr>
            </w:r>
            <w:r>
              <w:rPr>
                <w:rFonts w:ascii="Calibri" w:hAnsi="Calibri"/>
                <w:b/>
                <w:i w:val="0"/>
                <w:sz w:val="17"/>
              </w:rPr>
              <w:t>Result</w:t>
            </w:r>
          </w:p>
        </w:tc>
      </w:tr>
      <w:tr>
        <w:tc>
          <w:tcPr>
            <w:tcW w:type="dxa" w:w="4320"/>
          </w:tcPr>
          <w:p>
            <w:r>
              <w:rPr>
                <w:rFonts w:ascii="Calibri" w:hAnsi="Calibri"/>
                <w:sz w:val="17"/>
              </w:rPr>
            </w:r>
            <w:r>
              <w:rPr>
                <w:rFonts w:ascii="Calibri" w:hAnsi="Calibri"/>
                <w:b w:val="0"/>
                <w:i w:val="0"/>
                <w:sz w:val="17"/>
              </w:rPr>
              <w:t>CFA with deliberate misspecification (6 cross-loadings, 5 correlated residual pairs, common-method factor)</w:t>
            </w:r>
          </w:p>
        </w:tc>
        <w:tc>
          <w:tcPr>
            <w:tcW w:type="dxa" w:w="4320"/>
          </w:tcPr>
          <w:p>
            <w:r>
              <w:rPr>
                <w:rFonts w:ascii="Calibri" w:hAnsi="Calibri"/>
                <w:sz w:val="17"/>
              </w:rPr>
            </w:r>
            <w:r>
              <w:rPr>
                <w:rFonts w:ascii="Calibri" w:hAnsi="Calibri"/>
                <w:b w:val="0"/>
                <w:i w:val="0"/>
                <w:sz w:val="17"/>
              </w:rPr>
              <w:t>CFI = .985, RMSEA = .017 — good but not perfect, as required for the exercise to be informative</w:t>
            </w:r>
          </w:p>
        </w:tc>
      </w:tr>
      <w:tr>
        <w:tc>
          <w:tcPr>
            <w:tcW w:type="dxa" w:w="4320"/>
          </w:tcPr>
          <w:p>
            <w:r>
              <w:rPr>
                <w:rFonts w:ascii="Calibri" w:hAnsi="Calibri"/>
                <w:sz w:val="17"/>
              </w:rPr>
            </w:r>
            <w:r>
              <w:rPr>
                <w:rFonts w:ascii="Calibri" w:hAnsi="Calibri"/>
                <w:b w:val="0"/>
                <w:i w:val="0"/>
                <w:sz w:val="17"/>
              </w:rPr>
              <w:t>Monte Carlo recovery, 500 reps × 6 sample sizes</w:t>
            </w:r>
          </w:p>
        </w:tc>
        <w:tc>
          <w:tcPr>
            <w:tcW w:type="dxa" w:w="4320"/>
          </w:tcPr>
          <w:p>
            <w:r>
              <w:rPr>
                <w:rFonts w:ascii="Calibri" w:hAnsi="Calibri"/>
                <w:sz w:val="17"/>
              </w:rPr>
            </w:r>
            <w:r>
              <w:rPr>
                <w:rFonts w:ascii="Calibri" w:hAnsi="Calibri"/>
                <w:b w:val="0"/>
                <w:i w:val="0"/>
                <w:sz w:val="17"/>
              </w:rPr>
              <w:t>max abs bias .085; mean coverage .958; min coverage .926</w:t>
            </w:r>
          </w:p>
        </w:tc>
      </w:tr>
      <w:tr>
        <w:tc>
          <w:tcPr>
            <w:tcW w:type="dxa" w:w="4320"/>
          </w:tcPr>
          <w:p>
            <w:r>
              <w:rPr>
                <w:rFonts w:ascii="Calibri" w:hAnsi="Calibri"/>
                <w:sz w:val="17"/>
              </w:rPr>
            </w:r>
            <w:r>
              <w:rPr>
                <w:rFonts w:ascii="Calibri" w:hAnsi="Calibri"/>
                <w:b w:val="0"/>
                <w:i w:val="0"/>
                <w:sz w:val="17"/>
              </w:rPr>
              <w:t>Directional power for every focal path</w:t>
            </w:r>
          </w:p>
        </w:tc>
        <w:tc>
          <w:tcPr>
            <w:tcW w:type="dxa" w:w="4320"/>
          </w:tcPr>
          <w:p>
            <w:r>
              <w:rPr>
                <w:rFonts w:ascii="Calibri" w:hAnsi="Calibri"/>
                <w:sz w:val="17"/>
              </w:rPr>
            </w:r>
            <w:r>
              <w:rPr>
                <w:rFonts w:ascii="Calibri" w:hAnsi="Calibri"/>
                <w:b w:val="0"/>
                <w:i w:val="0"/>
                <w:sz w:val="17"/>
              </w:rPr>
              <w:t xml:space="preserve">26/28 reach 80% by </w:t>
            </w:r>
            <w:r>
              <w:rPr>
                <w:rFonts w:ascii="Calibri" w:hAnsi="Calibri"/>
                <w:b w:val="0"/>
                <w:i/>
                <w:sz w:val="17"/>
              </w:rPr>
              <w:t>N</w:t>
            </w:r>
            <w:r>
              <w:rPr>
                <w:rFonts w:ascii="Calibri" w:hAnsi="Calibri"/>
                <w:b w:val="0"/>
                <w:i w:val="0"/>
                <w:sz w:val="17"/>
              </w:rPr>
              <w:t xml:space="preserve"> = 1,600; the two that do not are identified and explained</w:t>
            </w:r>
          </w:p>
        </w:tc>
      </w:tr>
      <w:tr>
        <w:tc>
          <w:tcPr>
            <w:tcW w:type="dxa" w:w="4320"/>
          </w:tcPr>
          <w:p>
            <w:r>
              <w:rPr>
                <w:rFonts w:ascii="Calibri" w:hAnsi="Calibri"/>
                <w:sz w:val="17"/>
              </w:rPr>
            </w:r>
            <w:r>
              <w:rPr>
                <w:rFonts w:ascii="Calibri" w:hAnsi="Calibri"/>
                <w:b w:val="0"/>
                <w:i w:val="0"/>
                <w:sz w:val="17"/>
              </w:rPr>
              <w:t>Predicted-null path Type I rate</w:t>
            </w:r>
          </w:p>
        </w:tc>
        <w:tc>
          <w:tcPr>
            <w:tcW w:type="dxa" w:w="4320"/>
          </w:tcPr>
          <w:p>
            <w:r>
              <w:rPr>
                <w:rFonts w:ascii="Calibri" w:hAnsi="Calibri"/>
                <w:sz w:val="17"/>
              </w:rPr>
            </w:r>
            <w:r>
              <w:rPr>
                <w:rFonts w:ascii="Calibri" w:hAnsi="Calibri"/>
                <w:b w:val="0"/>
                <w:i w:val="0"/>
                <w:sz w:val="17"/>
              </w:rPr>
              <w:t xml:space="preserve">.054 at </w:t>
            </w:r>
            <w:r>
              <w:rPr>
                <w:rFonts w:ascii="Calibri" w:hAnsi="Calibri"/>
                <w:b w:val="0"/>
                <w:i/>
                <w:sz w:val="17"/>
              </w:rPr>
              <w:t>N</w:t>
            </w:r>
            <w:r>
              <w:rPr>
                <w:rFonts w:ascii="Calibri" w:hAnsi="Calibri"/>
                <w:b w:val="0"/>
                <w:i w:val="0"/>
                <w:sz w:val="17"/>
              </w:rPr>
              <w:t xml:space="preserve"> = 1,600 (nominal .05)</w:t>
            </w:r>
          </w:p>
        </w:tc>
      </w:tr>
      <w:tr>
        <w:tc>
          <w:tcPr>
            <w:tcW w:type="dxa" w:w="4320"/>
          </w:tcPr>
          <w:p>
            <w:r>
              <w:rPr>
                <w:rFonts w:ascii="Calibri" w:hAnsi="Calibri"/>
                <w:sz w:val="17"/>
              </w:rPr>
            </w:r>
            <w:r>
              <w:rPr>
                <w:rFonts w:ascii="Calibri" w:hAnsi="Calibri"/>
                <w:b w:val="0"/>
                <w:i w:val="0"/>
                <w:sz w:val="17"/>
              </w:rPr>
              <w:t>Inverted-U on the appropriate test (two-lines, Simonsohn 2018)</w:t>
            </w:r>
          </w:p>
        </w:tc>
        <w:tc>
          <w:tcPr>
            <w:tcW w:type="dxa" w:w="4320"/>
          </w:tcPr>
          <w:p>
            <w:r>
              <w:rPr>
                <w:rFonts w:ascii="Calibri" w:hAnsi="Calibri"/>
                <w:sz w:val="17"/>
              </w:rPr>
            </w:r>
            <w:r>
              <w:rPr>
                <w:rFonts w:ascii="Calibri" w:hAnsi="Calibri"/>
                <w:b w:val="0"/>
                <w:i w:val="0"/>
                <w:sz w:val="17"/>
              </w:rPr>
              <w:t>ascending +1.166 (</w:t>
            </w:r>
            <w:r>
              <w:rPr>
                <w:rFonts w:ascii="Calibri" w:hAnsi="Calibri"/>
                <w:b w:val="0"/>
                <w:i/>
                <w:sz w:val="17"/>
              </w:rPr>
              <w:t>p</w:t>
            </w:r>
            <w:r>
              <w:rPr>
                <w:rFonts w:ascii="Calibri" w:hAnsi="Calibri"/>
                <w:b w:val="0"/>
                <w:i w:val="0"/>
                <w:sz w:val="17"/>
              </w:rPr>
              <w:t xml:space="preserve"> &lt; .001), descending −1.347 (</w:t>
            </w:r>
            <w:r>
              <w:rPr>
                <w:rFonts w:ascii="Calibri" w:hAnsi="Calibri"/>
                <w:b w:val="0"/>
                <w:i/>
                <w:sz w:val="17"/>
              </w:rPr>
              <w:t>p</w:t>
            </w:r>
            <w:r>
              <w:rPr>
                <w:rFonts w:ascii="Calibri" w:hAnsi="Calibri"/>
                <w:b w:val="0"/>
                <w:i w:val="0"/>
                <w:sz w:val="17"/>
              </w:rPr>
              <w:t xml:space="preserve"> &lt; .001)</w:t>
            </w:r>
          </w:p>
        </w:tc>
      </w:tr>
      <w:tr>
        <w:tc>
          <w:tcPr>
            <w:tcW w:type="dxa" w:w="4320"/>
          </w:tcPr>
          <w:p>
            <w:r>
              <w:rPr>
                <w:rFonts w:ascii="Calibri" w:hAnsi="Calibri"/>
                <w:sz w:val="17"/>
              </w:rPr>
            </w:r>
            <w:r>
              <w:rPr>
                <w:rFonts w:ascii="Calibri" w:hAnsi="Calibri"/>
                <w:b w:val="0"/>
                <w:i w:val="0"/>
                <w:sz w:val="17"/>
              </w:rPr>
              <w:t>Inverted-U within each precarity half separately</w:t>
            </w:r>
          </w:p>
        </w:tc>
        <w:tc>
          <w:tcPr>
            <w:tcW w:type="dxa" w:w="4320"/>
          </w:tcPr>
          <w:p>
            <w:r>
              <w:rPr>
                <w:rFonts w:ascii="Calibri" w:hAnsi="Calibri"/>
                <w:sz w:val="17"/>
              </w:rPr>
            </w:r>
            <w:r>
              <w:rPr>
                <w:rFonts w:ascii="Calibri" w:hAnsi="Calibri"/>
                <w:b w:val="0"/>
                <w:i w:val="0"/>
                <w:sz w:val="17"/>
              </w:rPr>
              <w:t>supported in both</w:t>
            </w:r>
          </w:p>
        </w:tc>
      </w:tr>
      <w:tr>
        <w:tc>
          <w:tcPr>
            <w:tcW w:type="dxa" w:w="4320"/>
          </w:tcPr>
          <w:p>
            <w:r>
              <w:rPr>
                <w:rFonts w:ascii="Calibri" w:hAnsi="Calibri"/>
                <w:sz w:val="17"/>
              </w:rPr>
            </w:r>
            <w:r>
              <w:rPr>
                <w:rFonts w:ascii="Calibri" w:hAnsi="Calibri"/>
                <w:b w:val="0"/>
                <w:i w:val="0"/>
                <w:sz w:val="17"/>
              </w:rPr>
              <w:t>Flip-point shift: bootstrap on the turning point</w:t>
            </w:r>
          </w:p>
        </w:tc>
        <w:tc>
          <w:tcPr>
            <w:tcW w:type="dxa" w:w="4320"/>
          </w:tcPr>
          <w:p>
            <w:r>
              <w:rPr>
                <w:rFonts w:ascii="Calibri" w:hAnsi="Calibri"/>
                <w:sz w:val="17"/>
              </w:rPr>
            </w:r>
            <w:r>
              <w:rPr>
                <w:rFonts w:ascii="Calibri" w:hAnsi="Calibri"/>
                <w:b w:val="0"/>
                <w:i w:val="0"/>
                <w:sz w:val="17"/>
              </w:rPr>
              <w:t>ΔS* = −.0965 [−.178, −.019]</w:t>
            </w:r>
          </w:p>
        </w:tc>
      </w:tr>
      <w:tr>
        <w:tc>
          <w:tcPr>
            <w:tcW w:type="dxa" w:w="4320"/>
          </w:tcPr>
          <w:p>
            <w:r>
              <w:rPr>
                <w:rFonts w:ascii="Calibri" w:hAnsi="Calibri"/>
                <w:sz w:val="17"/>
              </w:rPr>
            </w:r>
            <w:r>
              <w:rPr>
                <w:rFonts w:ascii="Calibri" w:hAnsi="Calibri"/>
                <w:b w:val="0"/>
                <w:i w:val="0"/>
                <w:sz w:val="17"/>
              </w:rPr>
              <w:t>Flip-point shift: product-term test</w:t>
            </w:r>
          </w:p>
        </w:tc>
        <w:tc>
          <w:tcPr>
            <w:tcW w:type="dxa" w:w="4320"/>
          </w:tcPr>
          <w:p>
            <w:r>
              <w:rPr>
                <w:rFonts w:ascii="Calibri" w:hAnsi="Calibri"/>
                <w:sz w:val="17"/>
              </w:rPr>
            </w:r>
            <w:r>
              <w:rPr>
                <w:rFonts w:ascii="Calibri" w:hAnsi="Calibri"/>
                <w:b w:val="0"/>
                <w:i w:val="0"/>
                <w:sz w:val="17"/>
              </w:rPr>
              <w:t xml:space="preserve">stringency²×precarity </w:t>
            </w:r>
            <w:r>
              <w:rPr>
                <w:rFonts w:ascii="Calibri" w:hAnsi="Calibri"/>
                <w:b w:val="0"/>
                <w:i/>
                <w:sz w:val="17"/>
              </w:rPr>
              <w:t>b</w:t>
            </w:r>
            <w:r>
              <w:rPr>
                <w:rFonts w:ascii="Calibri" w:hAnsi="Calibri"/>
                <w:b w:val="0"/>
                <w:i w:val="0"/>
                <w:sz w:val="17"/>
              </w:rPr>
              <w:t xml:space="preserve"> = −.790, </w:t>
            </w:r>
            <w:r>
              <w:rPr>
                <w:rFonts w:ascii="Calibri" w:hAnsi="Calibri"/>
                <w:b w:val="0"/>
                <w:i/>
                <w:sz w:val="17"/>
              </w:rPr>
              <w:t>p</w:t>
            </w:r>
            <w:r>
              <w:rPr>
                <w:rFonts w:ascii="Calibri" w:hAnsi="Calibri"/>
                <w:b w:val="0"/>
                <w:i w:val="0"/>
                <w:sz w:val="17"/>
              </w:rPr>
              <w:t xml:space="preserve"> = .006; linear stringency×precarity </w:t>
            </w:r>
            <w:r>
              <w:rPr>
                <w:rFonts w:ascii="Calibri" w:hAnsi="Calibri"/>
                <w:b w:val="0"/>
                <w:i/>
                <w:sz w:val="17"/>
              </w:rPr>
              <w:t>b</w:t>
            </w:r>
            <w:r>
              <w:rPr>
                <w:rFonts w:ascii="Calibri" w:hAnsi="Calibri"/>
                <w:b w:val="0"/>
                <w:i w:val="0"/>
                <w:sz w:val="17"/>
              </w:rPr>
              <w:t xml:space="preserve"> = .352, </w:t>
            </w:r>
            <w:r>
              <w:rPr>
                <w:rFonts w:ascii="Calibri" w:hAnsi="Calibri"/>
                <w:b w:val="0"/>
                <w:i/>
                <w:sz w:val="17"/>
              </w:rPr>
              <w:t>p</w:t>
            </w:r>
            <w:r>
              <w:rPr>
                <w:rFonts w:ascii="Calibri" w:hAnsi="Calibri"/>
                <w:b w:val="0"/>
                <w:i w:val="0"/>
                <w:sz w:val="17"/>
              </w:rPr>
              <w:t xml:space="preserve"> = .213</w:t>
            </w:r>
          </w:p>
        </w:tc>
      </w:tr>
      <w:tr>
        <w:tc>
          <w:tcPr>
            <w:tcW w:type="dxa" w:w="4320"/>
          </w:tcPr>
          <w:p>
            <w:r>
              <w:rPr>
                <w:rFonts w:ascii="Calibri" w:hAnsi="Calibri"/>
                <w:sz w:val="17"/>
              </w:rPr>
            </w:r>
            <w:r>
              <w:rPr>
                <w:rFonts w:ascii="Calibri" w:hAnsi="Calibri"/>
                <w:b w:val="0"/>
                <w:i w:val="0"/>
                <w:sz w:val="17"/>
              </w:rPr>
              <w:t>Analytic versus empirical flip point</w:t>
            </w:r>
          </w:p>
        </w:tc>
        <w:tc>
          <w:tcPr>
            <w:tcW w:type="dxa" w:w="4320"/>
          </w:tcPr>
          <w:p>
            <w:r>
              <w:rPr>
                <w:rFonts w:ascii="Calibri" w:hAnsi="Calibri"/>
                <w:sz w:val="17"/>
              </w:rPr>
            </w:r>
            <w:r>
              <w:rPr>
                <w:rFonts w:ascii="Calibri" w:hAnsi="Calibri"/>
                <w:b w:val="0"/>
                <w:i w:val="0"/>
                <w:sz w:val="17"/>
              </w:rPr>
              <w:t>analytic .353 versus estimated .406 [.368, .436]; discrepancy explained by quadratic asymmetry</w:t>
            </w:r>
          </w:p>
        </w:tc>
      </w:tr>
      <w:tr>
        <w:tc>
          <w:tcPr>
            <w:tcW w:type="dxa" w:w="4320"/>
          </w:tcPr>
          <w:p>
            <w:r>
              <w:rPr>
                <w:rFonts w:ascii="Calibri" w:hAnsi="Calibri"/>
                <w:sz w:val="17"/>
              </w:rPr>
            </w:r>
            <w:r>
              <w:rPr>
                <w:rFonts w:ascii="Calibri" w:hAnsi="Calibri"/>
                <w:b w:val="0"/>
                <w:i w:val="0"/>
                <w:sz w:val="17"/>
              </w:rPr>
              <w:t>Covariate-adjusted replication of the quadratic</w:t>
            </w:r>
          </w:p>
        </w:tc>
        <w:tc>
          <w:tcPr>
            <w:tcW w:type="dxa" w:w="4320"/>
          </w:tcPr>
          <w:p>
            <w:r>
              <w:rPr>
                <w:rFonts w:ascii="Calibri" w:hAnsi="Calibri"/>
                <w:sz w:val="17"/>
              </w:rPr>
            </w:r>
            <w:r>
              <w:rPr>
                <w:rFonts w:ascii="Calibri" w:hAnsi="Calibri"/>
                <w:b w:val="0"/>
                <w:i/>
                <w:sz w:val="17"/>
              </w:rPr>
              <w:t>b</w:t>
            </w:r>
            <w:r>
              <w:rPr>
                <w:rFonts w:ascii="Calibri" w:hAnsi="Calibri"/>
                <w:b w:val="0"/>
                <w:i w:val="0"/>
                <w:sz w:val="17"/>
              </w:rPr>
              <w:t xml:space="preserve"> = −2.355, </w:t>
            </w:r>
            <w:r>
              <w:rPr>
                <w:rFonts w:ascii="Calibri" w:hAnsi="Calibri"/>
                <w:b w:val="0"/>
                <w:i/>
                <w:sz w:val="17"/>
              </w:rPr>
              <w:t>p</w:t>
            </w:r>
            <w:r>
              <w:rPr>
                <w:rFonts w:ascii="Calibri" w:hAnsi="Calibri"/>
                <w:b w:val="0"/>
                <w:i w:val="0"/>
                <w:sz w:val="17"/>
              </w:rPr>
              <w:t xml:space="preserve"> &lt; .001, </w:t>
            </w:r>
            <w:r>
              <w:rPr>
                <w:rFonts w:ascii="Calibri" w:hAnsi="Calibri"/>
                <w:b w:val="0"/>
                <w:i/>
                <w:sz w:val="17"/>
              </w:rPr>
              <w:t>R</w:t>
            </w:r>
            <w:r>
              <w:rPr>
                <w:rFonts w:ascii="Calibri" w:hAnsi="Calibri"/>
                <w:b w:val="0"/>
                <w:i w:val="0"/>
                <w:sz w:val="17"/>
              </w:rPr>
              <w:t>² = .186</w:t>
            </w:r>
          </w:p>
        </w:tc>
      </w:tr>
      <w:tr>
        <w:tc>
          <w:tcPr>
            <w:tcW w:type="dxa" w:w="4320"/>
          </w:tcPr>
          <w:p>
            <w:r>
              <w:rPr>
                <w:rFonts w:ascii="Calibri" w:hAnsi="Calibri"/>
                <w:sz w:val="17"/>
              </w:rPr>
            </w:r>
            <w:r>
              <w:rPr>
                <w:rFonts w:ascii="Calibri" w:hAnsi="Calibri"/>
                <w:b w:val="0"/>
                <w:i w:val="0"/>
                <w:sz w:val="17"/>
              </w:rPr>
              <w:t>Configural fit in each of four countries</w:t>
            </w:r>
          </w:p>
        </w:tc>
        <w:tc>
          <w:tcPr>
            <w:tcW w:type="dxa" w:w="4320"/>
          </w:tcPr>
          <w:p>
            <w:r>
              <w:rPr>
                <w:rFonts w:ascii="Calibri" w:hAnsi="Calibri"/>
                <w:sz w:val="17"/>
              </w:rPr>
            </w:r>
            <w:r>
              <w:rPr>
                <w:rFonts w:ascii="Calibri" w:hAnsi="Calibri"/>
                <w:b w:val="0"/>
                <w:i w:val="0"/>
                <w:sz w:val="17"/>
              </w:rPr>
              <w:t>CFI .974–.986, RMSEA .019–.026</w:t>
            </w:r>
          </w:p>
        </w:tc>
      </w:tr>
      <w:tr>
        <w:tc>
          <w:tcPr>
            <w:tcW w:type="dxa" w:w="4320"/>
          </w:tcPr>
          <w:p>
            <w:r>
              <w:rPr>
                <w:rFonts w:ascii="Calibri" w:hAnsi="Calibri"/>
                <w:sz w:val="17"/>
              </w:rPr>
            </w:r>
            <w:r>
              <w:rPr>
                <w:rFonts w:ascii="Calibri" w:hAnsi="Calibri"/>
                <w:b w:val="0"/>
                <w:i w:val="0"/>
                <w:sz w:val="17"/>
              </w:rPr>
              <w:t>Metric invariance (permutation test of loading equality)</w:t>
            </w:r>
          </w:p>
        </w:tc>
        <w:tc>
          <w:tcPr>
            <w:tcW w:type="dxa" w:w="4320"/>
          </w:tcPr>
          <w:p>
            <w:r>
              <w:rPr>
                <w:rFonts w:ascii="Calibri" w:hAnsi="Calibri"/>
                <w:sz w:val="17"/>
              </w:rPr>
            </w:r>
            <w:r>
              <w:rPr>
                <w:rFonts w:ascii="Calibri" w:hAnsi="Calibri"/>
                <w:b w:val="0"/>
                <w:i/>
                <w:sz w:val="17"/>
              </w:rPr>
              <w:t>p</w:t>
            </w:r>
            <w:r>
              <w:rPr>
                <w:rFonts w:ascii="Calibri" w:hAnsi="Calibri"/>
                <w:b w:val="0"/>
                <w:i w:val="0"/>
                <w:sz w:val="17"/>
              </w:rPr>
              <w:t xml:space="preserve"> = .38, tenable</w:t>
            </w:r>
          </w:p>
        </w:tc>
      </w:tr>
      <w:tr>
        <w:tc>
          <w:tcPr>
            <w:tcW w:type="dxa" w:w="4320"/>
          </w:tcPr>
          <w:p>
            <w:r>
              <w:rPr>
                <w:rFonts w:ascii="Calibri" w:hAnsi="Calibri"/>
                <w:sz w:val="17"/>
              </w:rPr>
            </w:r>
            <w:r>
              <w:rPr>
                <w:rFonts w:ascii="Calibri" w:hAnsi="Calibri"/>
                <w:b w:val="0"/>
                <w:i w:val="0"/>
                <w:sz w:val="17"/>
              </w:rPr>
              <w:t>Structural-path heterogeneity across countries (400 permutations)</w:t>
            </w:r>
          </w:p>
        </w:tc>
        <w:tc>
          <w:tcPr>
            <w:tcW w:type="dxa" w:w="4320"/>
          </w:tcPr>
          <w:p>
            <w:r>
              <w:rPr>
                <w:rFonts w:ascii="Calibri" w:hAnsi="Calibri"/>
                <w:sz w:val="17"/>
              </w:rPr>
            </w:r>
            <w:r>
              <w:rPr>
                <w:rFonts w:ascii="Calibri" w:hAnsi="Calibri"/>
                <w:b w:val="0"/>
                <w:i w:val="0"/>
                <w:sz w:val="17"/>
              </w:rPr>
              <w:t xml:space="preserve">0/28 paths heterogeneous, min </w:t>
            </w:r>
            <w:r>
              <w:rPr>
                <w:rFonts w:ascii="Calibri" w:hAnsi="Calibri"/>
                <w:b w:val="0"/>
                <w:i/>
                <w:sz w:val="17"/>
              </w:rPr>
              <w:t>p</w:t>
            </w:r>
            <w:r>
              <w:rPr>
                <w:rFonts w:ascii="Calibri" w:hAnsi="Calibri"/>
                <w:b w:val="0"/>
                <w:i w:val="0"/>
                <w:sz w:val="17"/>
              </w:rPr>
              <w:t xml:space="preserve"> = .085</w:t>
            </w:r>
          </w:p>
        </w:tc>
      </w:tr>
      <w:tr>
        <w:tc>
          <w:tcPr>
            <w:tcW w:type="dxa" w:w="4320"/>
          </w:tcPr>
          <w:p>
            <w:r>
              <w:rPr>
                <w:rFonts w:ascii="Calibri" w:hAnsi="Calibri"/>
                <w:sz w:val="17"/>
              </w:rPr>
            </w:r>
            <w:r>
              <w:rPr>
                <w:rFonts w:ascii="Calibri" w:hAnsi="Calibri"/>
                <w:b w:val="0"/>
                <w:i w:val="0"/>
                <w:sz w:val="17"/>
              </w:rPr>
              <w:t>Bootstrap of the whole mediation system (5,000 resamples, joint)</w:t>
            </w:r>
          </w:p>
        </w:tc>
        <w:tc>
          <w:tcPr>
            <w:tcW w:type="dxa" w:w="4320"/>
          </w:tcPr>
          <w:p>
            <w:r>
              <w:rPr>
                <w:rFonts w:ascii="Calibri" w:hAnsi="Calibri"/>
                <w:sz w:val="17"/>
              </w:rPr>
            </w:r>
            <w:r>
              <w:rPr>
                <w:rFonts w:ascii="Calibri" w:hAnsi="Calibri"/>
                <w:b w:val="0"/>
                <w:i w:val="0"/>
                <w:sz w:val="17"/>
              </w:rPr>
              <w:t>36/36 effects exclude zero</w:t>
            </w:r>
          </w:p>
        </w:tc>
      </w:tr>
      <w:tr>
        <w:tc>
          <w:tcPr>
            <w:tcW w:type="dxa" w:w="4320"/>
          </w:tcPr>
          <w:p>
            <w:r>
              <w:rPr>
                <w:rFonts w:ascii="Calibri" w:hAnsi="Calibri"/>
                <w:sz w:val="17"/>
              </w:rPr>
            </w:r>
            <w:r>
              <w:rPr>
                <w:rFonts w:ascii="Calibri" w:hAnsi="Calibri"/>
                <w:b w:val="0"/>
                <w:i w:val="0"/>
                <w:sz w:val="17"/>
              </w:rPr>
              <w:t>ABM: all five predicted regimes reachable from specified configurations</w:t>
            </w:r>
          </w:p>
        </w:tc>
        <w:tc>
          <w:tcPr>
            <w:tcW w:type="dxa" w:w="4320"/>
          </w:tcPr>
          <w:p>
            <w:r>
              <w:rPr>
                <w:rFonts w:ascii="Calibri" w:hAnsi="Calibri"/>
                <w:sz w:val="17"/>
              </w:rPr>
            </w:r>
            <w:r>
              <w:rPr>
                <w:rFonts w:ascii="Calibri" w:hAnsi="Calibri"/>
                <w:b w:val="0"/>
                <w:i w:val="0"/>
                <w:sz w:val="17"/>
              </w:rPr>
              <w:t>yes</w:t>
            </w:r>
          </w:p>
        </w:tc>
      </w:tr>
      <w:tr>
        <w:tc>
          <w:tcPr>
            <w:tcW w:type="dxa" w:w="4320"/>
          </w:tcPr>
          <w:p>
            <w:r>
              <w:rPr>
                <w:rFonts w:ascii="Calibri" w:hAnsi="Calibri"/>
                <w:sz w:val="17"/>
              </w:rPr>
            </w:r>
            <w:r>
              <w:rPr>
                <w:rFonts w:ascii="Calibri" w:hAnsi="Calibri"/>
                <w:b w:val="0"/>
                <w:i w:val="0"/>
                <w:sz w:val="17"/>
              </w:rPr>
              <w:t>ABM: one-factor-at-a-time sensitivity, ±20% on 16 parameters</w:t>
            </w:r>
          </w:p>
        </w:tc>
        <w:tc>
          <w:tcPr>
            <w:tcW w:type="dxa" w:w="4320"/>
          </w:tcPr>
          <w:p>
            <w:r>
              <w:rPr>
                <w:rFonts w:ascii="Calibri" w:hAnsi="Calibri"/>
                <w:sz w:val="17"/>
              </w:rPr>
            </w:r>
            <w:r>
              <w:rPr>
                <w:rFonts w:ascii="Calibri" w:hAnsi="Calibri"/>
                <w:b w:val="0"/>
                <w:i w:val="0"/>
                <w:sz w:val="17"/>
              </w:rPr>
              <w:t>32/32 perturbations remain in the tipping regime with PMV</w:t>
            </w:r>
          </w:p>
        </w:tc>
      </w:tr>
      <w:tr>
        <w:tc>
          <w:tcPr>
            <w:tcW w:type="dxa" w:w="4320"/>
          </w:tcPr>
          <w:p>
            <w:r>
              <w:rPr>
                <w:rFonts w:ascii="Calibri" w:hAnsi="Calibri"/>
                <w:sz w:val="17"/>
              </w:rPr>
            </w:r>
            <w:r>
              <w:rPr>
                <w:rFonts w:ascii="Calibri" w:hAnsi="Calibri"/>
                <w:b w:val="0"/>
                <w:i w:val="0"/>
                <w:sz w:val="17"/>
              </w:rPr>
              <w:t>ABM: paired counterfactual per parameter cell (243 cells × 2 runs)</w:t>
            </w:r>
          </w:p>
        </w:tc>
        <w:tc>
          <w:tcPr>
            <w:tcW w:type="dxa" w:w="4320"/>
          </w:tcPr>
          <w:p>
            <w:r>
              <w:rPr>
                <w:rFonts w:ascii="Calibri" w:hAnsi="Calibri"/>
                <w:sz w:val="17"/>
              </w:rPr>
            </w:r>
            <w:r>
              <w:rPr>
                <w:rFonts w:ascii="Calibri" w:hAnsi="Calibri"/>
                <w:b w:val="0"/>
                <w:i w:val="0"/>
                <w:sz w:val="17"/>
              </w:rPr>
              <w:t>yes</w:t>
            </w:r>
          </w:p>
        </w:tc>
      </w:tr>
    </w:tbl>
    <w:p>
      <w:pPr>
        <w:pStyle w:val="Heading3"/>
      </w:pPr>
      <w:r>
        <w:rPr>
          <w:b w:val="0"/>
          <w:i w:val="0"/>
        </w:rPr>
        <w:t>E.2 Known fragilities, stated plainly</w:t>
      </w:r>
    </w:p>
    <w:p>
      <w:pPr>
        <w:pStyle w:val="ListNumber"/>
      </w:pPr>
      <w:r>
        <w:rPr>
          <w:b/>
          <w:i w:val="0"/>
        </w:rPr>
        <w:t>The two-lines breakpoint is set at the estimated quadratic turning point</w:t>
      </w:r>
      <w:r>
        <w:rPr>
          <w:b w:val="0"/>
          <w:i w:val="0"/>
        </w:rPr>
        <w:t xml:space="preserve"> rather than by Simonsohn's Robin Hood procedure. Because the estimated turning point is itself biased upward by quadratic asymmetry, the descending-arm test is mildly conservative and the ascending-arm test mildly liberal. Neither reverses at the observed effect sizes.</w:t>
      </w:r>
    </w:p>
    <w:p>
      <w:pPr>
        <w:pStyle w:val="ListNumber"/>
      </w:pPr>
      <w:r>
        <w:rPr>
          <w:b/>
          <w:i w:val="0"/>
        </w:rPr>
        <w:t>The quadratic turning point is an upward-biased estimator of the flip point</w:t>
      </w:r>
      <w:r>
        <w:rPr>
          <w:b w:val="0"/>
          <w:i w:val="0"/>
        </w:rPr>
        <w:t xml:space="preserve"> when the underlying function is concave-saturating minus convex-accelerating: .406 estimated versus .353 analytic. Any empirical estimate of a flip point from a polynomial model inherits this bias. A segmented or shape-constrained estimator would be preferable and is recommended for the confirmatory study.</w:t>
      </w:r>
    </w:p>
    <w:p>
      <w:pPr>
        <w:pStyle w:val="ListNumber"/>
      </w:pPr>
      <w:r>
        <w:rPr>
          <w:b/>
          <w:i w:val="0"/>
        </w:rPr>
        <w:t>The tipping regime's profit multiple (5.7×) is not credible as a forecast.</w:t>
      </w:r>
      <w:r>
        <w:rPr>
          <w:b w:val="0"/>
          <w:i w:val="0"/>
        </w:rPr>
        <w:t xml:space="preserve"> It is sensitive to the service-fee parameter (see §D) and to the assumption that installed-base service revenue scales without diminishing returns, which is certainly false in real service businesses.</w:t>
      </w:r>
    </w:p>
    <w:p>
      <w:pPr>
        <w:pStyle w:val="ListNumber"/>
      </w:pPr>
      <w:r>
        <w:rPr>
          <w:b/>
          <w:i w:val="0"/>
        </w:rPr>
        <w:t>Leakage is bounded at 1.5 and −3.0 in code.</w:t>
      </w:r>
      <w:r>
        <w:rPr>
          <w:b w:val="0"/>
          <w:i w:val="0"/>
        </w:rPr>
        <w:t xml:space="preserve"> The backlash scenario reports leakage = 1.500, which is the cap: in that scenario the demarketers' own volume loss is small while aggregate throughput </w:t>
      </w:r>
      <w:r>
        <w:rPr>
          <w:b w:val="0"/>
          <w:i/>
        </w:rPr>
        <w:t>rises</w:t>
      </w:r>
      <w:r>
        <w:rPr>
          <w:b w:val="0"/>
          <w:i w:val="0"/>
        </w:rPr>
        <w:t>, so the ratio is unstable. The reported value should be read as "leakage exceeds 1", not as a point estimate.</w:t>
      </w:r>
    </w:p>
    <w:p>
      <w:pPr>
        <w:pStyle w:val="ListNumber"/>
      </w:pPr>
      <w:r>
        <w:rPr>
          <w:b/>
          <w:i w:val="0"/>
        </w:rPr>
        <w:t>The micro model has no cross-domain structure.</w:t>
      </w:r>
      <w:r>
        <w:rPr>
          <w:b w:val="0"/>
          <w:i w:val="0"/>
        </w:rPr>
        <w:t xml:space="preserve"> Compensatory displacement is an outcome, not a portfolio process. A consumer's sufficiency bounds across domains almost certainly interact, and this is exactly where leakage lives.</w:t>
      </w:r>
    </w:p>
    <w:p>
      <w:pPr>
        <w:pStyle w:val="ListNumber"/>
      </w:pPr>
      <w:r>
        <w:rPr>
          <w:b/>
          <w:i w:val="0"/>
        </w:rPr>
        <w:t>Reflective measurement throughout.</w:t>
      </w:r>
      <w:r>
        <w:rPr>
          <w:b w:val="0"/>
          <w:i w:val="0"/>
        </w:rPr>
        <w:t xml:space="preserve"> Business-model reconfiguration and community embeddedness are arguably formative; treating them reflectively in a confirmatory study would be a misspecification.</w:t>
      </w:r>
    </w:p>
    <w:p>
      <w:pPr>
        <w:pStyle w:val="ListNumber"/>
      </w:pPr>
      <w:r>
        <w:rPr>
          <w:b/>
          <w:i w:val="0"/>
        </w:rPr>
        <w:t>Study 4 contains no politics.</w:t>
      </w:r>
      <w:r>
        <w:rPr>
          <w:b w:val="0"/>
          <w:i w:val="0"/>
        </w:rPr>
        <w:t xml:space="preserve"> Policy is exogenous. A model of sufficiency policy that treats policy as exogenous omits the main obstacle to it.</w:t>
      </w:r>
    </w:p>
    <w:p>
      <w:pPr>
        <w:pStyle w:val="Heading3"/>
      </w:pPr>
      <w:r>
        <w:rPr>
          <w:b w:val="0"/>
          <w:i w:val="0"/>
        </w:rPr>
        <w:t xml:space="preserve">E.3 Checks a reviewer will ask for that we have </w:t>
      </w:r>
      <w:r>
        <w:rPr>
          <w:b w:val="0"/>
          <w:i/>
        </w:rPr>
        <w:t>not</w:t>
      </w:r>
      <w:r>
        <w:rPr>
          <w:b w:val="0"/>
          <w:i w:val="0"/>
        </w:rPr>
        <w:t xml:space="preserve"> done</w:t>
      </w:r>
    </w:p>
    <w:p>
      <w:pPr>
        <w:pStyle w:val="ListBullet"/>
      </w:pPr>
      <w:r>
        <w:rPr>
          <w:b w:val="0"/>
          <w:i w:val="0"/>
        </w:rPr>
        <w:t>Common-method bias assessment beyond the marker factor in the DGP (needs real data).</w:t>
      </w:r>
    </w:p>
    <w:p>
      <w:pPr>
        <w:pStyle w:val="ListBullet"/>
      </w:pPr>
      <w:r>
        <w:rPr>
          <w:b w:val="0"/>
          <w:i w:val="0"/>
        </w:rPr>
        <w:t>Test–retest reliability and temporal stability of chosen sufficiency as a state construct.</w:t>
      </w:r>
    </w:p>
    <w:p>
      <w:pPr>
        <w:pStyle w:val="ListBullet"/>
      </w:pPr>
      <w:r>
        <w:rPr>
          <w:b w:val="0"/>
          <w:i w:val="0"/>
        </w:rPr>
        <w:t>Incentive-compatible behavioural validation of sufficiency commitment.</w:t>
      </w:r>
    </w:p>
    <w:p>
      <w:pPr>
        <w:pStyle w:val="ListBullet"/>
      </w:pPr>
      <w:r>
        <w:rPr>
          <w:b w:val="0"/>
          <w:i w:val="0"/>
        </w:rPr>
        <w:t xml:space="preserve">Measurement invariance across </w:t>
      </w:r>
      <w:r>
        <w:rPr>
          <w:b w:val="0"/>
          <w:i/>
        </w:rPr>
        <w:t>categories</w:t>
      </w:r>
      <w:r>
        <w:rPr>
          <w:b w:val="0"/>
          <w:i w:val="0"/>
        </w:rPr>
        <w:t xml:space="preserve"> (apparel versus energy), as opposed to across countries.</w:t>
      </w:r>
    </w:p>
    <w:p>
      <w:pPr>
        <w:pStyle w:val="ListBullet"/>
      </w:pPr>
      <w:r>
        <w:rPr>
          <w:b w:val="0"/>
          <w:i w:val="0"/>
        </w:rPr>
        <w:t>Scalar (intercept) invariance, which permits latent-mean comparison across countries. Only</w:t>
      </w:r>
    </w:p>
    <w:p>
      <w:r>
        <w:rPr>
          <w:b w:val="0"/>
          <w:i w:val="0"/>
        </w:rPr>
        <w:t xml:space="preserve">configural and metric invariance are established here; the paper therefore makes no claims about cross-national differences in construct </w:t>
      </w:r>
      <w:r>
        <w:rPr>
          <w:b w:val="0"/>
          <w:i/>
        </w:rPr>
        <w:t>levels</w:t>
      </w:r>
      <w:r>
        <w:rPr>
          <w:b w:val="0"/>
          <w:i w:val="0"/>
        </w:rPr>
        <w:t>. - Sobol or Morris global sensitivity analysis of the ABM; only one-factor-at-a-time is reported, which cannot detect interaction effects among parameters.</w:t>
      </w:r>
    </w:p>
    <w:p>
      <w:pPr>
        <w:jc w:val="center"/>
      </w:pPr>
      <w:r>
        <w:rPr>
          <w:color w:val="BBBBBB"/>
        </w:rPr>
        <w:t>____________________________________________________________</w:t>
      </w:r>
    </w:p>
    <w:p>
      <w:pPr>
        <w:pStyle w:val="Heading2"/>
      </w:pPr>
      <w:r>
        <w:rPr>
          <w:b w:val="0"/>
          <w:i w:val="0"/>
        </w:rPr>
        <w:t>F. Results index</w:t>
      </w:r>
    </w:p>
    <w:p>
      <w:pPr>
        <w:pStyle w:val="Heading3"/>
      </w:pPr>
      <w:r>
        <w:rPr>
          <w:b w:val="0"/>
          <w:i w:val="0"/>
        </w:rPr>
        <w:t>Tables (</w:t>
      </w:r>
      <w:r>
        <w:rPr>
          <w:rFonts w:ascii="Consolas" w:hAnsi="Consolas"/>
          <w:b w:val="0"/>
          <w:i w:val="0"/>
          <w:sz w:val="19"/>
        </w:rPr>
        <w:t>../analysis/output/tables/</w:t>
      </w:r>
      <w:r>
        <w:rPr>
          <w:b w:val="0"/>
          <w:i w:val="0"/>
        </w:rPr>
        <w:t>)</w:t>
      </w:r>
    </w:p>
    <w:tbl>
      <w:tblPr>
        <w:tblStyle w:val="LightGrid-Accent1"/>
        <w:tblW w:type="auto" w:w="0"/>
        <w:tblLook w:firstColumn="1" w:firstRow="1" w:lastColumn="0" w:lastRow="0" w:noHBand="0" w:noVBand="1" w:val="04A0"/>
      </w:tblPr>
      <w:tblGrid>
        <w:gridCol w:w="4320"/>
        <w:gridCol w:w="4320"/>
      </w:tblGrid>
      <w:tr>
        <w:tc>
          <w:tcPr>
            <w:tcW w:type="dxa" w:w="4320"/>
          </w:tcPr>
          <w:p>
            <w:r>
              <w:rPr>
                <w:rFonts w:ascii="Calibri" w:hAnsi="Calibri"/>
                <w:b/>
                <w:sz w:val="17"/>
              </w:rPr>
            </w:r>
            <w:r>
              <w:rPr>
                <w:rFonts w:ascii="Calibri" w:hAnsi="Calibri"/>
                <w:b/>
                <w:i w:val="0"/>
                <w:sz w:val="17"/>
              </w:rPr>
              <w:t>File</w:t>
            </w:r>
          </w:p>
        </w:tc>
        <w:tc>
          <w:tcPr>
            <w:tcW w:type="dxa" w:w="4320"/>
          </w:tcPr>
          <w:p>
            <w:r>
              <w:rPr>
                <w:rFonts w:ascii="Calibri" w:hAnsi="Calibri"/>
                <w:b/>
                <w:sz w:val="17"/>
              </w:rPr>
            </w:r>
            <w:r>
              <w:rPr>
                <w:rFonts w:ascii="Calibri" w:hAnsi="Calibri"/>
                <w:b/>
                <w:i w:val="0"/>
                <w:sz w:val="17"/>
              </w:rPr>
              <w:t>Contents</w:t>
            </w:r>
          </w:p>
        </w:tc>
      </w:tr>
      <w:tr>
        <w:tc>
          <w:tcPr>
            <w:tcW w:type="dxa" w:w="4320"/>
          </w:tcPr>
          <w:p>
            <w:r>
              <w:rPr>
                <w:rFonts w:ascii="Calibri" w:hAnsi="Calibri"/>
                <w:sz w:val="17"/>
              </w:rPr>
            </w:r>
            <w:r>
              <w:rPr>
                <w:rFonts w:ascii="Calibri" w:hAnsi="Calibri"/>
                <w:b w:val="0"/>
                <w:i w:val="0"/>
                <w:sz w:val="17"/>
              </w:rPr>
              <w:t>t1_cfa_fit.csv</w:t>
            </w:r>
          </w:p>
        </w:tc>
        <w:tc>
          <w:tcPr>
            <w:tcW w:type="dxa" w:w="4320"/>
          </w:tcPr>
          <w:p>
            <w:r>
              <w:rPr>
                <w:rFonts w:ascii="Calibri" w:hAnsi="Calibri"/>
                <w:sz w:val="17"/>
              </w:rPr>
            </w:r>
            <w:r>
              <w:rPr>
                <w:rFonts w:ascii="Calibri" w:hAnsi="Calibri"/>
                <w:b w:val="0"/>
                <w:i w:val="0"/>
                <w:sz w:val="17"/>
              </w:rPr>
              <w:t>CFA global fit</w:t>
            </w:r>
          </w:p>
        </w:tc>
      </w:tr>
      <w:tr>
        <w:tc>
          <w:tcPr>
            <w:tcW w:type="dxa" w:w="4320"/>
          </w:tcPr>
          <w:p>
            <w:r>
              <w:rPr>
                <w:rFonts w:ascii="Calibri" w:hAnsi="Calibri"/>
                <w:sz w:val="17"/>
              </w:rPr>
            </w:r>
            <w:r>
              <w:rPr>
                <w:rFonts w:ascii="Calibri" w:hAnsi="Calibri"/>
                <w:b w:val="0"/>
                <w:i w:val="0"/>
                <w:sz w:val="17"/>
              </w:rPr>
              <w:t>t2_reliability_ave.csv</w:t>
            </w:r>
          </w:p>
        </w:tc>
        <w:tc>
          <w:tcPr>
            <w:tcW w:type="dxa" w:w="4320"/>
          </w:tcPr>
          <w:p>
            <w:r>
              <w:rPr>
                <w:rFonts w:ascii="Calibri" w:hAnsi="Calibri"/>
                <w:sz w:val="17"/>
              </w:rPr>
            </w:r>
            <w:r>
              <w:rPr>
                <w:rFonts w:ascii="Calibri" w:hAnsi="Calibri"/>
                <w:b w:val="0"/>
                <w:i w:val="0"/>
                <w:sz w:val="17"/>
              </w:rPr>
              <w:t>α, composite reliability, AVE, loading range</w:t>
            </w:r>
          </w:p>
        </w:tc>
      </w:tr>
      <w:tr>
        <w:tc>
          <w:tcPr>
            <w:tcW w:type="dxa" w:w="4320"/>
          </w:tcPr>
          <w:p>
            <w:r>
              <w:rPr>
                <w:rFonts w:ascii="Calibri" w:hAnsi="Calibri"/>
                <w:sz w:val="17"/>
              </w:rPr>
            </w:r>
            <w:r>
              <w:rPr>
                <w:rFonts w:ascii="Calibri" w:hAnsi="Calibri"/>
                <w:b w:val="0"/>
                <w:i w:val="0"/>
                <w:sz w:val="17"/>
              </w:rPr>
              <w:t>t3_htmt.csv</w:t>
            </w:r>
          </w:p>
        </w:tc>
        <w:tc>
          <w:tcPr>
            <w:tcW w:type="dxa" w:w="4320"/>
          </w:tcPr>
          <w:p>
            <w:r>
              <w:rPr>
                <w:rFonts w:ascii="Calibri" w:hAnsi="Calibri"/>
                <w:sz w:val="17"/>
              </w:rPr>
            </w:r>
            <w:r>
              <w:rPr>
                <w:rFonts w:ascii="Calibri" w:hAnsi="Calibri"/>
                <w:b w:val="0"/>
                <w:i w:val="0"/>
                <w:sz w:val="17"/>
              </w:rPr>
              <w:t>Full 15 × 15 HTMT matrix</w:t>
            </w:r>
          </w:p>
        </w:tc>
      </w:tr>
      <w:tr>
        <w:tc>
          <w:tcPr>
            <w:tcW w:type="dxa" w:w="4320"/>
          </w:tcPr>
          <w:p>
            <w:r>
              <w:rPr>
                <w:rFonts w:ascii="Calibri" w:hAnsi="Calibri"/>
                <w:sz w:val="17"/>
              </w:rPr>
            </w:r>
            <w:r>
              <w:rPr>
                <w:rFonts w:ascii="Calibri" w:hAnsi="Calibri"/>
                <w:b w:val="0"/>
                <w:i w:val="0"/>
                <w:sz w:val="17"/>
              </w:rPr>
              <w:t>t4_mc_recovery.csv</w:t>
            </w:r>
          </w:p>
        </w:tc>
        <w:tc>
          <w:tcPr>
            <w:tcW w:type="dxa" w:w="4320"/>
          </w:tcPr>
          <w:p>
            <w:r>
              <w:rPr>
                <w:rFonts w:ascii="Calibri" w:hAnsi="Calibri"/>
                <w:sz w:val="17"/>
              </w:rPr>
            </w:r>
            <w:r>
              <w:rPr>
                <w:rFonts w:ascii="Calibri" w:hAnsi="Calibri"/>
                <w:b w:val="0"/>
                <w:i w:val="0"/>
                <w:sz w:val="17"/>
              </w:rPr>
              <w:t>Monte Carlo bias, RMSE, SE, coverage by path × N</w:t>
            </w:r>
          </w:p>
        </w:tc>
      </w:tr>
      <w:tr>
        <w:tc>
          <w:tcPr>
            <w:tcW w:type="dxa" w:w="4320"/>
          </w:tcPr>
          <w:p>
            <w:r>
              <w:rPr>
                <w:rFonts w:ascii="Calibri" w:hAnsi="Calibri"/>
                <w:sz w:val="17"/>
              </w:rPr>
            </w:r>
            <w:r>
              <w:rPr>
                <w:rFonts w:ascii="Calibri" w:hAnsi="Calibri"/>
                <w:b w:val="0"/>
                <w:i w:val="0"/>
                <w:sz w:val="17"/>
              </w:rPr>
              <w:t>t5_power_curves.csv</w:t>
            </w:r>
          </w:p>
        </w:tc>
        <w:tc>
          <w:tcPr>
            <w:tcW w:type="dxa" w:w="4320"/>
          </w:tcPr>
          <w:p>
            <w:r>
              <w:rPr>
                <w:rFonts w:ascii="Calibri" w:hAnsi="Calibri"/>
                <w:sz w:val="17"/>
              </w:rPr>
            </w:r>
            <w:r>
              <w:rPr>
                <w:rFonts w:ascii="Calibri" w:hAnsi="Calibri"/>
                <w:b w:val="0"/>
                <w:i w:val="0"/>
                <w:sz w:val="17"/>
              </w:rPr>
              <w:t>Directional power by path × N, and required N for 80%</w:t>
            </w:r>
          </w:p>
        </w:tc>
      </w:tr>
      <w:tr>
        <w:tc>
          <w:tcPr>
            <w:tcW w:type="dxa" w:w="4320"/>
          </w:tcPr>
          <w:p>
            <w:r>
              <w:rPr>
                <w:rFonts w:ascii="Calibri" w:hAnsi="Calibri"/>
                <w:sz w:val="17"/>
              </w:rPr>
            </w:r>
            <w:r>
              <w:rPr>
                <w:rFonts w:ascii="Calibri" w:hAnsi="Calibri"/>
                <w:b w:val="0"/>
                <w:i w:val="0"/>
                <w:sz w:val="17"/>
              </w:rPr>
              <w:t>t6a</w:t>
            </w:r>
            <w:r>
              <w:rPr>
                <w:rFonts w:ascii="Calibri" w:hAnsi="Calibri"/>
                <w:b w:val="0"/>
                <w:i w:val="0"/>
                <w:sz w:val="17"/>
              </w:rPr>
              <w:t>–</w:t>
            </w:r>
            <w:r>
              <w:rPr>
                <w:rFonts w:ascii="Calibri" w:hAnsi="Calibri"/>
                <w:b w:val="0"/>
                <w:i w:val="0"/>
                <w:sz w:val="17"/>
              </w:rPr>
              <w:t>t6e</w:t>
            </w:r>
          </w:p>
        </w:tc>
        <w:tc>
          <w:tcPr>
            <w:tcW w:type="dxa" w:w="4320"/>
          </w:tcPr>
          <w:p>
            <w:r>
              <w:rPr>
                <w:rFonts w:ascii="Calibri" w:hAnsi="Calibri"/>
                <w:sz w:val="17"/>
              </w:rPr>
            </w:r>
            <w:r>
              <w:rPr>
                <w:rFonts w:ascii="Calibri" w:hAnsi="Calibri"/>
                <w:b w:val="0"/>
                <w:i w:val="0"/>
                <w:sz w:val="17"/>
              </w:rPr>
              <w:t>Latent SEM fit, standardised paths, R², reduced form, equation R²</w:t>
            </w:r>
          </w:p>
        </w:tc>
      </w:tr>
      <w:tr>
        <w:tc>
          <w:tcPr>
            <w:tcW w:type="dxa" w:w="4320"/>
          </w:tcPr>
          <w:p>
            <w:r>
              <w:rPr>
                <w:rFonts w:ascii="Calibri" w:hAnsi="Calibri"/>
                <w:sz w:val="17"/>
              </w:rPr>
            </w:r>
            <w:r>
              <w:rPr>
                <w:rFonts w:ascii="Calibri" w:hAnsi="Calibri"/>
                <w:b w:val="0"/>
                <w:i w:val="0"/>
                <w:sz w:val="17"/>
              </w:rPr>
              <w:t>t7_bootstrap_effects.csv</w:t>
            </w:r>
          </w:p>
        </w:tc>
        <w:tc>
          <w:tcPr>
            <w:tcW w:type="dxa" w:w="4320"/>
          </w:tcPr>
          <w:p>
            <w:r>
              <w:rPr>
                <w:rFonts w:ascii="Calibri" w:hAnsi="Calibri"/>
                <w:sz w:val="17"/>
              </w:rPr>
            </w:r>
            <w:r>
              <w:rPr>
                <w:rFonts w:ascii="Calibri" w:hAnsi="Calibri"/>
                <w:b w:val="0"/>
                <w:i w:val="0"/>
                <w:sz w:val="17"/>
              </w:rPr>
              <w:t>36 indirect, conditional, and moderated-mediation effects</w:t>
            </w:r>
          </w:p>
        </w:tc>
      </w:tr>
      <w:tr>
        <w:tc>
          <w:tcPr>
            <w:tcW w:type="dxa" w:w="4320"/>
          </w:tcPr>
          <w:p>
            <w:r>
              <w:rPr>
                <w:rFonts w:ascii="Calibri" w:hAnsi="Calibri"/>
                <w:sz w:val="17"/>
              </w:rPr>
            </w:r>
            <w:r>
              <w:rPr>
                <w:rFonts w:ascii="Calibri" w:hAnsi="Calibri"/>
                <w:b w:val="0"/>
                <w:i w:val="0"/>
                <w:sz w:val="17"/>
              </w:rPr>
              <w:t>t8_johnson_neyman_*.csv</w:t>
            </w:r>
          </w:p>
        </w:tc>
        <w:tc>
          <w:tcPr>
            <w:tcW w:type="dxa" w:w="4320"/>
          </w:tcPr>
          <w:p>
            <w:r>
              <w:rPr>
                <w:rFonts w:ascii="Calibri" w:hAnsi="Calibri"/>
                <w:sz w:val="17"/>
              </w:rPr>
            </w:r>
            <w:r>
              <w:rPr>
                <w:rFonts w:ascii="Calibri" w:hAnsi="Calibri"/>
                <w:b w:val="0"/>
                <w:i w:val="0"/>
                <w:sz w:val="17"/>
              </w:rPr>
              <w:t>Region-of-significance analysis</w:t>
            </w:r>
          </w:p>
        </w:tc>
      </w:tr>
      <w:tr>
        <w:tc>
          <w:tcPr>
            <w:tcW w:type="dxa" w:w="4320"/>
          </w:tcPr>
          <w:p>
            <w:r>
              <w:rPr>
                <w:rFonts w:ascii="Calibri" w:hAnsi="Calibri"/>
                <w:sz w:val="17"/>
              </w:rPr>
            </w:r>
            <w:r>
              <w:rPr>
                <w:rFonts w:ascii="Calibri" w:hAnsi="Calibri"/>
                <w:b w:val="0"/>
                <w:i w:val="0"/>
                <w:sz w:val="17"/>
              </w:rPr>
              <w:t>t9a</w:t>
            </w:r>
            <w:r>
              <w:rPr>
                <w:rFonts w:ascii="Calibri" w:hAnsi="Calibri"/>
                <w:b w:val="0"/>
                <w:i w:val="0"/>
                <w:sz w:val="17"/>
              </w:rPr>
              <w:t>–</w:t>
            </w:r>
            <w:r>
              <w:rPr>
                <w:rFonts w:ascii="Calibri" w:hAnsi="Calibri"/>
                <w:b w:val="0"/>
                <w:i w:val="0"/>
                <w:sz w:val="17"/>
              </w:rPr>
              <w:t>t9c</w:t>
            </w:r>
          </w:p>
        </w:tc>
        <w:tc>
          <w:tcPr>
            <w:tcW w:type="dxa" w:w="4320"/>
          </w:tcPr>
          <w:p>
            <w:r>
              <w:rPr>
                <w:rFonts w:ascii="Calibri" w:hAnsi="Calibri"/>
                <w:sz w:val="17"/>
              </w:rPr>
            </w:r>
            <w:r>
              <w:rPr>
                <w:rFonts w:ascii="Calibri" w:hAnsi="Calibri"/>
                <w:b w:val="0"/>
                <w:i w:val="0"/>
                <w:sz w:val="17"/>
              </w:rPr>
              <w:t>Configural fit, metric invariance, multigroup path heterogeneity</w:t>
            </w:r>
          </w:p>
        </w:tc>
      </w:tr>
      <w:tr>
        <w:tc>
          <w:tcPr>
            <w:tcW w:type="dxa" w:w="4320"/>
          </w:tcPr>
          <w:p>
            <w:r>
              <w:rPr>
                <w:rFonts w:ascii="Calibri" w:hAnsi="Calibri"/>
                <w:sz w:val="17"/>
              </w:rPr>
            </w:r>
            <w:r>
              <w:rPr>
                <w:rFonts w:ascii="Calibri" w:hAnsi="Calibri"/>
                <w:b w:val="0"/>
                <w:i w:val="0"/>
                <w:sz w:val="17"/>
              </w:rPr>
              <w:t>t10a</w:t>
            </w:r>
            <w:r>
              <w:rPr>
                <w:rFonts w:ascii="Calibri" w:hAnsi="Calibri"/>
                <w:b w:val="0"/>
                <w:i w:val="0"/>
                <w:sz w:val="17"/>
              </w:rPr>
              <w:t>–</w:t>
            </w:r>
            <w:r>
              <w:rPr>
                <w:rFonts w:ascii="Calibri" w:hAnsi="Calibri"/>
                <w:b w:val="0"/>
                <w:i w:val="0"/>
                <w:sz w:val="17"/>
              </w:rPr>
              <w:t>t10c</w:t>
            </w:r>
          </w:p>
        </w:tc>
        <w:tc>
          <w:tcPr>
            <w:tcW w:type="dxa" w:w="4320"/>
          </w:tcPr>
          <w:p>
            <w:r>
              <w:rPr>
                <w:rFonts w:ascii="Calibri" w:hAnsi="Calibri"/>
                <w:sz w:val="17"/>
              </w:rPr>
            </w:r>
            <w:r>
              <w:rPr>
                <w:rFonts w:ascii="Calibri" w:hAnsi="Calibri"/>
                <w:b w:val="0"/>
                <w:i w:val="0"/>
                <w:sz w:val="17"/>
              </w:rPr>
              <w:t>Study 3A ANOVA, cell means, route-specific marginals</w:t>
            </w:r>
          </w:p>
        </w:tc>
      </w:tr>
      <w:tr>
        <w:tc>
          <w:tcPr>
            <w:tcW w:type="dxa" w:w="4320"/>
          </w:tcPr>
          <w:p>
            <w:r>
              <w:rPr>
                <w:rFonts w:ascii="Calibri" w:hAnsi="Calibri"/>
                <w:sz w:val="17"/>
              </w:rPr>
            </w:r>
            <w:r>
              <w:rPr>
                <w:rFonts w:ascii="Calibri" w:hAnsi="Calibri"/>
                <w:b w:val="0"/>
                <w:i w:val="0"/>
                <w:sz w:val="17"/>
              </w:rPr>
              <w:t>t11a</w:t>
            </w:r>
            <w:r>
              <w:rPr>
                <w:rFonts w:ascii="Calibri" w:hAnsi="Calibri"/>
                <w:b w:val="0"/>
                <w:i w:val="0"/>
                <w:sz w:val="17"/>
              </w:rPr>
              <w:t>–</w:t>
            </w:r>
            <w:r>
              <w:rPr>
                <w:rFonts w:ascii="Calibri" w:hAnsi="Calibri"/>
                <w:b w:val="0"/>
                <w:i w:val="0"/>
                <w:sz w:val="17"/>
              </w:rPr>
              <w:t>t11h</w:t>
            </w:r>
          </w:p>
        </w:tc>
        <w:tc>
          <w:tcPr>
            <w:tcW w:type="dxa" w:w="4320"/>
          </w:tcPr>
          <w:p>
            <w:r>
              <w:rPr>
                <w:rFonts w:ascii="Calibri" w:hAnsi="Calibri"/>
                <w:sz w:val="17"/>
              </w:rPr>
            </w:r>
            <w:r>
              <w:rPr>
                <w:rFonts w:ascii="Calibri" w:hAnsi="Calibri"/>
                <w:b w:val="0"/>
                <w:i w:val="0"/>
                <w:sz w:val="17"/>
              </w:rPr>
              <w:t>Study 3B quadratic, two-lines, dose–response, precarity terciles, peak shift, peak difference, theory curve, two-lines by half</w:t>
            </w:r>
          </w:p>
        </w:tc>
      </w:tr>
      <w:tr>
        <w:tc>
          <w:tcPr>
            <w:tcW w:type="dxa" w:w="4320"/>
          </w:tcPr>
          <w:p>
            <w:r>
              <w:rPr>
                <w:rFonts w:ascii="Calibri" w:hAnsi="Calibri"/>
                <w:sz w:val="17"/>
              </w:rPr>
            </w:r>
            <w:r>
              <w:rPr>
                <w:rFonts w:ascii="Calibri" w:hAnsi="Calibri"/>
                <w:b w:val="0"/>
                <w:i w:val="0"/>
                <w:sz w:val="17"/>
              </w:rPr>
              <w:t>t12a</w:t>
            </w:r>
            <w:r>
              <w:rPr>
                <w:rFonts w:ascii="Calibri" w:hAnsi="Calibri"/>
                <w:b w:val="0"/>
                <w:i w:val="0"/>
                <w:sz w:val="17"/>
              </w:rPr>
              <w:t>–</w:t>
            </w:r>
            <w:r>
              <w:rPr>
                <w:rFonts w:ascii="Calibri" w:hAnsi="Calibri"/>
                <w:b w:val="0"/>
                <w:i w:val="0"/>
                <w:sz w:val="17"/>
              </w:rPr>
              <w:t>t12c</w:t>
            </w:r>
          </w:p>
        </w:tc>
        <w:tc>
          <w:tcPr>
            <w:tcW w:type="dxa" w:w="4320"/>
          </w:tcPr>
          <w:p>
            <w:r>
              <w:rPr>
                <w:rFonts w:ascii="Calibri" w:hAnsi="Calibri"/>
                <w:sz w:val="17"/>
              </w:rPr>
            </w:r>
            <w:r>
              <w:rPr>
                <w:rFonts w:ascii="Calibri" w:hAnsi="Calibri"/>
                <w:b w:val="0"/>
                <w:i w:val="0"/>
                <w:sz w:val="17"/>
              </w:rPr>
              <w:t>Study 3C ANOVA, cells, simple effects</w:t>
            </w:r>
          </w:p>
        </w:tc>
      </w:tr>
      <w:tr>
        <w:tc>
          <w:tcPr>
            <w:tcW w:type="dxa" w:w="4320"/>
          </w:tcPr>
          <w:p>
            <w:r>
              <w:rPr>
                <w:rFonts w:ascii="Calibri" w:hAnsi="Calibri"/>
                <w:sz w:val="17"/>
              </w:rPr>
            </w:r>
            <w:r>
              <w:rPr>
                <w:rFonts w:ascii="Calibri" w:hAnsi="Calibri"/>
                <w:b w:val="0"/>
                <w:i w:val="0"/>
                <w:sz w:val="17"/>
              </w:rPr>
              <w:t>t13a</w:t>
            </w:r>
            <w:r>
              <w:rPr>
                <w:rFonts w:ascii="Calibri" w:hAnsi="Calibri"/>
                <w:b w:val="0"/>
                <w:i w:val="0"/>
                <w:sz w:val="17"/>
              </w:rPr>
              <w:t xml:space="preserve">, </w:t>
            </w:r>
            <w:r>
              <w:rPr>
                <w:rFonts w:ascii="Calibri" w:hAnsi="Calibri"/>
                <w:b w:val="0"/>
                <w:i w:val="0"/>
                <w:sz w:val="17"/>
              </w:rPr>
              <w:t>t13b_*</w:t>
            </w:r>
          </w:p>
        </w:tc>
        <w:tc>
          <w:tcPr>
            <w:tcW w:type="dxa" w:w="4320"/>
          </w:tcPr>
          <w:p>
            <w:r>
              <w:rPr>
                <w:rFonts w:ascii="Calibri" w:hAnsi="Calibri"/>
                <w:sz w:val="17"/>
              </w:rPr>
            </w:r>
            <w:r>
              <w:rPr>
                <w:rFonts w:ascii="Calibri" w:hAnsi="Calibri"/>
                <w:b w:val="0"/>
                <w:i w:val="0"/>
                <w:sz w:val="17"/>
              </w:rPr>
              <w:t>ABM scenario summary and per-regime time series</w:t>
            </w:r>
          </w:p>
        </w:tc>
      </w:tr>
      <w:tr>
        <w:tc>
          <w:tcPr>
            <w:tcW w:type="dxa" w:w="4320"/>
          </w:tcPr>
          <w:p>
            <w:r>
              <w:rPr>
                <w:rFonts w:ascii="Calibri" w:hAnsi="Calibri"/>
                <w:sz w:val="17"/>
              </w:rPr>
            </w:r>
            <w:r>
              <w:rPr>
                <w:rFonts w:ascii="Calibri" w:hAnsi="Calibri"/>
                <w:b w:val="0"/>
                <w:i w:val="0"/>
                <w:sz w:val="17"/>
              </w:rPr>
              <w:t>t14a</w:t>
            </w:r>
            <w:r>
              <w:rPr>
                <w:rFonts w:ascii="Calibri" w:hAnsi="Calibri"/>
                <w:b w:val="0"/>
                <w:i w:val="0"/>
                <w:sz w:val="17"/>
              </w:rPr>
              <w:t>–</w:t>
            </w:r>
            <w:r>
              <w:rPr>
                <w:rFonts w:ascii="Calibri" w:hAnsi="Calibri"/>
                <w:b w:val="0"/>
                <w:i w:val="0"/>
                <w:sz w:val="17"/>
              </w:rPr>
              <w:t>t14c</w:t>
            </w:r>
          </w:p>
        </w:tc>
        <w:tc>
          <w:tcPr>
            <w:tcW w:type="dxa" w:w="4320"/>
          </w:tcPr>
          <w:p>
            <w:r>
              <w:rPr>
                <w:rFonts w:ascii="Calibri" w:hAnsi="Calibri"/>
                <w:sz w:val="17"/>
              </w:rPr>
            </w:r>
            <w:r>
              <w:rPr>
                <w:rFonts w:ascii="Calibri" w:hAnsi="Calibri"/>
                <w:b w:val="0"/>
                <w:i w:val="0"/>
                <w:sz w:val="17"/>
              </w:rPr>
              <w:t>Tipping surface (243 cells), λ* frontier, complementarity quadrants</w:t>
            </w:r>
          </w:p>
        </w:tc>
      </w:tr>
      <w:tr>
        <w:tc>
          <w:tcPr>
            <w:tcW w:type="dxa" w:w="4320"/>
          </w:tcPr>
          <w:p>
            <w:r>
              <w:rPr>
                <w:rFonts w:ascii="Calibri" w:hAnsi="Calibri"/>
                <w:sz w:val="17"/>
              </w:rPr>
            </w:r>
            <w:r>
              <w:rPr>
                <w:rFonts w:ascii="Calibri" w:hAnsi="Calibri"/>
                <w:b w:val="0"/>
                <w:i w:val="0"/>
                <w:sz w:val="17"/>
              </w:rPr>
              <w:t>t15a</w:t>
            </w:r>
            <w:r>
              <w:rPr>
                <w:rFonts w:ascii="Calibri" w:hAnsi="Calibri"/>
                <w:b w:val="0"/>
                <w:i w:val="0"/>
                <w:sz w:val="17"/>
              </w:rPr>
              <w:t xml:space="preserve">, </w:t>
            </w:r>
            <w:r>
              <w:rPr>
                <w:rFonts w:ascii="Calibri" w:hAnsi="Calibri"/>
                <w:b w:val="0"/>
                <w:i w:val="0"/>
                <w:sz w:val="17"/>
              </w:rPr>
              <w:t>t15b</w:t>
            </w:r>
          </w:p>
        </w:tc>
        <w:tc>
          <w:tcPr>
            <w:tcW w:type="dxa" w:w="4320"/>
          </w:tcPr>
          <w:p>
            <w:r>
              <w:rPr>
                <w:rFonts w:ascii="Calibri" w:hAnsi="Calibri"/>
                <w:sz w:val="17"/>
              </w:rPr>
            </w:r>
            <w:r>
              <w:rPr>
                <w:rFonts w:ascii="Calibri" w:hAnsi="Calibri"/>
                <w:b w:val="0"/>
                <w:i w:val="0"/>
                <w:sz w:val="17"/>
              </w:rPr>
              <w:t>Reconfiguration sweep by credibility-erosion rate; interior-optimum test</w:t>
            </w:r>
          </w:p>
        </w:tc>
      </w:tr>
      <w:tr>
        <w:tc>
          <w:tcPr>
            <w:tcW w:type="dxa" w:w="4320"/>
          </w:tcPr>
          <w:p>
            <w:r>
              <w:rPr>
                <w:rFonts w:ascii="Calibri" w:hAnsi="Calibri"/>
                <w:sz w:val="17"/>
              </w:rPr>
            </w:r>
            <w:r>
              <w:rPr>
                <w:rFonts w:ascii="Calibri" w:hAnsi="Calibri"/>
                <w:b w:val="0"/>
                <w:i w:val="0"/>
                <w:sz w:val="17"/>
              </w:rPr>
              <w:t>t16_inequality.csv</w:t>
            </w:r>
          </w:p>
        </w:tc>
        <w:tc>
          <w:tcPr>
            <w:tcW w:type="dxa" w:w="4320"/>
          </w:tcPr>
          <w:p>
            <w:r>
              <w:rPr>
                <w:rFonts w:ascii="Calibri" w:hAnsi="Calibri"/>
                <w:sz w:val="17"/>
              </w:rPr>
            </w:r>
            <w:r>
              <w:rPr>
                <w:rFonts w:ascii="Calibri" w:hAnsi="Calibri"/>
                <w:b w:val="0"/>
                <w:i w:val="0"/>
                <w:sz w:val="17"/>
              </w:rPr>
              <w:t>λ* by precarity mean and dispersion</w:t>
            </w:r>
          </w:p>
        </w:tc>
      </w:tr>
      <w:tr>
        <w:tc>
          <w:tcPr>
            <w:tcW w:type="dxa" w:w="4320"/>
          </w:tcPr>
          <w:p>
            <w:r>
              <w:rPr>
                <w:rFonts w:ascii="Calibri" w:hAnsi="Calibri"/>
                <w:sz w:val="17"/>
              </w:rPr>
            </w:r>
            <w:r>
              <w:rPr>
                <w:rFonts w:ascii="Calibri" w:hAnsi="Calibri"/>
                <w:b w:val="0"/>
                <w:i w:val="0"/>
                <w:sz w:val="17"/>
              </w:rPr>
              <w:t>t17_sensitivity.csv</w:t>
            </w:r>
          </w:p>
        </w:tc>
        <w:tc>
          <w:tcPr>
            <w:tcW w:type="dxa" w:w="4320"/>
          </w:tcPr>
          <w:p>
            <w:r>
              <w:rPr>
                <w:rFonts w:ascii="Calibri" w:hAnsi="Calibri"/>
                <w:sz w:val="17"/>
              </w:rPr>
            </w:r>
            <w:r>
              <w:rPr>
                <w:rFonts w:ascii="Calibri" w:hAnsi="Calibri"/>
                <w:b w:val="0"/>
                <w:i w:val="0"/>
                <w:sz w:val="17"/>
              </w:rPr>
              <w:t>One-factor-at-a-time sensitivity</w:t>
            </w:r>
          </w:p>
        </w:tc>
      </w:tr>
      <w:tr>
        <w:tc>
          <w:tcPr>
            <w:tcW w:type="dxa" w:w="4320"/>
          </w:tcPr>
          <w:p>
            <w:r>
              <w:rPr>
                <w:rFonts w:ascii="Calibri" w:hAnsi="Calibri"/>
                <w:sz w:val="17"/>
              </w:rPr>
            </w:r>
            <w:r>
              <w:rPr>
                <w:rFonts w:ascii="Calibri" w:hAnsi="Calibri"/>
                <w:b w:val="0"/>
                <w:i w:val="0"/>
                <w:sz w:val="17"/>
              </w:rPr>
              <w:t>calibration_search.csv</w:t>
            </w:r>
          </w:p>
        </w:tc>
        <w:tc>
          <w:tcPr>
            <w:tcW w:type="dxa" w:w="4320"/>
          </w:tcPr>
          <w:p>
            <w:r>
              <w:rPr>
                <w:rFonts w:ascii="Calibri" w:hAnsi="Calibri"/>
                <w:sz w:val="17"/>
              </w:rPr>
            </w:r>
            <w:r>
              <w:rPr>
                <w:rFonts w:ascii="Calibri" w:hAnsi="Calibri"/>
                <w:b w:val="0"/>
                <w:i w:val="0"/>
                <w:sz w:val="17"/>
              </w:rPr>
              <w:t>Study 4 parameter search</w:t>
            </w:r>
          </w:p>
        </w:tc>
      </w:tr>
    </w:tbl>
    <w:p>
      <w:pPr>
        <w:pStyle w:val="Heading3"/>
      </w:pPr>
      <w:r>
        <w:rPr>
          <w:b w:val="0"/>
          <w:i w:val="0"/>
        </w:rPr>
        <w:t>Figures (</w:t>
      </w:r>
      <w:r>
        <w:rPr>
          <w:rFonts w:ascii="Consolas" w:hAnsi="Consolas"/>
          <w:b w:val="0"/>
          <w:i w:val="0"/>
          <w:sz w:val="19"/>
        </w:rPr>
        <w:t>../analysis/output/figures/</w:t>
      </w:r>
      <w:r>
        <w:rPr>
          <w:b w:val="0"/>
          <w:i w:val="0"/>
        </w:rPr>
        <w:t>)</w:t>
      </w:r>
    </w:p>
    <w:tbl>
      <w:tblPr>
        <w:tblStyle w:val="LightGrid-Accent1"/>
        <w:tblW w:type="auto" w:w="0"/>
        <w:tblLook w:firstColumn="1" w:firstRow="1" w:lastColumn="0" w:lastRow="0" w:noHBand="0" w:noVBand="1" w:val="04A0"/>
      </w:tblPr>
      <w:tblGrid>
        <w:gridCol w:w="4320"/>
        <w:gridCol w:w="4320"/>
      </w:tblGrid>
      <w:tr>
        <w:tc>
          <w:tcPr>
            <w:tcW w:type="dxa" w:w="4320"/>
          </w:tcPr>
          <w:p>
            <w:r>
              <w:rPr>
                <w:rFonts w:ascii="Calibri" w:hAnsi="Calibri"/>
                <w:b/>
                <w:sz w:val="17"/>
              </w:rPr>
            </w:r>
            <w:r>
              <w:rPr>
                <w:rFonts w:ascii="Calibri" w:hAnsi="Calibri"/>
                <w:b/>
                <w:i w:val="0"/>
                <w:sz w:val="17"/>
              </w:rPr>
              <w:t>File</w:t>
            </w:r>
          </w:p>
        </w:tc>
        <w:tc>
          <w:tcPr>
            <w:tcW w:type="dxa" w:w="4320"/>
          </w:tcPr>
          <w:p>
            <w:r>
              <w:rPr>
                <w:rFonts w:ascii="Calibri" w:hAnsi="Calibri"/>
                <w:b/>
                <w:sz w:val="17"/>
              </w:rPr>
            </w:r>
            <w:r>
              <w:rPr>
                <w:rFonts w:ascii="Calibri" w:hAnsi="Calibri"/>
                <w:b/>
                <w:i w:val="0"/>
                <w:sz w:val="17"/>
              </w:rPr>
              <w:t>Contents</w:t>
            </w:r>
          </w:p>
        </w:tc>
      </w:tr>
      <w:tr>
        <w:tc>
          <w:tcPr>
            <w:tcW w:type="dxa" w:w="4320"/>
          </w:tcPr>
          <w:p>
            <w:r>
              <w:rPr>
                <w:rFonts w:ascii="Calibri" w:hAnsi="Calibri"/>
                <w:sz w:val="17"/>
              </w:rPr>
            </w:r>
            <w:r>
              <w:rPr>
                <w:rFonts w:ascii="Calibri" w:hAnsi="Calibri"/>
                <w:b w:val="0"/>
                <w:i w:val="0"/>
                <w:sz w:val="17"/>
              </w:rPr>
              <w:t>fig1_conceptual_model.png</w:t>
            </w:r>
          </w:p>
        </w:tc>
        <w:tc>
          <w:tcPr>
            <w:tcW w:type="dxa" w:w="4320"/>
          </w:tcPr>
          <w:p>
            <w:r>
              <w:rPr>
                <w:rFonts w:ascii="Calibri" w:hAnsi="Calibri"/>
                <w:sz w:val="17"/>
              </w:rPr>
            </w:r>
            <w:r>
              <w:rPr>
                <w:rFonts w:ascii="Calibri" w:hAnsi="Calibri"/>
                <w:b w:val="0"/>
                <w:i w:val="0"/>
                <w:sz w:val="17"/>
              </w:rPr>
              <w:t>The Sufficiency–Sovereignty Model</w:t>
            </w:r>
          </w:p>
        </w:tc>
      </w:tr>
      <w:tr>
        <w:tc>
          <w:tcPr>
            <w:tcW w:type="dxa" w:w="4320"/>
          </w:tcPr>
          <w:p>
            <w:r>
              <w:rPr>
                <w:rFonts w:ascii="Calibri" w:hAnsi="Calibri"/>
                <w:sz w:val="17"/>
              </w:rPr>
            </w:r>
            <w:r>
              <w:rPr>
                <w:rFonts w:ascii="Calibri" w:hAnsi="Calibri"/>
                <w:b w:val="0"/>
                <w:i w:val="0"/>
                <w:sz w:val="17"/>
              </w:rPr>
              <w:t>fig2_flip_mechanism.png</w:t>
            </w:r>
          </w:p>
        </w:tc>
        <w:tc>
          <w:tcPr>
            <w:tcW w:type="dxa" w:w="4320"/>
          </w:tcPr>
          <w:p>
            <w:r>
              <w:rPr>
                <w:rFonts w:ascii="Calibri" w:hAnsi="Calibri"/>
                <w:sz w:val="17"/>
              </w:rPr>
            </w:r>
            <w:r>
              <w:rPr>
                <w:rFonts w:ascii="Calibri" w:hAnsi="Calibri"/>
                <w:b w:val="0"/>
                <w:i w:val="0"/>
                <w:sz w:val="17"/>
              </w:rPr>
              <w:t>Route saturation versus acceleration; the shifting flip point</w:t>
            </w:r>
          </w:p>
        </w:tc>
      </w:tr>
      <w:tr>
        <w:tc>
          <w:tcPr>
            <w:tcW w:type="dxa" w:w="4320"/>
          </w:tcPr>
          <w:p>
            <w:r>
              <w:rPr>
                <w:rFonts w:ascii="Calibri" w:hAnsi="Calibri"/>
                <w:sz w:val="17"/>
              </w:rPr>
            </w:r>
            <w:r>
              <w:rPr>
                <w:rFonts w:ascii="Calibri" w:hAnsi="Calibri"/>
                <w:b w:val="0"/>
                <w:i w:val="0"/>
                <w:sz w:val="17"/>
              </w:rPr>
              <w:t>fig3_dose_response.png</w:t>
            </w:r>
          </w:p>
        </w:tc>
        <w:tc>
          <w:tcPr>
            <w:tcW w:type="dxa" w:w="4320"/>
          </w:tcPr>
          <w:p>
            <w:r>
              <w:rPr>
                <w:rFonts w:ascii="Calibri" w:hAnsi="Calibri"/>
                <w:sz w:val="17"/>
              </w:rPr>
            </w:r>
            <w:r>
              <w:rPr>
                <w:rFonts w:ascii="Calibri" w:hAnsi="Calibri"/>
                <w:b w:val="0"/>
                <w:i w:val="0"/>
                <w:sz w:val="17"/>
              </w:rPr>
              <w:t>Study 3B dose–response with both routes</w:t>
            </w:r>
          </w:p>
        </w:tc>
      </w:tr>
      <w:tr>
        <w:tc>
          <w:tcPr>
            <w:tcW w:type="dxa" w:w="4320"/>
          </w:tcPr>
          <w:p>
            <w:r>
              <w:rPr>
                <w:rFonts w:ascii="Calibri" w:hAnsi="Calibri"/>
                <w:sz w:val="17"/>
              </w:rPr>
            </w:r>
            <w:r>
              <w:rPr>
                <w:rFonts w:ascii="Calibri" w:hAnsi="Calibri"/>
                <w:b w:val="0"/>
                <w:i w:val="0"/>
                <w:sz w:val="17"/>
              </w:rPr>
              <w:t>fig4_flip_by_precarity.png</w:t>
            </w:r>
          </w:p>
        </w:tc>
        <w:tc>
          <w:tcPr>
            <w:tcW w:type="dxa" w:w="4320"/>
          </w:tcPr>
          <w:p>
            <w:r>
              <w:rPr>
                <w:rFonts w:ascii="Calibri" w:hAnsi="Calibri"/>
                <w:sz w:val="17"/>
              </w:rPr>
            </w:r>
            <w:r>
              <w:rPr>
                <w:rFonts w:ascii="Calibri" w:hAnsi="Calibri"/>
                <w:b w:val="0"/>
                <w:i w:val="0"/>
                <w:sz w:val="17"/>
              </w:rPr>
              <w:t>Flip point by precarity; Johnson–Neyman</w:t>
            </w:r>
          </w:p>
        </w:tc>
      </w:tr>
      <w:tr>
        <w:tc>
          <w:tcPr>
            <w:tcW w:type="dxa" w:w="4320"/>
          </w:tcPr>
          <w:p>
            <w:r>
              <w:rPr>
                <w:rFonts w:ascii="Calibri" w:hAnsi="Calibri"/>
                <w:sz w:val="17"/>
              </w:rPr>
            </w:r>
            <w:r>
              <w:rPr>
                <w:rFonts w:ascii="Calibri" w:hAnsi="Calibri"/>
                <w:b w:val="0"/>
                <w:i w:val="0"/>
                <w:sz w:val="17"/>
              </w:rPr>
              <w:t>fig5_architecture_cells.png</w:t>
            </w:r>
          </w:p>
        </w:tc>
        <w:tc>
          <w:tcPr>
            <w:tcW w:type="dxa" w:w="4320"/>
          </w:tcPr>
          <w:p>
            <w:r>
              <w:rPr>
                <w:rFonts w:ascii="Calibri" w:hAnsi="Calibri"/>
                <w:sz w:val="17"/>
              </w:rPr>
            </w:r>
            <w:r>
              <w:rPr>
                <w:rFonts w:ascii="Calibri" w:hAnsi="Calibri"/>
                <w:b w:val="0"/>
                <w:i w:val="0"/>
                <w:sz w:val="17"/>
              </w:rPr>
              <w:t>Eight architectures; route-specific levers</w:t>
            </w:r>
          </w:p>
        </w:tc>
      </w:tr>
      <w:tr>
        <w:tc>
          <w:tcPr>
            <w:tcW w:type="dxa" w:w="4320"/>
          </w:tcPr>
          <w:p>
            <w:r>
              <w:rPr>
                <w:rFonts w:ascii="Calibri" w:hAnsi="Calibri"/>
                <w:sz w:val="17"/>
              </w:rPr>
            </w:r>
            <w:r>
              <w:rPr>
                <w:rFonts w:ascii="Calibri" w:hAnsi="Calibri"/>
                <w:b w:val="0"/>
                <w:i w:val="0"/>
                <w:sz w:val="17"/>
              </w:rPr>
              <w:t>fig6_sufficiency_washing.png</w:t>
            </w:r>
          </w:p>
        </w:tc>
        <w:tc>
          <w:tcPr>
            <w:tcW w:type="dxa" w:w="4320"/>
          </w:tcPr>
          <w:p>
            <w:r>
              <w:rPr>
                <w:rFonts w:ascii="Calibri" w:hAnsi="Calibri"/>
                <w:sz w:val="17"/>
              </w:rPr>
            </w:r>
            <w:r>
              <w:rPr>
                <w:rFonts w:ascii="Calibri" w:hAnsi="Calibri"/>
                <w:b w:val="0"/>
                <w:i w:val="0"/>
                <w:sz w:val="17"/>
              </w:rPr>
              <w:t>Intensity × sacrifice on brand equity</w:t>
            </w:r>
          </w:p>
        </w:tc>
      </w:tr>
      <w:tr>
        <w:tc>
          <w:tcPr>
            <w:tcW w:type="dxa" w:w="4320"/>
          </w:tcPr>
          <w:p>
            <w:r>
              <w:rPr>
                <w:rFonts w:ascii="Calibri" w:hAnsi="Calibri"/>
                <w:sz w:val="17"/>
              </w:rPr>
            </w:r>
            <w:r>
              <w:rPr>
                <w:rFonts w:ascii="Calibri" w:hAnsi="Calibri"/>
                <w:b w:val="0"/>
                <w:i w:val="0"/>
                <w:sz w:val="17"/>
              </w:rPr>
              <w:t>fig7_power_curves.png</w:t>
            </w:r>
          </w:p>
        </w:tc>
        <w:tc>
          <w:tcPr>
            <w:tcW w:type="dxa" w:w="4320"/>
          </w:tcPr>
          <w:p>
            <w:r>
              <w:rPr>
                <w:rFonts w:ascii="Calibri" w:hAnsi="Calibri"/>
                <w:sz w:val="17"/>
              </w:rPr>
            </w:r>
            <w:r>
              <w:rPr>
                <w:rFonts w:ascii="Calibri" w:hAnsi="Calibri"/>
                <w:b w:val="0"/>
                <w:i w:val="0"/>
                <w:sz w:val="17"/>
              </w:rPr>
              <w:t>Power curves</w:t>
            </w:r>
          </w:p>
        </w:tc>
      </w:tr>
      <w:tr>
        <w:tc>
          <w:tcPr>
            <w:tcW w:type="dxa" w:w="4320"/>
          </w:tcPr>
          <w:p>
            <w:r>
              <w:rPr>
                <w:rFonts w:ascii="Calibri" w:hAnsi="Calibri"/>
                <w:sz w:val="17"/>
              </w:rPr>
            </w:r>
            <w:r>
              <w:rPr>
                <w:rFonts w:ascii="Calibri" w:hAnsi="Calibri"/>
                <w:b w:val="0"/>
                <w:i w:val="0"/>
                <w:sz w:val="17"/>
              </w:rPr>
              <w:t>fig8_regimes.png</w:t>
            </w:r>
          </w:p>
        </w:tc>
        <w:tc>
          <w:tcPr>
            <w:tcW w:type="dxa" w:w="4320"/>
          </w:tcPr>
          <w:p>
            <w:r>
              <w:rPr>
                <w:rFonts w:ascii="Calibri" w:hAnsi="Calibri"/>
                <w:sz w:val="17"/>
              </w:rPr>
            </w:r>
            <w:r>
              <w:rPr>
                <w:rFonts w:ascii="Calibri" w:hAnsi="Calibri"/>
                <w:b w:val="0"/>
                <w:i w:val="0"/>
                <w:sz w:val="17"/>
              </w:rPr>
              <w:t>Five regimes over time</w:t>
            </w:r>
          </w:p>
        </w:tc>
      </w:tr>
      <w:tr>
        <w:tc>
          <w:tcPr>
            <w:tcW w:type="dxa" w:w="4320"/>
          </w:tcPr>
          <w:p>
            <w:r>
              <w:rPr>
                <w:rFonts w:ascii="Calibri" w:hAnsi="Calibri"/>
                <w:sz w:val="17"/>
              </w:rPr>
            </w:r>
            <w:r>
              <w:rPr>
                <w:rFonts w:ascii="Calibri" w:hAnsi="Calibri"/>
                <w:b w:val="0"/>
                <w:i w:val="0"/>
                <w:sz w:val="17"/>
              </w:rPr>
              <w:t>fig9_phase_diagram.png</w:t>
            </w:r>
          </w:p>
        </w:tc>
        <w:tc>
          <w:tcPr>
            <w:tcW w:type="dxa" w:w="4320"/>
          </w:tcPr>
          <w:p>
            <w:r>
              <w:rPr>
                <w:rFonts w:ascii="Calibri" w:hAnsi="Calibri"/>
                <w:sz w:val="17"/>
              </w:rPr>
            </w:r>
            <w:r>
              <w:rPr>
                <w:rFonts w:ascii="Calibri" w:hAnsi="Calibri"/>
                <w:b w:val="0"/>
                <w:i w:val="0"/>
                <w:sz w:val="17"/>
              </w:rPr>
              <w:t xml:space="preserve">Phase diagram in (λ, </w:t>
            </w:r>
            <w:r>
              <w:rPr>
                <w:rFonts w:ascii="Calibri" w:hAnsi="Calibri"/>
                <w:b w:val="0"/>
                <w:i/>
                <w:sz w:val="17"/>
              </w:rPr>
              <w:t>r</w:t>
            </w:r>
            <w:r>
              <w:rPr>
                <w:rFonts w:ascii="Calibri" w:hAnsi="Calibri"/>
                <w:b w:val="0"/>
                <w:i w:val="0"/>
                <w:sz w:val="17"/>
              </w:rPr>
              <w:t>) by policy</w:t>
            </w:r>
          </w:p>
        </w:tc>
      </w:tr>
      <w:tr>
        <w:tc>
          <w:tcPr>
            <w:tcW w:type="dxa" w:w="4320"/>
          </w:tcPr>
          <w:p>
            <w:r>
              <w:rPr>
                <w:rFonts w:ascii="Calibri" w:hAnsi="Calibri"/>
                <w:sz w:val="17"/>
              </w:rPr>
            </w:r>
            <w:r>
              <w:rPr>
                <w:rFonts w:ascii="Calibri" w:hAnsi="Calibri"/>
                <w:b w:val="0"/>
                <w:i w:val="0"/>
                <w:sz w:val="17"/>
              </w:rPr>
              <w:t>fig10_lambda_star.png</w:t>
            </w:r>
          </w:p>
        </w:tc>
        <w:tc>
          <w:tcPr>
            <w:tcW w:type="dxa" w:w="4320"/>
          </w:tcPr>
          <w:p>
            <w:r>
              <w:rPr>
                <w:rFonts w:ascii="Calibri" w:hAnsi="Calibri"/>
                <w:sz w:val="17"/>
              </w:rPr>
            </w:r>
            <w:r>
              <w:rPr>
                <w:rFonts w:ascii="Calibri" w:hAnsi="Calibri"/>
                <w:b w:val="0"/>
                <w:i w:val="0"/>
                <w:sz w:val="17"/>
              </w:rPr>
              <w:t>λ*(</w:t>
            </w:r>
            <w:r>
              <w:rPr>
                <w:rFonts w:ascii="Calibri" w:hAnsi="Calibri"/>
                <w:b w:val="0"/>
                <w:i/>
                <w:sz w:val="17"/>
              </w:rPr>
              <w:t>r</w:t>
            </w:r>
            <w:r>
              <w:rPr>
                <w:rFonts w:ascii="Calibri" w:hAnsi="Calibri"/>
                <w:b w:val="0"/>
                <w:i w:val="0"/>
                <w:sz w:val="17"/>
              </w:rPr>
              <w:t>) frontier</w:t>
            </w:r>
          </w:p>
        </w:tc>
      </w:tr>
      <w:tr>
        <w:tc>
          <w:tcPr>
            <w:tcW w:type="dxa" w:w="4320"/>
          </w:tcPr>
          <w:p>
            <w:r>
              <w:rPr>
                <w:rFonts w:ascii="Calibri" w:hAnsi="Calibri"/>
                <w:sz w:val="17"/>
              </w:rPr>
            </w:r>
            <w:r>
              <w:rPr>
                <w:rFonts w:ascii="Calibri" w:hAnsi="Calibri"/>
                <w:b w:val="0"/>
                <w:i w:val="0"/>
                <w:sz w:val="17"/>
              </w:rPr>
              <w:t>fig11_inequality.png</w:t>
            </w:r>
          </w:p>
        </w:tc>
        <w:tc>
          <w:tcPr>
            <w:tcW w:type="dxa" w:w="4320"/>
          </w:tcPr>
          <w:p>
            <w:r>
              <w:rPr>
                <w:rFonts w:ascii="Calibri" w:hAnsi="Calibri"/>
                <w:sz w:val="17"/>
              </w:rPr>
            </w:r>
            <w:r>
              <w:rPr>
                <w:rFonts w:ascii="Calibri" w:hAnsi="Calibri"/>
                <w:b w:val="0"/>
                <w:i w:val="0"/>
                <w:sz w:val="17"/>
              </w:rPr>
              <w:t>Inequality raises the threshold</w:t>
            </w:r>
          </w:p>
        </w:tc>
      </w:tr>
      <w:tr>
        <w:tc>
          <w:tcPr>
            <w:tcW w:type="dxa" w:w="4320"/>
          </w:tcPr>
          <w:p>
            <w:r>
              <w:rPr>
                <w:rFonts w:ascii="Calibri" w:hAnsi="Calibri"/>
                <w:sz w:val="17"/>
              </w:rPr>
            </w:r>
            <w:r>
              <w:rPr>
                <w:rFonts w:ascii="Calibri" w:hAnsi="Calibri"/>
                <w:b w:val="0"/>
                <w:i w:val="0"/>
                <w:sz w:val="17"/>
              </w:rPr>
              <w:t>fig12_reconfiguration.png</w:t>
            </w:r>
          </w:p>
        </w:tc>
        <w:tc>
          <w:tcPr>
            <w:tcW w:type="dxa" w:w="4320"/>
          </w:tcPr>
          <w:p>
            <w:r>
              <w:rPr>
                <w:rFonts w:ascii="Calibri" w:hAnsi="Calibri"/>
                <w:sz w:val="17"/>
              </w:rPr>
            </w:r>
            <w:r>
              <w:rPr>
                <w:rFonts w:ascii="Calibri" w:hAnsi="Calibri"/>
                <w:b w:val="0"/>
                <w:i w:val="0"/>
                <w:sz w:val="17"/>
              </w:rPr>
              <w:t>The rejected credibility–viability conjecture</w:t>
            </w:r>
          </w:p>
        </w:tc>
      </w:tr>
    </w:tbl>
    <w:p>
      <w:pPr>
        <w:jc w:val="center"/>
      </w:pPr>
      <w:r>
        <w:rPr>
          <w:color w:val="BBBBBB"/>
        </w:rPr>
        <w:t>____________________________________________________________</w:t>
      </w:r>
    </w:p>
    <w:p>
      <w:pPr>
        <w:pStyle w:val="Heading2"/>
      </w:pPr>
      <w:r>
        <w:rPr>
          <w:b w:val="0"/>
          <w:i w:val="0"/>
        </w:rPr>
        <w:t>G. Reproduction</w:t>
      </w:r>
    </w:p>
    <w:p>
      <w:r>
        <w:rPr>
          <w:rFonts w:ascii="Consolas" w:hAnsi="Consolas"/>
          <w:sz w:val="18"/>
        </w:rPr>
        <w:t># One-time environment setup (Python 3.11)</w:t>
        <w:br/>
        <w:t>python -m venv .venv &amp;&amp; . .venv/bin/activate</w:t>
        <w:br/>
        <w:t>pip install -r analysis/requirements.txt</w:t>
        <w:br/>
        <w:br/>
        <w:t>cd analysis/src</w:t>
        <w:br/>
        <w:br/>
        <w:t>python run_all.py            # full pipeline, ~13 min, deterministic (SEED = 20260801)</w:t>
        <w:br/>
        <w:t>python run_all.py --quick    # reduced replications, ~2 min</w:t>
        <w:br/>
        <w:t>python run_all.py --skip-mc  # everything except the Monte Carlo study</w:t>
        <w:br/>
        <w:br/>
        <w:t>python calibrate_micro.py    # micro effect-size calibration</w:t>
        <w:br/>
        <w:t>python calibrate_abm.py      # Study 4 regime-reachability search</w:t>
        <w:br/>
        <w:t>python verify_manuscript.py  # checks all 406 numeric claims in MANUSCRIPT.md</w:t>
      </w:r>
    </w:p>
    <w:p>
      <w:r>
        <w:rPr>
          <w:rFonts w:ascii="Consolas" w:hAnsi="Consolas"/>
          <w:b w:val="0"/>
          <w:i w:val="0"/>
          <w:sz w:val="19"/>
        </w:rPr>
        <w:t>verify_manuscript.py</w:t>
      </w:r>
      <w:r>
        <w:rPr>
          <w:b w:val="0"/>
          <w:i w:val="0"/>
        </w:rPr>
        <w:t xml:space="preserve"> is the important one. It re-reads every results table and asserts that each numeric claim in the manuscript matches, exiting non-zero on any mismatch. It currently reports </w:t>
      </w:r>
      <w:r>
        <w:rPr>
          <w:b/>
          <w:i w:val="0"/>
        </w:rPr>
        <w:t>406/406 claims verified</w:t>
      </w:r>
      <w:r>
        <w:rPr>
          <w:b w:val="0"/>
          <w:i w:val="0"/>
        </w:rPr>
        <w:t xml:space="preserve">. It caught eleven genuine errors during drafting, including one substantive misstatement (a product-term interaction described as non-significant when it is significant at </w:t>
      </w:r>
      <w:r>
        <w:rPr>
          <w:b w:val="0"/>
          <w:i/>
        </w:rPr>
        <w:t>p</w:t>
      </w:r>
      <w:r>
        <w:rPr>
          <w:b w:val="0"/>
          <w:i w:val="0"/>
        </w:rPr>
        <w:t xml:space="preserve"> = .006). Any future change to the model or parameters that invalidates a manuscript claim will be caught by running it.</w:t>
      </w:r>
    </w:p>
    <w:p>
      <w:pPr>
        <w:pStyle w:val="Heading3"/>
      </w:pPr>
      <w:r>
        <w:rPr>
          <w:b w:val="0"/>
          <w:i w:val="0"/>
        </w:rPr>
        <w:t>Module map</w:t>
      </w:r>
    </w:p>
    <w:tbl>
      <w:tblPr>
        <w:tblStyle w:val="LightGrid-Accent1"/>
        <w:tblW w:type="auto" w:w="0"/>
        <w:tblLook w:firstColumn="1" w:firstRow="1" w:lastColumn="0" w:lastRow="0" w:noHBand="0" w:noVBand="1" w:val="04A0"/>
      </w:tblPr>
      <w:tblGrid>
        <w:gridCol w:w="4320"/>
        <w:gridCol w:w="4320"/>
      </w:tblGrid>
      <w:tr>
        <w:tc>
          <w:tcPr>
            <w:tcW w:type="dxa" w:w="4320"/>
          </w:tcPr>
          <w:p>
            <w:r>
              <w:rPr>
                <w:rFonts w:ascii="Calibri" w:hAnsi="Calibri"/>
                <w:b/>
                <w:sz w:val="17"/>
              </w:rPr>
            </w:r>
            <w:r>
              <w:rPr>
                <w:rFonts w:ascii="Calibri" w:hAnsi="Calibri"/>
                <w:b/>
                <w:i w:val="0"/>
                <w:sz w:val="17"/>
              </w:rPr>
              <w:t>File</w:t>
            </w:r>
          </w:p>
        </w:tc>
        <w:tc>
          <w:tcPr>
            <w:tcW w:type="dxa" w:w="4320"/>
          </w:tcPr>
          <w:p>
            <w:r>
              <w:rPr>
                <w:rFonts w:ascii="Calibri" w:hAnsi="Calibri"/>
                <w:b/>
                <w:sz w:val="17"/>
              </w:rPr>
            </w:r>
            <w:r>
              <w:rPr>
                <w:rFonts w:ascii="Calibri" w:hAnsi="Calibri"/>
                <w:b/>
                <w:i w:val="0"/>
                <w:sz w:val="17"/>
              </w:rPr>
              <w:t>Role</w:t>
            </w:r>
          </w:p>
        </w:tc>
      </w:tr>
      <w:tr>
        <w:tc>
          <w:tcPr>
            <w:tcW w:type="dxa" w:w="4320"/>
          </w:tcPr>
          <w:p>
            <w:r>
              <w:rPr>
                <w:rFonts w:ascii="Calibri" w:hAnsi="Calibri"/>
                <w:sz w:val="17"/>
              </w:rPr>
            </w:r>
            <w:r>
              <w:rPr>
                <w:rFonts w:ascii="Calibri" w:hAnsi="Calibri"/>
                <w:b w:val="0"/>
                <w:i w:val="0"/>
                <w:sz w:val="17"/>
              </w:rPr>
              <w:t>config.py</w:t>
            </w:r>
          </w:p>
        </w:tc>
        <w:tc>
          <w:tcPr>
            <w:tcW w:type="dxa" w:w="4320"/>
          </w:tcPr>
          <w:p>
            <w:r>
              <w:rPr>
                <w:rFonts w:ascii="Calibri" w:hAnsi="Calibri"/>
                <w:sz w:val="17"/>
              </w:rPr>
            </w:r>
            <w:r>
              <w:rPr>
                <w:rFonts w:ascii="Calibri" w:hAnsi="Calibri"/>
                <w:b w:val="0"/>
                <w:i w:val="0"/>
                <w:sz w:val="17"/>
              </w:rPr>
              <w:t>All parameters; the single source of truth for the calibration</w:t>
            </w:r>
          </w:p>
        </w:tc>
      </w:tr>
      <w:tr>
        <w:tc>
          <w:tcPr>
            <w:tcW w:type="dxa" w:w="4320"/>
          </w:tcPr>
          <w:p>
            <w:r>
              <w:rPr>
                <w:rFonts w:ascii="Calibri" w:hAnsi="Calibri"/>
                <w:sz w:val="17"/>
              </w:rPr>
            </w:r>
            <w:r>
              <w:rPr>
                <w:rFonts w:ascii="Calibri" w:hAnsi="Calibri"/>
                <w:b w:val="0"/>
                <w:i w:val="0"/>
                <w:sz w:val="17"/>
              </w:rPr>
              <w:t>dgp.py</w:t>
            </w:r>
          </w:p>
        </w:tc>
        <w:tc>
          <w:tcPr>
            <w:tcW w:type="dxa" w:w="4320"/>
          </w:tcPr>
          <w:p>
            <w:r>
              <w:rPr>
                <w:rFonts w:ascii="Calibri" w:hAnsi="Calibri"/>
                <w:sz w:val="17"/>
              </w:rPr>
            </w:r>
            <w:r>
              <w:rPr>
                <w:rFonts w:ascii="Calibri" w:hAnsi="Calibri"/>
                <w:b w:val="0"/>
                <w:i w:val="0"/>
                <w:sz w:val="17"/>
              </w:rPr>
              <w:t>The formal micro theory: route functions, closed-form flip point, latent simulation, measurement model, study datasets</w:t>
            </w:r>
          </w:p>
        </w:tc>
      </w:tr>
      <w:tr>
        <w:tc>
          <w:tcPr>
            <w:tcW w:type="dxa" w:w="4320"/>
          </w:tcPr>
          <w:p>
            <w:r>
              <w:rPr>
                <w:rFonts w:ascii="Calibri" w:hAnsi="Calibri"/>
                <w:sz w:val="17"/>
              </w:rPr>
            </w:r>
            <w:r>
              <w:rPr>
                <w:rFonts w:ascii="Calibri" w:hAnsi="Calibri"/>
                <w:b w:val="0"/>
                <w:i w:val="0"/>
                <w:sz w:val="17"/>
              </w:rPr>
              <w:t>structural.py</w:t>
            </w:r>
          </w:p>
        </w:tc>
        <w:tc>
          <w:tcPr>
            <w:tcW w:type="dxa" w:w="4320"/>
          </w:tcPr>
          <w:p>
            <w:r>
              <w:rPr>
                <w:rFonts w:ascii="Calibri" w:hAnsi="Calibri"/>
                <w:sz w:val="17"/>
              </w:rPr>
            </w:r>
            <w:r>
              <w:rPr>
                <w:rFonts w:ascii="Calibri" w:hAnsi="Calibri"/>
                <w:b w:val="0"/>
                <w:i w:val="0"/>
                <w:sz w:val="17"/>
              </w:rPr>
              <w:t xml:space="preserve">The canonical estimator, reused by Studies 1, 2 and 3 so that the power analysis is a power analysis </w:t>
            </w:r>
            <w:r>
              <w:rPr>
                <w:rFonts w:ascii="Calibri" w:hAnsi="Calibri"/>
                <w:b w:val="0"/>
                <w:i/>
                <w:sz w:val="17"/>
              </w:rPr>
              <w:t>of the reported estimator</w:t>
            </w:r>
          </w:p>
        </w:tc>
      </w:tr>
      <w:tr>
        <w:tc>
          <w:tcPr>
            <w:tcW w:type="dxa" w:w="4320"/>
          </w:tcPr>
          <w:p>
            <w:r>
              <w:rPr>
                <w:rFonts w:ascii="Calibri" w:hAnsi="Calibri"/>
                <w:sz w:val="17"/>
              </w:rPr>
            </w:r>
            <w:r>
              <w:rPr>
                <w:rFonts w:ascii="Calibri" w:hAnsi="Calibri"/>
                <w:b w:val="0"/>
                <w:i w:val="0"/>
                <w:sz w:val="17"/>
              </w:rPr>
              <w:t>measurement.py</w:t>
            </w:r>
          </w:p>
        </w:tc>
        <w:tc>
          <w:tcPr>
            <w:tcW w:type="dxa" w:w="4320"/>
          </w:tcPr>
          <w:p>
            <w:r>
              <w:rPr>
                <w:rFonts w:ascii="Calibri" w:hAnsi="Calibri"/>
                <w:sz w:val="17"/>
              </w:rPr>
            </w:r>
            <w:r>
              <w:rPr>
                <w:rFonts w:ascii="Calibri" w:hAnsi="Calibri"/>
                <w:b w:val="0"/>
                <w:i w:val="0"/>
                <w:sz w:val="17"/>
              </w:rPr>
              <w:t>Study 1: CFA, reliability, HTMT, Monte Carlo recovery, power</w:t>
            </w:r>
          </w:p>
        </w:tc>
      </w:tr>
      <w:tr>
        <w:tc>
          <w:tcPr>
            <w:tcW w:type="dxa" w:w="4320"/>
          </w:tcPr>
          <w:p>
            <w:r>
              <w:rPr>
                <w:rFonts w:ascii="Calibri" w:hAnsi="Calibri"/>
                <w:sz w:val="17"/>
              </w:rPr>
            </w:r>
            <w:r>
              <w:rPr>
                <w:rFonts w:ascii="Calibri" w:hAnsi="Calibri"/>
                <w:b w:val="0"/>
                <w:i w:val="0"/>
                <w:sz w:val="17"/>
              </w:rPr>
              <w:t>sem_micro.py</w:t>
            </w:r>
          </w:p>
        </w:tc>
        <w:tc>
          <w:tcPr>
            <w:tcW w:type="dxa" w:w="4320"/>
          </w:tcPr>
          <w:p>
            <w:r>
              <w:rPr>
                <w:rFonts w:ascii="Calibri" w:hAnsi="Calibri"/>
                <w:sz w:val="17"/>
              </w:rPr>
            </w:r>
            <w:r>
              <w:rPr>
                <w:rFonts w:ascii="Calibri" w:hAnsi="Calibri"/>
                <w:b w:val="0"/>
                <w:i w:val="0"/>
                <w:sz w:val="17"/>
              </w:rPr>
              <w:t>Study 2: latent SEM, configural fit, invariance, multigroup</w:t>
            </w:r>
          </w:p>
        </w:tc>
      </w:tr>
      <w:tr>
        <w:tc>
          <w:tcPr>
            <w:tcW w:type="dxa" w:w="4320"/>
          </w:tcPr>
          <w:p>
            <w:r>
              <w:rPr>
                <w:rFonts w:ascii="Calibri" w:hAnsi="Calibri"/>
                <w:sz w:val="17"/>
              </w:rPr>
            </w:r>
            <w:r>
              <w:rPr>
                <w:rFonts w:ascii="Calibri" w:hAnsi="Calibri"/>
                <w:b w:val="0"/>
                <w:i w:val="0"/>
                <w:sz w:val="17"/>
              </w:rPr>
              <w:t>moderated_mediation.py</w:t>
            </w:r>
          </w:p>
        </w:tc>
        <w:tc>
          <w:tcPr>
            <w:tcW w:type="dxa" w:w="4320"/>
          </w:tcPr>
          <w:p>
            <w:r>
              <w:rPr>
                <w:rFonts w:ascii="Calibri" w:hAnsi="Calibri"/>
                <w:sz w:val="17"/>
              </w:rPr>
            </w:r>
            <w:r>
              <w:rPr>
                <w:rFonts w:ascii="Calibri" w:hAnsi="Calibri"/>
                <w:b w:val="0"/>
                <w:i w:val="0"/>
                <w:sz w:val="17"/>
              </w:rPr>
              <w:t>Study 2: bootstrapped mediation system, indices of moderated mediation, Johnson–Neyman</w:t>
            </w:r>
          </w:p>
        </w:tc>
      </w:tr>
      <w:tr>
        <w:tc>
          <w:tcPr>
            <w:tcW w:type="dxa" w:w="4320"/>
          </w:tcPr>
          <w:p>
            <w:r>
              <w:rPr>
                <w:rFonts w:ascii="Calibri" w:hAnsi="Calibri"/>
                <w:sz w:val="17"/>
              </w:rPr>
            </w:r>
            <w:r>
              <w:rPr>
                <w:rFonts w:ascii="Calibri" w:hAnsi="Calibri"/>
                <w:b w:val="0"/>
                <w:i w:val="0"/>
                <w:sz w:val="17"/>
              </w:rPr>
              <w:t>experiment_analysis.py</w:t>
            </w:r>
          </w:p>
        </w:tc>
        <w:tc>
          <w:tcPr>
            <w:tcW w:type="dxa" w:w="4320"/>
          </w:tcPr>
          <w:p>
            <w:r>
              <w:rPr>
                <w:rFonts w:ascii="Calibri" w:hAnsi="Calibri"/>
                <w:sz w:val="17"/>
              </w:rPr>
            </w:r>
            <w:r>
              <w:rPr>
                <w:rFonts w:ascii="Calibri" w:hAnsi="Calibri"/>
                <w:b w:val="0"/>
                <w:i w:val="0"/>
                <w:sz w:val="17"/>
              </w:rPr>
              <w:t>Study 3: factorial ANOVA, two-lines test, flip-point bootstraps</w:t>
            </w:r>
          </w:p>
        </w:tc>
      </w:tr>
      <w:tr>
        <w:tc>
          <w:tcPr>
            <w:tcW w:type="dxa" w:w="4320"/>
          </w:tcPr>
          <w:p>
            <w:r>
              <w:rPr>
                <w:rFonts w:ascii="Calibri" w:hAnsi="Calibri"/>
                <w:sz w:val="17"/>
              </w:rPr>
            </w:r>
            <w:r>
              <w:rPr>
                <w:rFonts w:ascii="Calibri" w:hAnsi="Calibri"/>
                <w:b w:val="0"/>
                <w:i w:val="0"/>
                <w:sz w:val="17"/>
              </w:rPr>
              <w:t>abm_market.py</w:t>
            </w:r>
          </w:p>
        </w:tc>
        <w:tc>
          <w:tcPr>
            <w:tcW w:type="dxa" w:w="4320"/>
          </w:tcPr>
          <w:p>
            <w:r>
              <w:rPr>
                <w:rFonts w:ascii="Calibri" w:hAnsi="Calibri"/>
                <w:sz w:val="17"/>
              </w:rPr>
            </w:r>
            <w:r>
              <w:rPr>
                <w:rFonts w:ascii="Calibri" w:hAnsi="Calibri"/>
                <w:b w:val="0"/>
                <w:i w:val="0"/>
                <w:sz w:val="17"/>
              </w:rPr>
              <w:t>Study 4: market-systems model, regimes, tipping surface, inequality, sensitivity</w:t>
            </w:r>
          </w:p>
        </w:tc>
      </w:tr>
      <w:tr>
        <w:tc>
          <w:tcPr>
            <w:tcW w:type="dxa" w:w="4320"/>
          </w:tcPr>
          <w:p>
            <w:r>
              <w:rPr>
                <w:rFonts w:ascii="Calibri" w:hAnsi="Calibri"/>
                <w:sz w:val="17"/>
              </w:rPr>
            </w:r>
            <w:r>
              <w:rPr>
                <w:rFonts w:ascii="Calibri" w:hAnsi="Calibri"/>
                <w:b w:val="0"/>
                <w:i w:val="0"/>
                <w:sz w:val="17"/>
              </w:rPr>
              <w:t>calibrate_micro.py</w:t>
            </w:r>
            <w:r>
              <w:rPr>
                <w:rFonts w:ascii="Calibri" w:hAnsi="Calibri"/>
                <w:b w:val="0"/>
                <w:i w:val="0"/>
                <w:sz w:val="17"/>
              </w:rPr>
              <w:t xml:space="preserve">, </w:t>
            </w:r>
            <w:r>
              <w:rPr>
                <w:rFonts w:ascii="Calibri" w:hAnsi="Calibri"/>
                <w:b w:val="0"/>
                <w:i w:val="0"/>
                <w:sz w:val="17"/>
              </w:rPr>
              <w:t>calibrate_abm.py</w:t>
            </w:r>
          </w:p>
        </w:tc>
        <w:tc>
          <w:tcPr>
            <w:tcW w:type="dxa" w:w="4320"/>
          </w:tcPr>
          <w:p>
            <w:r>
              <w:rPr>
                <w:rFonts w:ascii="Calibri" w:hAnsi="Calibri"/>
                <w:sz w:val="17"/>
              </w:rPr>
            </w:r>
            <w:r>
              <w:rPr>
                <w:rFonts w:ascii="Calibri" w:hAnsi="Calibri"/>
                <w:b w:val="0"/>
                <w:i w:val="0"/>
                <w:sz w:val="17"/>
              </w:rPr>
              <w:t>Calibration transparency</w:t>
            </w:r>
          </w:p>
        </w:tc>
      </w:tr>
      <w:tr>
        <w:tc>
          <w:tcPr>
            <w:tcW w:type="dxa" w:w="4320"/>
          </w:tcPr>
          <w:p>
            <w:r>
              <w:rPr>
                <w:rFonts w:ascii="Calibri" w:hAnsi="Calibri"/>
                <w:sz w:val="17"/>
              </w:rPr>
            </w:r>
            <w:r>
              <w:rPr>
                <w:rFonts w:ascii="Calibri" w:hAnsi="Calibri"/>
                <w:b w:val="0"/>
                <w:i w:val="0"/>
                <w:sz w:val="17"/>
              </w:rPr>
              <w:t>figures.py</w:t>
            </w:r>
          </w:p>
        </w:tc>
        <w:tc>
          <w:tcPr>
            <w:tcW w:type="dxa" w:w="4320"/>
          </w:tcPr>
          <w:p>
            <w:r>
              <w:rPr>
                <w:rFonts w:ascii="Calibri" w:hAnsi="Calibri"/>
                <w:sz w:val="17"/>
              </w:rPr>
            </w:r>
            <w:r>
              <w:rPr>
                <w:rFonts w:ascii="Calibri" w:hAnsi="Calibri"/>
                <w:b w:val="0"/>
                <w:i w:val="0"/>
                <w:sz w:val="17"/>
              </w:rPr>
              <w:t>All 12 figures</w:t>
            </w:r>
          </w:p>
        </w:tc>
      </w:tr>
      <w:tr>
        <w:tc>
          <w:tcPr>
            <w:tcW w:type="dxa" w:w="4320"/>
          </w:tcPr>
          <w:p>
            <w:r>
              <w:rPr>
                <w:rFonts w:ascii="Calibri" w:hAnsi="Calibri"/>
                <w:sz w:val="17"/>
              </w:rPr>
            </w:r>
            <w:r>
              <w:rPr>
                <w:rFonts w:ascii="Calibri" w:hAnsi="Calibri"/>
                <w:b w:val="0"/>
                <w:i w:val="0"/>
                <w:sz w:val="17"/>
              </w:rPr>
              <w:t>run_all.py</w:t>
            </w:r>
          </w:p>
        </w:tc>
        <w:tc>
          <w:tcPr>
            <w:tcW w:type="dxa" w:w="4320"/>
          </w:tcPr>
          <w:p>
            <w:r>
              <w:rPr>
                <w:rFonts w:ascii="Calibri" w:hAnsi="Calibri"/>
                <w:sz w:val="17"/>
              </w:rPr>
            </w:r>
            <w:r>
              <w:rPr>
                <w:rFonts w:ascii="Calibri" w:hAnsi="Calibri"/>
                <w:b w:val="0"/>
                <w:i w:val="0"/>
                <w:sz w:val="17"/>
              </w:rPr>
              <w:t>Master pipeline</w:t>
            </w:r>
          </w:p>
        </w:tc>
      </w:tr>
      <w:tr>
        <w:tc>
          <w:tcPr>
            <w:tcW w:type="dxa" w:w="4320"/>
          </w:tcPr>
          <w:p>
            <w:r>
              <w:rPr>
                <w:rFonts w:ascii="Calibri" w:hAnsi="Calibri"/>
                <w:sz w:val="17"/>
              </w:rPr>
            </w:r>
            <w:r>
              <w:rPr>
                <w:rFonts w:ascii="Calibri" w:hAnsi="Calibri"/>
                <w:b w:val="0"/>
                <w:i w:val="0"/>
                <w:sz w:val="17"/>
              </w:rPr>
              <w:t>verify_manuscript.py</w:t>
            </w:r>
          </w:p>
        </w:tc>
        <w:tc>
          <w:tcPr>
            <w:tcW w:type="dxa" w:w="4320"/>
          </w:tcPr>
          <w:p>
            <w:r>
              <w:rPr>
                <w:rFonts w:ascii="Calibri" w:hAnsi="Calibri"/>
                <w:sz w:val="17"/>
              </w:rPr>
            </w:r>
            <w:r>
              <w:rPr>
                <w:rFonts w:ascii="Calibri" w:hAnsi="Calibri"/>
                <w:b w:val="0"/>
                <w:i w:val="0"/>
                <w:sz w:val="17"/>
              </w:rPr>
              <w:t>Manuscript-to-output consistency harness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