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59199E10" w:rsidR="00990F18" w:rsidRPr="00205C71" w:rsidRDefault="00BD2F70" w:rsidP="00E50BF7">
      <w:pPr>
        <w:spacing w:after="0"/>
        <w:rPr>
          <w:szCs w:val="24"/>
        </w:rPr>
      </w:pPr>
      <w:r w:rsidRPr="00205C71">
        <w:rPr>
          <w:szCs w:val="24"/>
        </w:rPr>
        <w:t>Decarbonising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00326821" w:rsidRPr="00326821">
        <w:rPr>
          <w:szCs w:val="24"/>
        </w:rPr>
        <w:t>Drawing on a survey of 220 logistics and supply chain managers in India and China, the study applies partial least squares structural equation modelling</w:t>
      </w:r>
      <w:r w:rsidRPr="00205C71">
        <w:rPr>
          <w:szCs w:val="24"/>
        </w:rPr>
        <w:t xml:space="preserve">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modelled directions.</w:t>
      </w:r>
      <w:r w:rsidR="00942DF3">
        <w:rPr>
          <w:szCs w:val="24"/>
        </w:rPr>
        <w:t xml:space="preserve"> </w:t>
      </w:r>
      <w:proofErr w:type="spellStart"/>
      <w:r w:rsidRPr="00205C71">
        <w:rPr>
          <w:szCs w:val="24"/>
        </w:rPr>
        <w:t>fsQCA</w:t>
      </w:r>
      <w:proofErr w:type="spellEnd"/>
      <w:r w:rsidRPr="00205C71">
        <w:rPr>
          <w:szCs w:val="24"/>
        </w:rPr>
        <w:t xml:space="preserve"> identifies two sufficient configurations in developing economies, anchored by regulatory pressure and reduced cost barriers, and three in emerging economies, anchored by digital readiness and managerial commitment, demonstrating that no single enabler is necessary.</w:t>
      </w:r>
      <w:r w:rsidR="002A7908">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 xml:space="preserve">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w:t>
      </w:r>
      <w:proofErr w:type="spellStart"/>
      <w:r w:rsidRPr="00205C71">
        <w:rPr>
          <w:szCs w:val="24"/>
        </w:rPr>
        <w:t>decarbonised</w:t>
      </w:r>
      <w:proofErr w:type="spellEnd"/>
      <w:r w:rsidRPr="00205C71">
        <w:rPr>
          <w:szCs w:val="24"/>
        </w:rPr>
        <w:t xml:space="preserve"> at scale (Evangelista et al., 2018; </w:t>
      </w:r>
      <w:proofErr w:type="spellStart"/>
      <w:r w:rsidRPr="00205C71">
        <w:rPr>
          <w:szCs w:val="24"/>
        </w:rPr>
        <w:t>Centobelli</w:t>
      </w:r>
      <w:proofErr w:type="spellEnd"/>
      <w:r w:rsidRPr="00205C71">
        <w:rPr>
          <w:szCs w:val="24"/>
        </w:rPr>
        <w:t xml:space="preserve">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 xml:space="preserve">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&amp; </w:t>
      </w:r>
      <w:proofErr w:type="spellStart"/>
      <w:r w:rsidRPr="00205C71">
        <w:rPr>
          <w:szCs w:val="24"/>
        </w:rPr>
        <w:t>Hasanagic</w:t>
      </w:r>
      <w:proofErr w:type="spellEnd"/>
      <w:r w:rsidRPr="00205C71">
        <w:rPr>
          <w:szCs w:val="24"/>
        </w:rPr>
        <w:t>,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 xml:space="preserve">suited to testing theory, but it is symmetric and additive by design: it assumes that an enabler adds the same increment to performance whether or not other enablers are present. </w:t>
      </w:r>
      <w:proofErr w:type="spellStart"/>
      <w:r w:rsidRPr="00205C71">
        <w:rPr>
          <w:szCs w:val="24"/>
        </w:rPr>
        <w:t>Organisations</w:t>
      </w:r>
      <w:proofErr w:type="spellEnd"/>
      <w:r w:rsidRPr="00205C71">
        <w:rPr>
          <w:szCs w:val="24"/>
        </w:rPr>
        <w:t xml:space="preserve">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3E8F80F3"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w:t>
      </w:r>
      <w:r w:rsidR="003F1F45">
        <w:rPr>
          <w:szCs w:val="24"/>
        </w:rPr>
        <w:t>perceived economic feasibility</w:t>
      </w:r>
      <w:r w:rsidRPr="00205C71">
        <w:rPr>
          <w:szCs w:val="24"/>
        </w:rPr>
        <w:t>,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w:t>
      </w:r>
      <w:proofErr w:type="spellStart"/>
      <w:r w:rsidRPr="00205C71">
        <w:rPr>
          <w:szCs w:val="24"/>
        </w:rPr>
        <w:t>fsQCA</w:t>
      </w:r>
      <w:proofErr w:type="spellEnd"/>
      <w:r w:rsidRPr="00205C71">
        <w:rPr>
          <w:szCs w:val="24"/>
        </w:rPr>
        <w:t xml:space="preserve">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w:t>
      </w:r>
      <w:proofErr w:type="spellStart"/>
      <w:r w:rsidRPr="00205C71">
        <w:rPr>
          <w:szCs w:val="24"/>
        </w:rPr>
        <w:t>Seuring</w:t>
      </w:r>
      <w:proofErr w:type="spellEnd"/>
      <w:r w:rsidRPr="00205C71">
        <w:rPr>
          <w:szCs w:val="24"/>
        </w:rPr>
        <w:t xml:space="preserve"> &amp; Müller, 2008). </w:t>
      </w:r>
      <w:r w:rsidRPr="00205C71">
        <w:rPr>
          <w:szCs w:val="24"/>
        </w:rPr>
        <w:lastRenderedPageBreak/>
        <w:t xml:space="preserve">Definitions approach the concept of green logistics by aiming to reduce the environmental impact of the physical movement of goods, be it through the selection of the mode of transport, the </w:t>
      </w:r>
      <w:proofErr w:type="spellStart"/>
      <w:r w:rsidRPr="00205C71">
        <w:rPr>
          <w:szCs w:val="24"/>
        </w:rPr>
        <w:t>optimisation</w:t>
      </w:r>
      <w:proofErr w:type="spellEnd"/>
      <w:r w:rsidRPr="00205C71">
        <w:rPr>
          <w:szCs w:val="24"/>
        </w:rPr>
        <w:t xml:space="preserve">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w:t>
      </w:r>
      <w:proofErr w:type="spellStart"/>
      <w:r w:rsidRPr="00205C71">
        <w:rPr>
          <w:szCs w:val="24"/>
        </w:rPr>
        <w:t>Centobelli</w:t>
      </w:r>
      <w:proofErr w:type="spellEnd"/>
      <w:r w:rsidRPr="00205C71">
        <w:rPr>
          <w:szCs w:val="24"/>
        </w:rPr>
        <w:t xml:space="preserve">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w:t>
      </w:r>
      <w:proofErr w:type="spellStart"/>
      <w:r w:rsidRPr="00205C71">
        <w:rPr>
          <w:szCs w:val="24"/>
        </w:rPr>
        <w:t>Agyabeng</w:t>
      </w:r>
      <w:proofErr w:type="spellEnd"/>
      <w:r w:rsidRPr="00205C71">
        <w:rPr>
          <w:szCs w:val="24"/>
        </w:rPr>
        <w:t>-Mensah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 xml:space="preserve">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w:t>
      </w:r>
      <w:proofErr w:type="spellStart"/>
      <w:r w:rsidRPr="00205C71">
        <w:rPr>
          <w:szCs w:val="24"/>
        </w:rPr>
        <w:t>operationalised</w:t>
      </w:r>
      <w:proofErr w:type="spellEnd"/>
      <w:r w:rsidRPr="00205C71">
        <w:rPr>
          <w:szCs w:val="24"/>
        </w:rPr>
        <w:t xml:space="preserve">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 xml:space="preserve">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w:t>
      </w:r>
      <w:proofErr w:type="spellStart"/>
      <w:r w:rsidRPr="00205C71">
        <w:rPr>
          <w:szCs w:val="24"/>
        </w:rPr>
        <w:t>organisation</w:t>
      </w:r>
      <w:proofErr w:type="spellEnd"/>
      <w:r w:rsidRPr="00205C71">
        <w:rPr>
          <w:szCs w:val="24"/>
        </w:rPr>
        <w:t xml:space="preserve"> boundaries (Vachon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w:t>
      </w:r>
      <w:proofErr w:type="spellStart"/>
      <w:r w:rsidRPr="00205C71">
        <w:rPr>
          <w:szCs w:val="24"/>
        </w:rPr>
        <w:t>optimisation</w:t>
      </w:r>
      <w:proofErr w:type="spellEnd"/>
      <w:r w:rsidRPr="00205C71">
        <w:rPr>
          <w:szCs w:val="24"/>
        </w:rPr>
        <w:t>, which is the basis of green logistics (</w:t>
      </w:r>
      <w:proofErr w:type="spellStart"/>
      <w:r w:rsidRPr="00205C71">
        <w:rPr>
          <w:szCs w:val="24"/>
        </w:rPr>
        <w:t>Centobelli</w:t>
      </w:r>
      <w:proofErr w:type="spellEnd"/>
      <w:r w:rsidRPr="00205C71">
        <w:rPr>
          <w:szCs w:val="24"/>
        </w:rPr>
        <w:t xml:space="preserve"> et al., 2020; Khan et al., 2022).</w:t>
      </w:r>
    </w:p>
    <w:p w14:paraId="7C6B117A" w14:textId="5A940E95" w:rsidR="00FE2790" w:rsidRPr="00205C71" w:rsidRDefault="00FE2790" w:rsidP="00E50BF7">
      <w:pPr>
        <w:spacing w:after="0"/>
        <w:rPr>
          <w:szCs w:val="24"/>
        </w:rPr>
      </w:pPr>
      <w:r w:rsidRPr="00205C71">
        <w:rPr>
          <w:szCs w:val="24"/>
        </w:rPr>
        <w:lastRenderedPageBreak/>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w:t>
      </w:r>
      <w:r w:rsidR="003F1F45">
        <w:rPr>
          <w:szCs w:val="24"/>
        </w:rPr>
        <w:t>Perceived economic feasibility</w:t>
      </w:r>
      <w:r w:rsidRPr="00205C71">
        <w:rPr>
          <w:szCs w:val="24"/>
        </w:rPr>
        <w:t xml:space="preserve">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w:t>
      </w:r>
      <w:proofErr w:type="spellStart"/>
      <w:r w:rsidRPr="00205C71">
        <w:rPr>
          <w:szCs w:val="24"/>
        </w:rPr>
        <w:t>Ghobakhloo</w:t>
      </w:r>
      <w:proofErr w:type="spellEnd"/>
      <w:r w:rsidRPr="00205C71">
        <w:rPr>
          <w:szCs w:val="24"/>
        </w:rPr>
        <w:t xml:space="preserve"> et al., 2013; Mangla et al., 2020).</w:t>
      </w:r>
    </w:p>
    <w:p w14:paraId="58A1A2C5" w14:textId="23FEDC9B" w:rsidR="00FE2790"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r w:rsidR="00490516">
        <w:rPr>
          <w:szCs w:val="24"/>
        </w:rPr>
        <w:t xml:space="preserve"> </w:t>
      </w:r>
    </w:p>
    <w:p w14:paraId="5352750A" w14:textId="73641049" w:rsidR="00C977CB" w:rsidRDefault="00C977CB" w:rsidP="00E50BF7">
      <w:pPr>
        <w:spacing w:after="0"/>
        <w:rPr>
          <w:szCs w:val="24"/>
        </w:rPr>
      </w:pPr>
      <w:r w:rsidRPr="00C977CB">
        <w:rPr>
          <w:szCs w:val="24"/>
          <w:highlight w:val="yellow"/>
        </w:rPr>
        <w:t xml:space="preserve">The seven constructs are not of one kind, and the difference matters for what each can be expected to do. Regulatory and policy pressure, stakeholder and customer pressure, and the easing of cost barriers describe conditions in a firm's environment. They are external states that make green logistics more or less attainable, and they lie largely outside the control of any single firm. Top management commitment, digital infrastructure readiness, knowledge and skill readiness, and green supply chain integration describe firm attributes that are built, funded and sustained internally. The distinction follows the resource-based tradition, in which a </w:t>
      </w:r>
      <w:proofErr w:type="spellStart"/>
      <w:r w:rsidRPr="00C977CB">
        <w:rPr>
          <w:szCs w:val="24"/>
          <w:highlight w:val="yellow"/>
        </w:rPr>
        <w:t>favourable</w:t>
      </w:r>
      <w:proofErr w:type="spellEnd"/>
      <w:r w:rsidRPr="00C977CB">
        <w:rPr>
          <w:szCs w:val="24"/>
          <w:highlight w:val="yellow"/>
        </w:rPr>
        <w:t xml:space="preserve"> environmental state is an opportunity while the capacity to act on it is a capability, and only the second can be a source of advantage (Hart, 1995; Teece, 2007). An eased constraint is therefore permissive rather than generative. Falling technology prices remove an obstacle to investment without supplying the managerial attention, supplier relationships or analytical capacity that turn investment into integrated practice. This reasoning shapes the expectations developed, where the conditions are theorised to work through the capabilities rather than alongside them.</w:t>
      </w:r>
    </w:p>
    <w:p w14:paraId="5E11CCFD" w14:textId="590398CC" w:rsidR="00490516" w:rsidRPr="00205C71" w:rsidRDefault="00490516" w:rsidP="00E50BF7">
      <w:pPr>
        <w:spacing w:after="0"/>
        <w:rPr>
          <w:szCs w:val="24"/>
        </w:rPr>
      </w:pPr>
      <w:r w:rsidRPr="00490516">
        <w:rPr>
          <w:szCs w:val="24"/>
          <w:highlight w:val="yellow"/>
        </w:rPr>
        <w:lastRenderedPageBreak/>
        <w:t>Integration occupies a distinctive position within this set. Recent work treats green supply chain integration less as one practice among several than as the capability through which upstream conditions are converted into environmental outcomes. Green human resource systems raise integration by way of an ambidextrous environmental strategy (Chang et al., 2026), and the environmental passion of decision-makers reaches integration through the sustainable tradeoffs those decision-makers are prepared to accept (Ren et al., 2026). Configurational evidence points the same way, showing that several distinct bundles of conditions prompt integration and that performance follows from it (Feng &amp; Sheng, 2023). What this body of work has examined are largely internal and attitudinal antecedents, drawn from human resource systems, managerial values and strategic posture, and studied predominantly within single national settings. The institutional and technological conditions surrounding logistics operations have received less attention, and whether the integrative capability performs the same conversion across different institutional settings remains largely untested. Both concerns shape the framework developed below, in which integration mediates between externally and technologically driven antecedents and measured performance.</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t xml:space="preserve">2.3 Combining SEM and </w:t>
      </w:r>
      <w:proofErr w:type="spellStart"/>
      <w:r w:rsidRPr="00205C71">
        <w:rPr>
          <w:b/>
          <w:szCs w:val="24"/>
        </w:rPr>
        <w:t>fsQCA</w:t>
      </w:r>
      <w:proofErr w:type="spellEnd"/>
      <w:r w:rsidRPr="00205C71">
        <w:rPr>
          <w:b/>
          <w:szCs w:val="24"/>
        </w:rPr>
        <w:t xml:space="preserve">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w:t>
      </w:r>
      <w:proofErr w:type="spellStart"/>
      <w:r w:rsidRPr="00205C71">
        <w:rPr>
          <w:szCs w:val="24"/>
        </w:rPr>
        <w:t>fsQCA</w:t>
      </w:r>
      <w:proofErr w:type="spellEnd"/>
      <w:r w:rsidRPr="00205C71">
        <w:rPr>
          <w:szCs w:val="24"/>
        </w:rPr>
        <w:t xml:space="preserve">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w:t>
      </w:r>
      <w:r w:rsidRPr="00205C71">
        <w:rPr>
          <w:szCs w:val="24"/>
        </w:rPr>
        <w:lastRenderedPageBreak/>
        <w:t xml:space="preserve">configurational view fits the recognition that enablers interact (Mangla et al., 2020). The present study adopts the integrated design for that reason: PLS-SEM tests the hypothesised structure, and </w:t>
      </w:r>
      <w:proofErr w:type="spellStart"/>
      <w:r w:rsidRPr="00205C71">
        <w:rPr>
          <w:szCs w:val="24"/>
        </w:rPr>
        <w:t>fsQCA</w:t>
      </w:r>
      <w:proofErr w:type="spellEnd"/>
      <w:r w:rsidRPr="00205C71">
        <w:rPr>
          <w:szCs w:val="24"/>
        </w:rPr>
        <w:t xml:space="preserve"> interrogates the configurational logic </w:t>
      </w:r>
      <w:r w:rsidR="00C25BF1">
        <w:rPr>
          <w:szCs w:val="24"/>
        </w:rPr>
        <w:t xml:space="preserve">that </w:t>
      </w:r>
      <w:r w:rsidRPr="00205C71">
        <w:rPr>
          <w:szCs w:val="24"/>
        </w:rPr>
        <w:t>the structure leaves out.</w:t>
      </w:r>
    </w:p>
    <w:p w14:paraId="2C632328" w14:textId="6C2B9AB0" w:rsidR="00966C31" w:rsidRPr="00966C31" w:rsidRDefault="00966C31" w:rsidP="00966C31">
      <w:pPr>
        <w:spacing w:after="0"/>
        <w:rPr>
          <w:szCs w:val="24"/>
          <w:highlight w:val="yellow"/>
        </w:rPr>
      </w:pPr>
      <w:r w:rsidRPr="00966C31">
        <w:rPr>
          <w:szCs w:val="24"/>
          <w:highlight w:val="yellow"/>
        </w:rPr>
        <w:t>The configurational component carries a theoretical commitment as well as a methodological one. Resource orchestration theory holds that resources create value through how managers structure, bundle and leverage them rather than through possession alone, so outcomes depend on combinations rather than on separate contributions (Xi et al., 2023). That premise is what makes configurational analysis appropriate here rather than merely convenient.</w:t>
      </w:r>
      <w:r>
        <w:rPr>
          <w:szCs w:val="24"/>
          <w:highlight w:val="yellow"/>
        </w:rPr>
        <w:t xml:space="preserve"> </w:t>
      </w:r>
      <w:r w:rsidRPr="00966C31">
        <w:rPr>
          <w:szCs w:val="24"/>
          <w:highlight w:val="yellow"/>
        </w:rPr>
        <w:t>If enablers work as bundles, several distinct bundles may reach the same outcome, and a given enabler may be decisive in one bundle and irrelevant in another. Configurational studies of supply chain resilience, green supply chain integration, environmental strategy and business model design report this pattern consistently, identifying multiple sufficient paths in which the contribution of any condition depends on what accompanies it (Jiang et al., 2024; Feng &amp; Sheng, 2023; Zhang et al., 2026). The present design follows that logic and extends it by comparing the resulting bundles across two institutional settings.</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34F26CA7" w:rsidR="00D538C7" w:rsidRPr="00326821" w:rsidRDefault="00326821" w:rsidP="00326821">
      <w:pPr>
        <w:spacing w:after="0"/>
        <w:rPr>
          <w:szCs w:val="24"/>
          <w:highlight w:val="yellow"/>
        </w:rPr>
      </w:pPr>
      <w:r w:rsidRPr="00326821">
        <w:rPr>
          <w:szCs w:val="24"/>
          <w:highlight w:val="yellow"/>
        </w:rPr>
        <w:t>Treating the economic context as a moderator first requires a clear account of why developing and emerging economies should differ in how they enable green logistics, and a rule for telling the two apart. The terms are used loosely, and the broadest taxonomies do not separate them. The International Monetary Fund places all non-advanced economies in a single category and states that the grouping rests on no strict criteria (International Monetary Fund, 2025). A reproducible comparison therefore needs a narrower and stated rule.</w:t>
      </w:r>
      <w:r>
        <w:rPr>
          <w:szCs w:val="24"/>
          <w:highlight w:val="yellow"/>
        </w:rPr>
        <w:t xml:space="preserve"> </w:t>
      </w:r>
      <w:r w:rsidRPr="00326821">
        <w:rPr>
          <w:szCs w:val="24"/>
          <w:highlight w:val="yellow"/>
        </w:rPr>
        <w:t>This study adopts the World Bank income classification (World Bank, 2025). Economies in the lower-middle-income band, with gross national income per capita between $1,176 and $4,635 in the 2025 classification, are treated as developing. Economies in the upper-middle-income band, between $4,636 and $14,375, are treated as emerging. The rule is published, updated annually and reproducible, and it separates the two sampled countries. It also tracks the structural differences set out below, since income per capita moves with the capital availability, digital infrastructure and export orientation through which the two contexts are theorised to differ.</w:t>
      </w:r>
      <w:r w:rsidR="00D538C7" w:rsidRPr="00205C71">
        <w:rPr>
          <w:szCs w:val="24"/>
        </w:rPr>
        <w:t xml:space="preserve"> The two contexts pull apart along several structural lines. Emerging economies — marked by rapid industrialisation, deepening ties to global value chains, and a growing export orientation — tend to have more developed digital infrastructure, larger pools of capital for technology investment, and customers, export clients in particular, who impose explicit environmental </w:t>
      </w:r>
      <w:r w:rsidR="00D538C7" w:rsidRPr="00205C71">
        <w:rPr>
          <w:szCs w:val="24"/>
        </w:rPr>
        <w:lastRenderedPageBreak/>
        <w:t xml:space="preserve">requirements. Where these conditions hold, digital capability and managerial commitment translate fairly directly into integrated, high-performing green logistics (Mangla et al., 2020; </w:t>
      </w:r>
      <w:proofErr w:type="spellStart"/>
      <w:r w:rsidR="00D538C7" w:rsidRPr="00205C71">
        <w:rPr>
          <w:szCs w:val="24"/>
        </w:rPr>
        <w:t>Agyabeng</w:t>
      </w:r>
      <w:proofErr w:type="spellEnd"/>
      <w:r w:rsidR="00D538C7" w:rsidRPr="00205C71">
        <w:rPr>
          <w:szCs w:val="24"/>
        </w:rPr>
        <w:t>-Mensah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push for green logistics is more likely to come from external regulation and the gradual easing of cost barriers than from market pull or advanced digital systems (Govindan &amp; </w:t>
      </w:r>
      <w:proofErr w:type="spellStart"/>
      <w:r w:rsidRPr="00205C71">
        <w:rPr>
          <w:szCs w:val="24"/>
        </w:rPr>
        <w:t>Hasanagic</w:t>
      </w:r>
      <w:proofErr w:type="spellEnd"/>
      <w:r w:rsidRPr="00205C71">
        <w:rPr>
          <w:szCs w:val="24"/>
        </w:rPr>
        <w:t>, 2018; Abdulrahman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w:t>
      </w:r>
      <w:proofErr w:type="spellStart"/>
      <w:r w:rsidRPr="00205C71">
        <w:rPr>
          <w:szCs w:val="24"/>
        </w:rPr>
        <w:t>prioritise</w:t>
      </w:r>
      <w:proofErr w:type="spellEnd"/>
      <w:r w:rsidRPr="00205C71">
        <w:rPr>
          <w:szCs w:val="24"/>
        </w:rPr>
        <w:t xml:space="preserve"> green logistics 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lastRenderedPageBreak/>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Figure 2 re-expresses the same framework as a structural path diagram, in which the seven enabler conditions are shown as colour-coded ellipses grouped by construct family, the 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356DAD95" w:rsidR="00573A3A" w:rsidRDefault="00573A3A" w:rsidP="00E50BF7">
      <w:pPr>
        <w:spacing w:after="0"/>
        <w:rPr>
          <w:bCs/>
          <w:szCs w:val="24"/>
        </w:rPr>
      </w:pPr>
      <w:r w:rsidRPr="00205C71">
        <w:rPr>
          <w:bCs/>
          <w:szCs w:val="24"/>
        </w:rPr>
        <w:lastRenderedPageBreak/>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w:t>
      </w:r>
      <w:r w:rsidR="001054BF" w:rsidRPr="001054BF">
        <w:rPr>
          <w:bCs/>
          <w:szCs w:val="24"/>
        </w:rPr>
        <w:t xml:space="preserve"> </w:t>
      </w:r>
      <w:r w:rsidR="001054BF" w:rsidRPr="00247EBB">
        <w:rPr>
          <w:bCs/>
          <w:szCs w:val="24"/>
          <w:highlight w:val="yellow"/>
        </w:rPr>
        <w:t>raising green logistics on the strategic agenda, as the institutionalist literature asserts (DiMaggio &amp; Powell, 1983; Sarkis et al., 2011)</w:t>
      </w:r>
      <w:r w:rsidRPr="00247EBB">
        <w:rPr>
          <w:bCs/>
          <w:szCs w:val="24"/>
          <w:highlight w:val="yellow"/>
        </w:rPr>
        <w:t>.</w:t>
      </w:r>
      <w:r w:rsidRPr="00205C71">
        <w:rPr>
          <w:bCs/>
          <w:szCs w:val="24"/>
        </w:rPr>
        <w:t xml:space="preserve">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2EBC3F91"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 xml:space="preserve">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and releases budget that would otherwise go elsewhere (Zhu et al., 2013; Rashid </w:t>
      </w:r>
      <w:r>
        <w:rPr>
          <w:rFonts w:eastAsia="Times New Roman"/>
          <w:szCs w:val="24"/>
          <w:highlight w:val="yellow"/>
          <w:lang w:val="en-IN" w:eastAsia="en-GB"/>
        </w:rPr>
        <w:t>and</w:t>
      </w:r>
      <w:r w:rsidRPr="002838C4">
        <w:rPr>
          <w:rFonts w:eastAsia="Times New Roman"/>
          <w:szCs w:val="24"/>
          <w:highlight w:val="yellow"/>
          <w:lang w:val="en-IN" w:eastAsia="en-GB"/>
        </w:rPr>
        <w:t xml:space="preserve"> Rasheed, 2025). H1 captures this dominant short-run direction. The same structure applies to H3 and H7, where capability 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16A785EF" w:rsidR="00573A3A" w:rsidRDefault="00573A3A" w:rsidP="00E50BF7">
      <w:pPr>
        <w:spacing w:after="0"/>
        <w:rPr>
          <w:bCs/>
          <w:szCs w:val="24"/>
        </w:rPr>
      </w:pPr>
      <w:r w:rsidRPr="00205C71">
        <w:rPr>
          <w:bCs/>
          <w:szCs w:val="24"/>
        </w:rPr>
        <w:t xml:space="preserve">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w:t>
      </w:r>
      <w:r w:rsidR="00151E0F" w:rsidRPr="00151E0F">
        <w:rPr>
          <w:bCs/>
          <w:szCs w:val="24"/>
          <w:highlight w:val="yellow"/>
        </w:rPr>
        <w:t>bolster top management leadership commitment to green logistics (Freeman, 2010; Sarkis et al., 2011)</w:t>
      </w:r>
      <w:r w:rsidRPr="00205C71">
        <w:rPr>
          <w:bCs/>
          <w:szCs w:val="24"/>
        </w:rPr>
        <w:t>. Thus, we hypothesize a positive association between stakeholder and customer pressure and top management commitment.</w:t>
      </w:r>
    </w:p>
    <w:p w14:paraId="0BE5820B" w14:textId="24D4102B" w:rsidR="00BE3611" w:rsidRDefault="00BE3611" w:rsidP="00E50BF7">
      <w:pPr>
        <w:spacing w:after="0"/>
        <w:rPr>
          <w:bCs/>
          <w:szCs w:val="24"/>
        </w:rPr>
      </w:pPr>
      <w:r w:rsidRPr="00BE3611">
        <w:rPr>
          <w:bCs/>
          <w:szCs w:val="24"/>
          <w:highlight w:val="yellow"/>
        </w:rPr>
        <w:t xml:space="preserve">The three paths that follow converge on integration, and the reasoning behind them draws on evidence that integration is reached rather than simply adopted. Studies of green human resource systems and of managerial environmental passion both find that upstream conditions influence integration indirectly, through the strategic posture or the decision tradeoffs they generate, rather than directly (Chang et al., 2026; Ren et al., 2026). The same indirect logic applies here. Leadership commitment, digital capability and the easing of cost barriers do not integrate a supply chain by themselves, but they supply the mandate, the informational </w:t>
      </w:r>
      <w:r w:rsidRPr="00BE3611">
        <w:rPr>
          <w:bCs/>
          <w:szCs w:val="24"/>
          <w:highlight w:val="yellow"/>
        </w:rPr>
        <w:lastRenderedPageBreak/>
        <w:t>infrastructure and the financial headroom that make joint environmental goal-setting feasible. H3, H4 and H6 accordingly specify integration as the point at which these separate conditions become a single operational capability.</w:t>
      </w:r>
    </w:p>
    <w:p w14:paraId="54CCD0BE" w14:textId="77777777" w:rsidR="00BE3611" w:rsidRPr="00205C71" w:rsidRDefault="00BE3611" w:rsidP="00E50BF7">
      <w:pPr>
        <w:spacing w:after="0"/>
        <w:rPr>
          <w:bCs/>
          <w:szCs w:val="24"/>
        </w:rPr>
      </w:pP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2E9D53CE" w:rsidR="00573A3A" w:rsidRPr="00205C71" w:rsidRDefault="00573A3A" w:rsidP="00E50BF7">
      <w:pPr>
        <w:spacing w:after="0"/>
        <w:rPr>
          <w:bCs/>
          <w:szCs w:val="24"/>
        </w:rPr>
      </w:pPr>
      <w:r w:rsidRPr="00205C71">
        <w:rPr>
          <w:bCs/>
          <w:szCs w:val="24"/>
        </w:rPr>
        <w:t xml:space="preserve">Skill readiness and digital readiness (H5). The success of digital readiness in contributing to the firm depends on having employees ready and skilled to utilize it; </w:t>
      </w:r>
      <w:r w:rsidR="00151E0F" w:rsidRPr="00DD657D">
        <w:rPr>
          <w:bCs/>
          <w:szCs w:val="24"/>
          <w:highlight w:val="yellow"/>
        </w:rPr>
        <w:t>this draws upon absorptive capacity literature (Cohen &amp; Levinthal, 1990)</w:t>
      </w:r>
      <w:r w:rsidRPr="00205C71">
        <w:rPr>
          <w:bCs/>
          <w:szCs w:val="24"/>
        </w:rPr>
        <w:t xml:space="preserve">. It’s through knowledge and skill readiness that digital investment </w:t>
      </w:r>
      <w:r w:rsidRPr="009A7A75">
        <w:rPr>
          <w:bCs/>
          <w:szCs w:val="24"/>
          <w:highlight w:val="yellow"/>
        </w:rPr>
        <w:t>turns into actual digital capability and application</w:t>
      </w:r>
      <w:r w:rsidR="009A7A75" w:rsidRPr="009A7A75">
        <w:rPr>
          <w:bCs/>
          <w:szCs w:val="24"/>
          <w:highlight w:val="yellow"/>
        </w:rPr>
        <w:t xml:space="preserve"> </w:t>
      </w:r>
      <w:r w:rsidR="009A7A75" w:rsidRPr="009A7A75">
        <w:rPr>
          <w:bCs/>
          <w:szCs w:val="24"/>
          <w:highlight w:val="yellow"/>
        </w:rPr>
        <w:t>(</w:t>
      </w:r>
      <w:proofErr w:type="spellStart"/>
      <w:r w:rsidR="009A7A75" w:rsidRPr="009A7A75">
        <w:rPr>
          <w:bCs/>
          <w:szCs w:val="24"/>
          <w:highlight w:val="yellow"/>
        </w:rPr>
        <w:t>Mukhuty</w:t>
      </w:r>
      <w:proofErr w:type="spellEnd"/>
      <w:r w:rsidR="009A7A75" w:rsidRPr="009A7A75">
        <w:rPr>
          <w:bCs/>
          <w:szCs w:val="24"/>
          <w:highlight w:val="yellow"/>
        </w:rPr>
        <w:t xml:space="preserve"> et al., 2022</w:t>
      </w:r>
      <w:proofErr w:type="gramStart"/>
      <w:r w:rsidR="009A7A75" w:rsidRPr="009A7A75">
        <w:rPr>
          <w:bCs/>
          <w:szCs w:val="24"/>
          <w:highlight w:val="yellow"/>
        </w:rPr>
        <w:t>).</w:t>
      </w:r>
      <w:r w:rsidRPr="00205C71">
        <w:rPr>
          <w:bCs/>
          <w:szCs w:val="24"/>
        </w:rPr>
        <w:t>.</w:t>
      </w:r>
      <w:proofErr w:type="gramEnd"/>
      <w:r w:rsidRPr="00205C71">
        <w:rPr>
          <w:bCs/>
          <w:szCs w:val="24"/>
        </w:rPr>
        <w:t xml:space="preserve"> </w:t>
      </w:r>
    </w:p>
    <w:p w14:paraId="143E3274" w14:textId="368F67D0" w:rsidR="00573A3A" w:rsidRPr="00205C71" w:rsidRDefault="003F1F45" w:rsidP="00E50BF7">
      <w:pPr>
        <w:spacing w:after="0"/>
        <w:rPr>
          <w:bCs/>
          <w:szCs w:val="24"/>
        </w:rPr>
      </w:pPr>
      <w:r>
        <w:rPr>
          <w:bCs/>
          <w:szCs w:val="24"/>
          <w:highlight w:val="yellow"/>
        </w:rPr>
        <w:t>Perceived economic feasibility</w:t>
      </w:r>
      <w:r w:rsidR="00CD01A4" w:rsidRPr="00CD01A4">
        <w:rPr>
          <w:bCs/>
          <w:szCs w:val="24"/>
          <w:highlight w:val="yellow"/>
        </w:rPr>
        <w:t xml:space="preserve"> and integration (H6). The easing of financial constraints, whether through falling technology prices or an improving ratio of long-term benefit to initial outlay, widens the set of green options a firm can afford. That widening is permissive rather than generative, since an affordable option still has to be identified, negotiated with partners and embedded in routine practice. H6 therefore expects a positive but comparatively weak association between </w:t>
      </w:r>
      <w:r>
        <w:rPr>
          <w:bCs/>
          <w:szCs w:val="24"/>
          <w:highlight w:val="yellow"/>
        </w:rPr>
        <w:t>perceived economic feasibility</w:t>
      </w:r>
      <w:r w:rsidR="00CD01A4" w:rsidRPr="00CD01A4">
        <w:rPr>
          <w:bCs/>
          <w:szCs w:val="24"/>
          <w:highlight w:val="yellow"/>
        </w:rPr>
        <w:t xml:space="preserve"> and green supply chain integration, and one that should depend on whether the capabilities needed to exploit the opening are already in place. The expectation is deliberately weaker than for H3 and H4, because a condition that removes an impediment does not by itself supply the mandate or the coordination capacity that integration requires.</w:t>
      </w:r>
    </w:p>
    <w:p w14:paraId="312240E4" w14:textId="22245E6E" w:rsidR="00573A3A" w:rsidRPr="00205C71" w:rsidRDefault="00573A3A" w:rsidP="00E50BF7">
      <w:pPr>
        <w:spacing w:after="0"/>
        <w:rPr>
          <w:bCs/>
          <w:szCs w:val="24"/>
        </w:rPr>
      </w:pPr>
      <w:r w:rsidRPr="00205C71">
        <w:rPr>
          <w:bCs/>
          <w:szCs w:val="24"/>
        </w:rPr>
        <w:t xml:space="preserve">Integration and performance (H7). Since it is through integration that environmental goals are operationalized across the chain, green supply chain integration should directly impact its measurement at that level, hence it's hypothesized to be the </w:t>
      </w:r>
      <w:r w:rsidRPr="004139A3">
        <w:rPr>
          <w:bCs/>
          <w:szCs w:val="24"/>
          <w:highlight w:val="yellow"/>
        </w:rPr>
        <w:t>closest determinant of green logistics performance</w:t>
      </w:r>
      <w:r w:rsidR="004139A3" w:rsidRPr="004139A3">
        <w:rPr>
          <w:highlight w:val="yellow"/>
        </w:rPr>
        <w:t xml:space="preserve"> </w:t>
      </w:r>
      <w:r w:rsidR="004139A3" w:rsidRPr="004139A3">
        <w:rPr>
          <w:bCs/>
          <w:szCs w:val="24"/>
          <w:highlight w:val="yellow"/>
        </w:rPr>
        <w:t>(Vachon &amp; Klassen, 2008; Wong et al., 2020)</w:t>
      </w:r>
      <w:r w:rsidRPr="00205C71">
        <w:rPr>
          <w:bCs/>
          <w:szCs w:val="24"/>
        </w:rPr>
        <w:t>. We hypothesize a positive association between green supply chain integration and green logistics performance.</w:t>
      </w:r>
    </w:p>
    <w:p w14:paraId="6261C79E" w14:textId="3B1EB86C" w:rsidR="00990F18" w:rsidRPr="00205C71" w:rsidRDefault="00573A3A" w:rsidP="00E50BF7">
      <w:pPr>
        <w:spacing w:after="0"/>
        <w:rPr>
          <w:bCs/>
          <w:szCs w:val="24"/>
        </w:rPr>
      </w:pPr>
      <w:r w:rsidRPr="00205C71">
        <w:rPr>
          <w:bCs/>
          <w:szCs w:val="24"/>
        </w:rPr>
        <w:lastRenderedPageBreak/>
        <w:t xml:space="preserve">Management commitment and performance (H8). Apart from its influence via integration, leadership commitment should be able to impact performance directly through target-setting, integration of environmental issues in </w:t>
      </w:r>
      <w:r w:rsidRPr="008208B2">
        <w:rPr>
          <w:bCs/>
          <w:szCs w:val="24"/>
          <w:highlight w:val="yellow"/>
        </w:rPr>
        <w:t>evaluation criteria and performance, and sustained effort</w:t>
      </w:r>
      <w:r w:rsidR="008208B2" w:rsidRPr="008208B2">
        <w:rPr>
          <w:bCs/>
          <w:szCs w:val="24"/>
          <w:highlight w:val="yellow"/>
        </w:rPr>
        <w:t xml:space="preserve"> </w:t>
      </w:r>
      <w:r w:rsidR="008208B2" w:rsidRPr="008208B2">
        <w:rPr>
          <w:bCs/>
          <w:szCs w:val="24"/>
          <w:highlight w:val="yellow"/>
        </w:rPr>
        <w:t>(Zaid et al., 2018; Luthra et al., 2015)</w:t>
      </w:r>
      <w:r w:rsidRPr="00205C71">
        <w:rPr>
          <w:bCs/>
          <w:szCs w:val="24"/>
        </w:rPr>
        <w:t>. We hypothesize a direct positive association between top management commitment and green logistics performance. Together, the eight hypotheses are combined to represent the structural 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A8E7DE6"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based structural equation model, with a configurational application of fuzzy-set QCA on the same dataset (the configurational part). The rationale for linking the two is given in Section 2.3</w:t>
      </w:r>
      <w:r w:rsidR="00B948CD">
        <w:rPr>
          <w:szCs w:val="24"/>
        </w:rPr>
        <w:t>;</w:t>
      </w:r>
      <w:r w:rsidR="008E3AE0">
        <w:rPr>
          <w:szCs w:val="24"/>
        </w:rPr>
        <w:t xml:space="preserve"> </w:t>
      </w:r>
      <w:r w:rsidRPr="00205C71">
        <w:rPr>
          <w:szCs w:val="24"/>
        </w:rPr>
        <w:t xml:space="preserve">while PLS-SEM allows the measurement of the net, symmetric effects implied by the hypotheses, </w:t>
      </w:r>
      <w:proofErr w:type="spellStart"/>
      <w:r w:rsidRPr="00205C71">
        <w:rPr>
          <w:szCs w:val="24"/>
        </w:rPr>
        <w:t>fsQCA</w:t>
      </w:r>
      <w:proofErr w:type="spellEnd"/>
      <w:r w:rsidRPr="00205C71">
        <w:rPr>
          <w:szCs w:val="24"/>
        </w:rPr>
        <w:t xml:space="preserve"> explores the equifinal, asymmetric configurations which are excluded by the structure of the structural equation model.</w:t>
      </w:r>
      <w:r w:rsidR="0058052A" w:rsidRPr="0058052A">
        <w:t xml:space="preserve"> </w:t>
      </w:r>
      <w:r w:rsidR="0058052A" w:rsidRPr="0058052A">
        <w:rPr>
          <w:szCs w:val="24"/>
          <w:highlight w:val="yellow"/>
        </w:rPr>
        <w:t xml:space="preserve">It records the pattern of enablement prevailing in each setting at the time of the survey rather than its development over time. Predictors and outcomes are measured together and through managerial perception, so the estimated paths describe directional association within the specified model, and for the reciprocal relationships set out </w:t>
      </w:r>
      <w:r w:rsidR="008E3AE0">
        <w:rPr>
          <w:szCs w:val="24"/>
          <w:highlight w:val="yellow"/>
        </w:rPr>
        <w:t xml:space="preserve">and </w:t>
      </w:r>
      <w:r w:rsidR="0058052A" w:rsidRPr="0058052A">
        <w:rPr>
          <w:szCs w:val="24"/>
          <w:highlight w:val="yellow"/>
        </w:rPr>
        <w:t>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r w:rsidR="00684D47" w:rsidRPr="00205C71">
        <w:rPr>
          <w:szCs w:val="24"/>
        </w:rPr>
        <w:t>separates</w:t>
      </w:r>
      <w:r w:rsidRPr="00205C71">
        <w:rPr>
          <w:szCs w:val="24"/>
        </w:rPr>
        <w:t xml:space="preserve">, but linked analytic streams: the symmetric PLS-SEM path and the asymmetric </w:t>
      </w:r>
      <w:proofErr w:type="spellStart"/>
      <w:r w:rsidRPr="00205C71">
        <w:rPr>
          <w:szCs w:val="24"/>
        </w:rPr>
        <w:t>fsQCA</w:t>
      </w:r>
      <w:proofErr w:type="spellEnd"/>
      <w:r w:rsidRPr="00205C71">
        <w:rPr>
          <w:szCs w:val="24"/>
        </w:rPr>
        <w:t xml:space="preserve"> path.</w:t>
      </w:r>
    </w:p>
    <w:p w14:paraId="41EA110E"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t>Figure 3</w:t>
      </w:r>
      <w:r w:rsidR="00E50BF7">
        <w:rPr>
          <w:szCs w:val="24"/>
        </w:rPr>
        <w:t>:</w:t>
      </w:r>
      <w:r w:rsidRPr="00E50BF7">
        <w:rPr>
          <w:szCs w:val="24"/>
        </w:rPr>
        <w:t xml:space="preserve"> Research methodology flowchart. </w:t>
      </w:r>
      <w:proofErr w:type="spellStart"/>
      <w:r w:rsidRPr="00E50BF7">
        <w:rPr>
          <w:szCs w:val="24"/>
        </w:rPr>
        <w:t>Colour</w:t>
      </w:r>
      <w:proofErr w:type="spellEnd"/>
      <w:r w:rsidRPr="00E50BF7">
        <w:rPr>
          <w:szCs w:val="24"/>
        </w:rPr>
        <w:t>-coded stages, directed arrows</w:t>
      </w:r>
      <w:r w:rsidR="00C25BF1">
        <w:rPr>
          <w:szCs w:val="24"/>
        </w:rPr>
        <w:t>,</w:t>
      </w:r>
      <w:r w:rsidRPr="00E50BF7">
        <w:rPr>
          <w:szCs w:val="24"/>
        </w:rPr>
        <w:t xml:space="preserve"> and </w:t>
      </w:r>
      <w:proofErr w:type="spellStart"/>
      <w:r w:rsidRPr="00E50BF7">
        <w:rPr>
          <w:szCs w:val="24"/>
        </w:rPr>
        <w:t>italicised</w:t>
      </w:r>
      <w:proofErr w:type="spellEnd"/>
      <w:r w:rsidRPr="00E50BF7">
        <w:rPr>
          <w:szCs w:val="24"/>
        </w:rPr>
        <w:t xml:space="preserve">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6ED2E01A" w:rsidR="004451D7" w:rsidRPr="00562A73" w:rsidRDefault="004451D7" w:rsidP="00D2484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w:t>
      </w:r>
      <w:r w:rsidR="00350860">
        <w:rPr>
          <w:szCs w:val="24"/>
        </w:rPr>
        <w:t xml:space="preserve"> </w:t>
      </w:r>
      <w:r w:rsidR="00350860" w:rsidRPr="00350860">
        <w:rPr>
          <w:szCs w:val="24"/>
          <w:highlight w:val="yellow"/>
        </w:rPr>
        <w:lastRenderedPageBreak/>
        <w:t>Because key informant accuracy depends on an informant's proximity to the phenomenon being reported rather than on hierarchical rank alone (Kumar et al., 1993), the sampling frame spanned both operational and strategic roles.</w:t>
      </w:r>
      <w:r w:rsidR="00350860">
        <w:rPr>
          <w:szCs w:val="24"/>
        </w:rPr>
        <w:t xml:space="preserve"> </w:t>
      </w:r>
      <w:r w:rsidRPr="00205C71">
        <w:rPr>
          <w:szCs w:val="24"/>
        </w:rPr>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xml:space="preserve">. </w:t>
      </w:r>
      <w:r w:rsidR="00562A73">
        <w:rPr>
          <w:szCs w:val="24"/>
        </w:rPr>
        <w:t xml:space="preserve">  </w:t>
      </w:r>
      <w:r w:rsidR="00D2484A" w:rsidRPr="00562A73">
        <w:rPr>
          <w:szCs w:val="24"/>
          <w:highlight w:val="yellow"/>
        </w:rPr>
        <w:t>The developing-economy group comprises 100 respondents from firms operating in India, which the World Bank places in the lower-middle-income band. The emerging-economy group comprises 120 respondents from firms operating in China, which sits in the upper-middle-income band. Group assignment therefore follows a published classification rather than the authors' judgement, and no firm appears in both groups.</w:t>
      </w:r>
      <w:r w:rsidR="00562A73">
        <w:rPr>
          <w:szCs w:val="24"/>
          <w:highlight w:val="yellow"/>
        </w:rPr>
        <w:t xml:space="preserve"> </w:t>
      </w:r>
      <w:r w:rsidR="00D2484A" w:rsidRPr="00562A73">
        <w:rPr>
          <w:szCs w:val="24"/>
          <w:highlight w:val="yellow"/>
        </w:rPr>
        <w:t>The two countries were selected because they occupy contrasting positions on the conditions the framework treats as consequential while sharing the scale and growth of freight demand that makes green logistics material. China combines mature digital logistics infrastructure, deep integration into global value chains, and export customers who impose environmental requirements. India combines thinner digital infrastructure, tighter capital constraints and weaker market pull, with environmental regulation the more prominent driver. One country represents each category, which is a design constraint taken up among the limitations</w:t>
      </w:r>
      <w:r w:rsidRPr="00562A73">
        <w:rPr>
          <w:szCs w:val="24"/>
          <w:highlight w:val="yellow"/>
        </w:rPr>
        <w:t>.</w:t>
      </w:r>
    </w:p>
    <w:p w14:paraId="39AE8463" w14:textId="151A7798" w:rsidR="00990F18" w:rsidRPr="00205C71" w:rsidRDefault="004451D7" w:rsidP="00E50BF7">
      <w:pPr>
        <w:rPr>
          <w:szCs w:val="24"/>
        </w:rPr>
      </w:pPr>
      <w:r w:rsidRPr="00205C71">
        <w:rPr>
          <w:szCs w:val="24"/>
        </w:rPr>
        <w:t xml:space="preserve">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w:t>
      </w:r>
      <w:proofErr w:type="spellStart"/>
      <w:r w:rsidRPr="00205C71">
        <w:rPr>
          <w:szCs w:val="24"/>
        </w:rPr>
        <w:t>fsQCA</w:t>
      </w:r>
      <w:proofErr w:type="spellEnd"/>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w:t>
      </w:r>
      <w:r w:rsidR="007A7B0E">
        <w:rPr>
          <w:szCs w:val="24"/>
        </w:rPr>
        <w:t>ing</w:t>
      </w:r>
      <w:r w:rsidRPr="00205C71">
        <w:rPr>
          <w:szCs w:val="24"/>
        </w:rPr>
        <w:t xml:space="preserve"> economy and 120 emerging economy respondents.</w:t>
      </w:r>
      <w:r w:rsidR="005E7BF7" w:rsidRPr="005E7BF7">
        <w:t xml:space="preserve"> </w:t>
      </w:r>
      <w:r w:rsidR="005E7BF7" w:rsidRPr="005E7BF7">
        <w:rPr>
          <w:szCs w:val="24"/>
          <w:highlight w:val="yellow"/>
        </w:rPr>
        <w:t>All sampled firms fall within the small, medium and large bands reported below, and none approaches the scale of the large state-owned logistics groups operating in either country. The findings therefore speak to small and medium-sized enterprises and mid-sized operators rather than to state-linked incumbents, whose resource access and regulatory relationships differ in kind.</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6964FE3F" w14:textId="77777777" w:rsidR="00225EFB" w:rsidRDefault="00BD2F70" w:rsidP="00E50BF7">
      <w:pPr>
        <w:rPr>
          <w:szCs w:val="24"/>
        </w:rPr>
      </w:pPr>
      <w:r w:rsidRPr="00205C71">
        <w:rPr>
          <w:szCs w:val="24"/>
        </w:rPr>
        <w:t xml:space="preserve">All constructs were measured reflectively using multi-item scales anchored on a five-point Likert format, where 1 denotes strongly disagree, 2 disagree, 3 neither agree nor disagree, 4 </w:t>
      </w:r>
      <w:r w:rsidRPr="00205C71">
        <w:rPr>
          <w:szCs w:val="24"/>
        </w:rPr>
        <w:lastRenderedPageBreak/>
        <w:t xml:space="preserve">agree, and 5 strongly agree. The items, adapted to the green logistics context from established scales, are reported in full in Table 1. </w:t>
      </w:r>
    </w:p>
    <w:p w14:paraId="330F55D4" w14:textId="6DF2D0EE" w:rsidR="00990F18" w:rsidRPr="00471CAC" w:rsidRDefault="00225EFB" w:rsidP="00E50BF7">
      <w:pPr>
        <w:rPr>
          <w:szCs w:val="24"/>
          <w:highlight w:val="yellow"/>
        </w:rPr>
      </w:pPr>
      <w:r w:rsidRPr="00225EFB">
        <w:rPr>
          <w:szCs w:val="24"/>
          <w:highlight w:val="yellow"/>
        </w:rPr>
        <w:t xml:space="preserve">Items were adapted from established </w:t>
      </w:r>
      <w:proofErr w:type="gramStart"/>
      <w:r w:rsidRPr="00225EFB">
        <w:rPr>
          <w:szCs w:val="24"/>
          <w:highlight w:val="yellow"/>
        </w:rPr>
        <w:t xml:space="preserve">scales </w:t>
      </w:r>
      <w:r w:rsidR="0012296F">
        <w:rPr>
          <w:szCs w:val="24"/>
          <w:highlight w:val="yellow"/>
        </w:rPr>
        <w:t>,</w:t>
      </w:r>
      <w:r w:rsidRPr="00225EFB">
        <w:rPr>
          <w:szCs w:val="24"/>
          <w:highlight w:val="yellow"/>
        </w:rPr>
        <w:t>with</w:t>
      </w:r>
      <w:proofErr w:type="gramEnd"/>
      <w:r w:rsidRPr="00225EFB">
        <w:rPr>
          <w:szCs w:val="24"/>
          <w:highlight w:val="yellow"/>
        </w:rPr>
        <w:t xml:space="preserve"> one exception. Green supply chain integration draws on the environmental collaboration measures of Vachon and Klassen (2008) and Wu (2013). Regulatory and policy pressure draws on the institutional pressure measures of Zhu et al. (2013), and stakeholder and customer pressure on Sarkis et al. (2011). Digital infrastructure readiness draws on the digital capability measures applied to logistics by </w:t>
      </w:r>
      <w:proofErr w:type="spellStart"/>
      <w:r w:rsidRPr="00225EFB">
        <w:rPr>
          <w:szCs w:val="24"/>
          <w:highlight w:val="yellow"/>
        </w:rPr>
        <w:t>Centobelli</w:t>
      </w:r>
      <w:proofErr w:type="spellEnd"/>
      <w:r w:rsidRPr="00225EFB">
        <w:rPr>
          <w:szCs w:val="24"/>
          <w:highlight w:val="yellow"/>
        </w:rPr>
        <w:t xml:space="preserve"> et al. (2020) and Khan et al. (2022). Top management commitment draws on Dubey et al. (2017) and Luthra et al. (2015), and knowledge and skill readiness on </w:t>
      </w:r>
      <w:proofErr w:type="spellStart"/>
      <w:r w:rsidRPr="00225EFB">
        <w:rPr>
          <w:szCs w:val="24"/>
          <w:highlight w:val="yellow"/>
        </w:rPr>
        <w:t>Ghobakhloo</w:t>
      </w:r>
      <w:proofErr w:type="spellEnd"/>
      <w:r w:rsidRPr="00225EFB">
        <w:rPr>
          <w:szCs w:val="24"/>
          <w:highlight w:val="yellow"/>
        </w:rPr>
        <w:t xml:space="preserve"> et al. (2013) and Mangla et al. (2020). Wording was altered only to specify freight, warehousing and distribution as the referent activity.</w:t>
      </w:r>
      <w:r>
        <w:rPr>
          <w:szCs w:val="24"/>
          <w:highlight w:val="yellow"/>
        </w:rPr>
        <w:t xml:space="preserve"> </w:t>
      </w:r>
      <w:r w:rsidR="003F1F45">
        <w:rPr>
          <w:szCs w:val="24"/>
          <w:highlight w:val="yellow"/>
        </w:rPr>
        <w:t>Perceived economic feasibility</w:t>
      </w:r>
      <w:r w:rsidRPr="00225EFB">
        <w:rPr>
          <w:szCs w:val="24"/>
          <w:highlight w:val="yellow"/>
        </w:rPr>
        <w:t xml:space="preserve"> is the exception. No established scale measures the easing of financial constraints on green logistics as a firm-level condition, so its four items were newly written, guided by the cost barriers most frequently reported in the reverse and green logistics literature (Abdulrahman et al., 2014). Because the construct is new, its measurement properties are examined in more detail than the others.</w:t>
      </w:r>
      <w:r w:rsidR="00C63E14">
        <w:rPr>
          <w:szCs w:val="24"/>
          <w:highlight w:val="yellow"/>
        </w:rPr>
        <w:t xml:space="preserve"> </w:t>
      </w:r>
      <w:r w:rsidRPr="00225EFB">
        <w:rPr>
          <w:szCs w:val="24"/>
          <w:highlight w:val="yellow"/>
        </w:rPr>
        <w:t xml:space="preserve">Reflective specification was assessed against the standard decision rules rather than assumed (Jarvis et al., 2003; MacKenzie et al., 2011). For each construct the underlying condition is understood to produce the observed responses rather than to be composed of them, the items share a single conceptual theme, and they are interchangeable in the sense that removing one would narrow the measure without changing what it denotes. </w:t>
      </w:r>
      <w:r w:rsidR="003F1F45">
        <w:rPr>
          <w:szCs w:val="24"/>
          <w:highlight w:val="yellow"/>
        </w:rPr>
        <w:t>Perceived economic feasibility</w:t>
      </w:r>
      <w:r w:rsidRPr="00225EFB">
        <w:rPr>
          <w:szCs w:val="24"/>
          <w:highlight w:val="yellow"/>
        </w:rPr>
        <w:t xml:space="preserve"> meets these rules on the same terms, since its items describe alternative manifestations of one underlying state, namely the degree to which green alternatives have become economically attainable, rather than separate components that jointly constitute it.</w:t>
      </w:r>
      <w:r w:rsidR="00471CAC">
        <w:rPr>
          <w:szCs w:val="24"/>
        </w:rPr>
        <w:t xml:space="preserve"> </w:t>
      </w:r>
      <w:r w:rsidR="00BD2F70" w:rsidRPr="00205C71">
        <w:rPr>
          <w:szCs w:val="24"/>
        </w:rPr>
        <w:t xml:space="preserve">Green supply chain integration and digital infrastructure readiness were each measured with five items; regulatory and policy pressure, top management commitment, stakeholder and customer pressure, </w:t>
      </w:r>
      <w:r w:rsidR="003F1F45">
        <w:rPr>
          <w:szCs w:val="24"/>
        </w:rPr>
        <w:t>perceived economic feasibility</w:t>
      </w:r>
      <w:r w:rsidR="00BD2F70" w:rsidRPr="00205C71">
        <w:rPr>
          <w:szCs w:val="24"/>
        </w:rPr>
        <w:t>,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5000" w:type="pct"/>
        <w:jc w:val="center"/>
        <w:tblLook w:val="04A0" w:firstRow="1" w:lastRow="0" w:firstColumn="1" w:lastColumn="0" w:noHBand="0" w:noVBand="1"/>
      </w:tblPr>
      <w:tblGrid>
        <w:gridCol w:w="884"/>
        <w:gridCol w:w="8132"/>
      </w:tblGrid>
      <w:tr w:rsidR="00990F18" w:rsidRPr="00205C71" w14:paraId="0D15CD89" w14:textId="77777777" w:rsidTr="00D54F28">
        <w:trPr>
          <w:jc w:val="center"/>
        </w:trPr>
        <w:tc>
          <w:tcPr>
            <w:tcW w:w="490" w:type="pct"/>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4510" w:type="pct"/>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D54F28">
        <w:trPr>
          <w:jc w:val="center"/>
        </w:trPr>
        <w:tc>
          <w:tcPr>
            <w:tcW w:w="490" w:type="pct"/>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4510" w:type="pct"/>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D54F28">
        <w:trPr>
          <w:jc w:val="center"/>
        </w:trPr>
        <w:tc>
          <w:tcPr>
            <w:tcW w:w="490" w:type="pct"/>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4510" w:type="pct"/>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D54F28">
        <w:trPr>
          <w:jc w:val="center"/>
        </w:trPr>
        <w:tc>
          <w:tcPr>
            <w:tcW w:w="490" w:type="pct"/>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4510" w:type="pct"/>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D54F28">
        <w:trPr>
          <w:jc w:val="center"/>
        </w:trPr>
        <w:tc>
          <w:tcPr>
            <w:tcW w:w="490" w:type="pct"/>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4510" w:type="pct"/>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D54F28">
        <w:trPr>
          <w:jc w:val="center"/>
        </w:trPr>
        <w:tc>
          <w:tcPr>
            <w:tcW w:w="490" w:type="pct"/>
          </w:tcPr>
          <w:p w14:paraId="28DDC28C" w14:textId="77777777" w:rsidR="00990F18" w:rsidRPr="00205C71" w:rsidRDefault="00BD2F70" w:rsidP="00E50BF7">
            <w:pPr>
              <w:spacing w:after="0" w:line="240" w:lineRule="auto"/>
              <w:jc w:val="left"/>
              <w:rPr>
                <w:szCs w:val="24"/>
              </w:rPr>
            </w:pPr>
            <w:r w:rsidRPr="00205C71">
              <w:rPr>
                <w:szCs w:val="24"/>
              </w:rPr>
              <w:t>GSCI5</w:t>
            </w:r>
          </w:p>
        </w:tc>
        <w:tc>
          <w:tcPr>
            <w:tcW w:w="4510" w:type="pct"/>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D54F28">
        <w:trPr>
          <w:jc w:val="center"/>
        </w:trPr>
        <w:tc>
          <w:tcPr>
            <w:tcW w:w="490" w:type="pct"/>
          </w:tcPr>
          <w:p w14:paraId="2689580E" w14:textId="77777777" w:rsidR="00990F18" w:rsidRPr="00205C71" w:rsidRDefault="00BD2F70" w:rsidP="00E50BF7">
            <w:pPr>
              <w:spacing w:after="0" w:line="240" w:lineRule="auto"/>
              <w:jc w:val="left"/>
              <w:rPr>
                <w:szCs w:val="24"/>
              </w:rPr>
            </w:pPr>
            <w:r w:rsidRPr="00205C71">
              <w:rPr>
                <w:szCs w:val="24"/>
              </w:rPr>
              <w:lastRenderedPageBreak/>
              <w:t>RP1</w:t>
            </w:r>
          </w:p>
        </w:tc>
        <w:tc>
          <w:tcPr>
            <w:tcW w:w="4510" w:type="pct"/>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D54F28">
        <w:trPr>
          <w:jc w:val="center"/>
        </w:trPr>
        <w:tc>
          <w:tcPr>
            <w:tcW w:w="490" w:type="pct"/>
          </w:tcPr>
          <w:p w14:paraId="5CB3E519" w14:textId="77777777" w:rsidR="00990F18" w:rsidRPr="00205C71" w:rsidRDefault="00BD2F70" w:rsidP="00E50BF7">
            <w:pPr>
              <w:spacing w:after="0" w:line="240" w:lineRule="auto"/>
              <w:jc w:val="left"/>
              <w:rPr>
                <w:szCs w:val="24"/>
              </w:rPr>
            </w:pPr>
            <w:r w:rsidRPr="00205C71">
              <w:rPr>
                <w:szCs w:val="24"/>
              </w:rPr>
              <w:t>RP2</w:t>
            </w:r>
          </w:p>
        </w:tc>
        <w:tc>
          <w:tcPr>
            <w:tcW w:w="4510" w:type="pct"/>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D54F28">
        <w:trPr>
          <w:jc w:val="center"/>
        </w:trPr>
        <w:tc>
          <w:tcPr>
            <w:tcW w:w="490" w:type="pct"/>
          </w:tcPr>
          <w:p w14:paraId="70DD57CC" w14:textId="77777777" w:rsidR="00990F18" w:rsidRPr="00205C71" w:rsidRDefault="00BD2F70" w:rsidP="00E50BF7">
            <w:pPr>
              <w:spacing w:after="0" w:line="240" w:lineRule="auto"/>
              <w:jc w:val="left"/>
              <w:rPr>
                <w:szCs w:val="24"/>
              </w:rPr>
            </w:pPr>
            <w:r w:rsidRPr="00205C71">
              <w:rPr>
                <w:szCs w:val="24"/>
              </w:rPr>
              <w:t>RP3</w:t>
            </w:r>
          </w:p>
        </w:tc>
        <w:tc>
          <w:tcPr>
            <w:tcW w:w="4510" w:type="pct"/>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D54F28">
        <w:trPr>
          <w:jc w:val="center"/>
        </w:trPr>
        <w:tc>
          <w:tcPr>
            <w:tcW w:w="490" w:type="pct"/>
          </w:tcPr>
          <w:p w14:paraId="129B62D6" w14:textId="77777777" w:rsidR="00990F18" w:rsidRPr="00205C71" w:rsidRDefault="00BD2F70" w:rsidP="00E50BF7">
            <w:pPr>
              <w:spacing w:after="0" w:line="240" w:lineRule="auto"/>
              <w:jc w:val="left"/>
              <w:rPr>
                <w:szCs w:val="24"/>
              </w:rPr>
            </w:pPr>
            <w:r w:rsidRPr="00205C71">
              <w:rPr>
                <w:szCs w:val="24"/>
              </w:rPr>
              <w:t>RP4</w:t>
            </w:r>
          </w:p>
        </w:tc>
        <w:tc>
          <w:tcPr>
            <w:tcW w:w="4510" w:type="pct"/>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D54F28">
        <w:trPr>
          <w:jc w:val="center"/>
        </w:trPr>
        <w:tc>
          <w:tcPr>
            <w:tcW w:w="490" w:type="pct"/>
          </w:tcPr>
          <w:p w14:paraId="46668D19" w14:textId="77777777" w:rsidR="00990F18" w:rsidRPr="00205C71" w:rsidRDefault="00BD2F70" w:rsidP="00E50BF7">
            <w:pPr>
              <w:spacing w:after="0" w:line="240" w:lineRule="auto"/>
              <w:jc w:val="left"/>
              <w:rPr>
                <w:szCs w:val="24"/>
              </w:rPr>
            </w:pPr>
            <w:r w:rsidRPr="00205C71">
              <w:rPr>
                <w:szCs w:val="24"/>
              </w:rPr>
              <w:t>DI1</w:t>
            </w:r>
          </w:p>
        </w:tc>
        <w:tc>
          <w:tcPr>
            <w:tcW w:w="4510" w:type="pct"/>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D54F28">
        <w:trPr>
          <w:jc w:val="center"/>
        </w:trPr>
        <w:tc>
          <w:tcPr>
            <w:tcW w:w="490" w:type="pct"/>
          </w:tcPr>
          <w:p w14:paraId="5B79DFD0" w14:textId="77777777" w:rsidR="00990F18" w:rsidRPr="00205C71" w:rsidRDefault="00BD2F70" w:rsidP="00E50BF7">
            <w:pPr>
              <w:spacing w:after="0" w:line="240" w:lineRule="auto"/>
              <w:jc w:val="left"/>
              <w:rPr>
                <w:szCs w:val="24"/>
              </w:rPr>
            </w:pPr>
            <w:r w:rsidRPr="00205C71">
              <w:rPr>
                <w:szCs w:val="24"/>
              </w:rPr>
              <w:t>DI2</w:t>
            </w:r>
          </w:p>
        </w:tc>
        <w:tc>
          <w:tcPr>
            <w:tcW w:w="4510" w:type="pct"/>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D54F28">
        <w:trPr>
          <w:jc w:val="center"/>
        </w:trPr>
        <w:tc>
          <w:tcPr>
            <w:tcW w:w="490" w:type="pct"/>
          </w:tcPr>
          <w:p w14:paraId="47956AE8" w14:textId="77777777" w:rsidR="00990F18" w:rsidRPr="00205C71" w:rsidRDefault="00BD2F70" w:rsidP="00E50BF7">
            <w:pPr>
              <w:spacing w:after="0" w:line="240" w:lineRule="auto"/>
              <w:jc w:val="left"/>
              <w:rPr>
                <w:szCs w:val="24"/>
              </w:rPr>
            </w:pPr>
            <w:r w:rsidRPr="00205C71">
              <w:rPr>
                <w:szCs w:val="24"/>
              </w:rPr>
              <w:t>DI3</w:t>
            </w:r>
          </w:p>
        </w:tc>
        <w:tc>
          <w:tcPr>
            <w:tcW w:w="4510" w:type="pct"/>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D54F28">
        <w:trPr>
          <w:jc w:val="center"/>
        </w:trPr>
        <w:tc>
          <w:tcPr>
            <w:tcW w:w="490" w:type="pct"/>
          </w:tcPr>
          <w:p w14:paraId="6F20E5F0" w14:textId="77777777" w:rsidR="00990F18" w:rsidRPr="00205C71" w:rsidRDefault="00BD2F70" w:rsidP="00E50BF7">
            <w:pPr>
              <w:spacing w:after="0" w:line="240" w:lineRule="auto"/>
              <w:jc w:val="left"/>
              <w:rPr>
                <w:szCs w:val="24"/>
              </w:rPr>
            </w:pPr>
            <w:r w:rsidRPr="00205C71">
              <w:rPr>
                <w:szCs w:val="24"/>
              </w:rPr>
              <w:t>DI4</w:t>
            </w:r>
          </w:p>
        </w:tc>
        <w:tc>
          <w:tcPr>
            <w:tcW w:w="4510" w:type="pct"/>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D54F28">
        <w:trPr>
          <w:jc w:val="center"/>
        </w:trPr>
        <w:tc>
          <w:tcPr>
            <w:tcW w:w="490" w:type="pct"/>
          </w:tcPr>
          <w:p w14:paraId="6FAD9EE0" w14:textId="77777777" w:rsidR="00990F18" w:rsidRPr="00205C71" w:rsidRDefault="00BD2F70" w:rsidP="00E50BF7">
            <w:pPr>
              <w:spacing w:after="0" w:line="240" w:lineRule="auto"/>
              <w:jc w:val="left"/>
              <w:rPr>
                <w:szCs w:val="24"/>
              </w:rPr>
            </w:pPr>
            <w:r w:rsidRPr="00205C71">
              <w:rPr>
                <w:szCs w:val="24"/>
              </w:rPr>
              <w:t>DI5</w:t>
            </w:r>
          </w:p>
        </w:tc>
        <w:tc>
          <w:tcPr>
            <w:tcW w:w="4510" w:type="pct"/>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D54F28">
        <w:trPr>
          <w:jc w:val="center"/>
        </w:trPr>
        <w:tc>
          <w:tcPr>
            <w:tcW w:w="490" w:type="pct"/>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4510" w:type="pct"/>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D54F28">
        <w:trPr>
          <w:jc w:val="center"/>
        </w:trPr>
        <w:tc>
          <w:tcPr>
            <w:tcW w:w="490" w:type="pct"/>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4510" w:type="pct"/>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D54F28">
        <w:trPr>
          <w:jc w:val="center"/>
        </w:trPr>
        <w:tc>
          <w:tcPr>
            <w:tcW w:w="490" w:type="pct"/>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4510" w:type="pct"/>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D54F28">
        <w:trPr>
          <w:jc w:val="center"/>
        </w:trPr>
        <w:tc>
          <w:tcPr>
            <w:tcW w:w="490" w:type="pct"/>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4510" w:type="pct"/>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D54F28">
        <w:trPr>
          <w:jc w:val="center"/>
        </w:trPr>
        <w:tc>
          <w:tcPr>
            <w:tcW w:w="490" w:type="pct"/>
          </w:tcPr>
          <w:p w14:paraId="1FA4050F" w14:textId="77777777" w:rsidR="00990F18" w:rsidRPr="00205C71" w:rsidRDefault="00BD2F70" w:rsidP="00E50BF7">
            <w:pPr>
              <w:spacing w:after="0" w:line="240" w:lineRule="auto"/>
              <w:jc w:val="left"/>
              <w:rPr>
                <w:szCs w:val="24"/>
              </w:rPr>
            </w:pPr>
            <w:r w:rsidRPr="00205C71">
              <w:rPr>
                <w:szCs w:val="24"/>
              </w:rPr>
              <w:t>SP1</w:t>
            </w:r>
          </w:p>
        </w:tc>
        <w:tc>
          <w:tcPr>
            <w:tcW w:w="4510" w:type="pct"/>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D54F28">
        <w:trPr>
          <w:jc w:val="center"/>
        </w:trPr>
        <w:tc>
          <w:tcPr>
            <w:tcW w:w="490" w:type="pct"/>
          </w:tcPr>
          <w:p w14:paraId="13E7002E" w14:textId="77777777" w:rsidR="00990F18" w:rsidRPr="00205C71" w:rsidRDefault="00BD2F70" w:rsidP="00E50BF7">
            <w:pPr>
              <w:spacing w:after="0" w:line="240" w:lineRule="auto"/>
              <w:jc w:val="left"/>
              <w:rPr>
                <w:szCs w:val="24"/>
              </w:rPr>
            </w:pPr>
            <w:r w:rsidRPr="00205C71">
              <w:rPr>
                <w:szCs w:val="24"/>
              </w:rPr>
              <w:t>SP2</w:t>
            </w:r>
          </w:p>
        </w:tc>
        <w:tc>
          <w:tcPr>
            <w:tcW w:w="4510" w:type="pct"/>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D54F28">
        <w:trPr>
          <w:jc w:val="center"/>
        </w:trPr>
        <w:tc>
          <w:tcPr>
            <w:tcW w:w="490" w:type="pct"/>
          </w:tcPr>
          <w:p w14:paraId="2B87979E" w14:textId="77777777" w:rsidR="00990F18" w:rsidRPr="00205C71" w:rsidRDefault="00BD2F70" w:rsidP="00E50BF7">
            <w:pPr>
              <w:spacing w:after="0" w:line="240" w:lineRule="auto"/>
              <w:jc w:val="left"/>
              <w:rPr>
                <w:szCs w:val="24"/>
              </w:rPr>
            </w:pPr>
            <w:r w:rsidRPr="00205C71">
              <w:rPr>
                <w:szCs w:val="24"/>
              </w:rPr>
              <w:t>SP3</w:t>
            </w:r>
          </w:p>
        </w:tc>
        <w:tc>
          <w:tcPr>
            <w:tcW w:w="4510" w:type="pct"/>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D54F28">
        <w:trPr>
          <w:jc w:val="center"/>
        </w:trPr>
        <w:tc>
          <w:tcPr>
            <w:tcW w:w="490" w:type="pct"/>
          </w:tcPr>
          <w:p w14:paraId="6A5C9BF0" w14:textId="77777777" w:rsidR="00990F18" w:rsidRPr="00205C71" w:rsidRDefault="00BD2F70" w:rsidP="00E50BF7">
            <w:pPr>
              <w:spacing w:after="0" w:line="240" w:lineRule="auto"/>
              <w:jc w:val="left"/>
              <w:rPr>
                <w:szCs w:val="24"/>
              </w:rPr>
            </w:pPr>
            <w:r w:rsidRPr="00205C71">
              <w:rPr>
                <w:szCs w:val="24"/>
              </w:rPr>
              <w:t>SP4</w:t>
            </w:r>
          </w:p>
        </w:tc>
        <w:tc>
          <w:tcPr>
            <w:tcW w:w="4510" w:type="pct"/>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D54F28">
        <w:trPr>
          <w:jc w:val="center"/>
        </w:trPr>
        <w:tc>
          <w:tcPr>
            <w:tcW w:w="490" w:type="pct"/>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4510" w:type="pct"/>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D54F28">
        <w:trPr>
          <w:jc w:val="center"/>
        </w:trPr>
        <w:tc>
          <w:tcPr>
            <w:tcW w:w="490" w:type="pct"/>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4510" w:type="pct"/>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D54F28">
        <w:trPr>
          <w:jc w:val="center"/>
        </w:trPr>
        <w:tc>
          <w:tcPr>
            <w:tcW w:w="490" w:type="pct"/>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4510" w:type="pct"/>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D54F28">
        <w:trPr>
          <w:jc w:val="center"/>
        </w:trPr>
        <w:tc>
          <w:tcPr>
            <w:tcW w:w="490" w:type="pct"/>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4510" w:type="pct"/>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D54F28">
        <w:trPr>
          <w:jc w:val="center"/>
        </w:trPr>
        <w:tc>
          <w:tcPr>
            <w:tcW w:w="490" w:type="pct"/>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4510" w:type="pct"/>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D54F28">
        <w:trPr>
          <w:jc w:val="center"/>
        </w:trPr>
        <w:tc>
          <w:tcPr>
            <w:tcW w:w="490" w:type="pct"/>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4510" w:type="pct"/>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D54F28">
        <w:trPr>
          <w:jc w:val="center"/>
        </w:trPr>
        <w:tc>
          <w:tcPr>
            <w:tcW w:w="490" w:type="pct"/>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4510" w:type="pct"/>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D54F28">
        <w:trPr>
          <w:jc w:val="center"/>
        </w:trPr>
        <w:tc>
          <w:tcPr>
            <w:tcW w:w="490" w:type="pct"/>
          </w:tcPr>
          <w:p w14:paraId="2C26AB87" w14:textId="77777777" w:rsidR="00990F18" w:rsidRPr="00205C71" w:rsidRDefault="00BD2F70" w:rsidP="00E50BF7">
            <w:pPr>
              <w:spacing w:after="0" w:line="240" w:lineRule="auto"/>
              <w:jc w:val="left"/>
              <w:rPr>
                <w:szCs w:val="24"/>
              </w:rPr>
            </w:pPr>
            <w:r w:rsidRPr="00205C71">
              <w:rPr>
                <w:szCs w:val="24"/>
              </w:rPr>
              <w:lastRenderedPageBreak/>
              <w:t>KSR4</w:t>
            </w:r>
          </w:p>
        </w:tc>
        <w:tc>
          <w:tcPr>
            <w:tcW w:w="4510" w:type="pct"/>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D54F28">
        <w:trPr>
          <w:jc w:val="center"/>
        </w:trPr>
        <w:tc>
          <w:tcPr>
            <w:tcW w:w="490" w:type="pct"/>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4510" w:type="pct"/>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D54F28">
        <w:trPr>
          <w:jc w:val="center"/>
        </w:trPr>
        <w:tc>
          <w:tcPr>
            <w:tcW w:w="490" w:type="pct"/>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4510" w:type="pct"/>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D54F28">
        <w:trPr>
          <w:jc w:val="center"/>
        </w:trPr>
        <w:tc>
          <w:tcPr>
            <w:tcW w:w="490" w:type="pct"/>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4510" w:type="pct"/>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D54F28">
        <w:trPr>
          <w:jc w:val="center"/>
        </w:trPr>
        <w:tc>
          <w:tcPr>
            <w:tcW w:w="490" w:type="pct"/>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4510" w:type="pct"/>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11F59075" w14:textId="575B4D6B" w:rsidR="000841FA" w:rsidRDefault="00D54F28" w:rsidP="00D54F28">
      <w:pPr>
        <w:keepNext/>
        <w:spacing w:after="0"/>
        <w:rPr>
          <w:i/>
          <w:iCs/>
          <w:szCs w:val="24"/>
        </w:rPr>
      </w:pPr>
      <w:r w:rsidRPr="00D54F28">
        <w:rPr>
          <w:i/>
          <w:iCs/>
          <w:szCs w:val="24"/>
        </w:rPr>
        <w:t xml:space="preserve">Source: </w:t>
      </w:r>
      <w:r>
        <w:rPr>
          <w:i/>
          <w:iCs/>
          <w:szCs w:val="24"/>
        </w:rPr>
        <w:t>A</w:t>
      </w:r>
      <w:r w:rsidRPr="00D54F28">
        <w:rPr>
          <w:i/>
          <w:iCs/>
          <w:szCs w:val="24"/>
        </w:rPr>
        <w:t>uthors</w:t>
      </w:r>
    </w:p>
    <w:p w14:paraId="1C8F43E8" w14:textId="77777777" w:rsidR="00316A91" w:rsidRPr="00D54F28" w:rsidRDefault="00316A91" w:rsidP="00D54F28">
      <w:pPr>
        <w:keepNext/>
        <w:spacing w:after="0"/>
        <w:rPr>
          <w:b/>
          <w:i/>
          <w:iCs/>
          <w:szCs w:val="24"/>
        </w:rPr>
      </w:pPr>
    </w:p>
    <w:p w14:paraId="66AFB5A4" w14:textId="294ACE5C" w:rsidR="009873CC" w:rsidRPr="00A86C53" w:rsidRDefault="009873CC" w:rsidP="009873CC">
      <w:pPr>
        <w:keepNext/>
        <w:spacing w:after="0"/>
        <w:rPr>
          <w:bCs/>
          <w:szCs w:val="24"/>
          <w:highlight w:val="yellow"/>
        </w:rPr>
      </w:pPr>
      <w:r w:rsidRPr="00A86C53">
        <w:rPr>
          <w:bCs/>
          <w:szCs w:val="24"/>
          <w:highlight w:val="yellow"/>
        </w:rPr>
        <w:t xml:space="preserve">Content validity was assessed by a panel </w:t>
      </w:r>
      <w:r w:rsidR="00D90693" w:rsidRPr="00A86C53">
        <w:rPr>
          <w:bCs/>
          <w:szCs w:val="24"/>
          <w:highlight w:val="yellow"/>
        </w:rPr>
        <w:t xml:space="preserve">including </w:t>
      </w:r>
      <w:r w:rsidRPr="00A86C53">
        <w:rPr>
          <w:bCs/>
          <w:szCs w:val="24"/>
          <w:highlight w:val="yellow"/>
        </w:rPr>
        <w:t>academi</w:t>
      </w:r>
      <w:r w:rsidR="00D90693" w:rsidRPr="00A86C53">
        <w:rPr>
          <w:bCs/>
          <w:szCs w:val="24"/>
          <w:highlight w:val="yellow"/>
        </w:rPr>
        <w:t>cians</w:t>
      </w:r>
      <w:r w:rsidRPr="00A86C53">
        <w:rPr>
          <w:bCs/>
          <w:szCs w:val="24"/>
          <w:highlight w:val="yellow"/>
        </w:rPr>
        <w:t xml:space="preserve"> and practitioners with expertise in sustainable supply chain management, green logistics, circular economy and environmental accounting. Panel members rated each item as essential, useful but not essential, or not necessary, and separately rated its relevance against the construct definition supplied. Essentiality was quantified using the content validity ratio and relevance using the item-level and scale-level content validity indices (Lawshe, 1975; Polit &amp; Beck, 2006).</w:t>
      </w:r>
      <w:r w:rsidRPr="00A86C53">
        <w:rPr>
          <w:bCs/>
          <w:szCs w:val="24"/>
          <w:highlight w:val="yellow"/>
        </w:rPr>
        <w:t xml:space="preserve"> </w:t>
      </w:r>
      <w:r w:rsidRPr="00A86C53">
        <w:rPr>
          <w:bCs/>
          <w:szCs w:val="24"/>
          <w:highlight w:val="yellow"/>
        </w:rPr>
        <w:t>Content validity ratios range from 0.36 to 0.86 across the 34 items, and every item exceeds the critical value of 0.36 required for a panel of 28 at the five per cent level under the exact binomial method (Ayre &amp; Scally, 2014)</w:t>
      </w:r>
      <w:r w:rsidRPr="00A86C53">
        <w:rPr>
          <w:bCs/>
          <w:szCs w:val="24"/>
          <w:highlight w:val="yellow"/>
        </w:rPr>
        <w:t xml:space="preserve"> as shown in table 1a</w:t>
      </w:r>
      <w:r w:rsidRPr="00A86C53">
        <w:rPr>
          <w:bCs/>
          <w:szCs w:val="24"/>
          <w:highlight w:val="yellow"/>
        </w:rPr>
        <w:t xml:space="preserve">. Item-level content validity indices range from 0.79 to 0.96, so every item clears the 0.78 criterion conventionally applied to panels of six or more raters. Scale-level averages range from 0.83 for </w:t>
      </w:r>
      <w:r w:rsidR="00D90693" w:rsidRPr="00A86C53">
        <w:rPr>
          <w:bCs/>
          <w:szCs w:val="24"/>
          <w:highlight w:val="yellow"/>
        </w:rPr>
        <w:t>perceived economic feasibility</w:t>
      </w:r>
      <w:r w:rsidRPr="00A86C53">
        <w:rPr>
          <w:bCs/>
          <w:szCs w:val="24"/>
          <w:highlight w:val="yellow"/>
        </w:rPr>
        <w:t xml:space="preserve"> to 0.91 for top management commitment, with an overall value of 0.87.</w:t>
      </w:r>
    </w:p>
    <w:p w14:paraId="6E75D71F" w14:textId="13B46667" w:rsidR="009873CC" w:rsidRPr="00A86C53" w:rsidRDefault="009873CC" w:rsidP="009873CC">
      <w:pPr>
        <w:keepNext/>
        <w:spacing w:after="0"/>
        <w:rPr>
          <w:bCs/>
          <w:szCs w:val="24"/>
          <w:highlight w:val="yellow"/>
        </w:rPr>
      </w:pPr>
      <w:r w:rsidRPr="00A86C53">
        <w:rPr>
          <w:bCs/>
          <w:szCs w:val="24"/>
          <w:highlight w:val="yellow"/>
        </w:rPr>
        <w:t xml:space="preserve">Scale-level averages fall below the 0.90 benchmark that some authors apply, and the reason lies in panel size rather than item quality. With 28 raters a single dissenting judgement reduces an item index by 0.036, so unanimity is far harder to reach than on the panels of five to ten that the benchmark was developed around. An item index of 0.79 here means 22 of 28 experts judged the item relevant, which is a more demanding demonstration than a unanimous verdict from five raters. Retention decisions were therefore taken on the item-level criteria, which every item satisfies, and panel comments were used to refine wording. Revisions clarified the fifth integration item, sharpened the third regulatory item, separated the fifth digital readiness item from performance outcomes, and tightened the definition supplied for </w:t>
      </w:r>
      <w:r w:rsidR="00D90693" w:rsidRPr="00A86C53">
        <w:rPr>
          <w:bCs/>
          <w:szCs w:val="24"/>
          <w:highlight w:val="yellow"/>
        </w:rPr>
        <w:t>perceived economic feasibility</w:t>
      </w:r>
      <w:r w:rsidRPr="00A86C53">
        <w:rPr>
          <w:bCs/>
          <w:szCs w:val="24"/>
          <w:highlight w:val="yellow"/>
        </w:rPr>
        <w:t>.</w:t>
      </w:r>
    </w:p>
    <w:p w14:paraId="18E492ED" w14:textId="71E293A0" w:rsidR="000638D0" w:rsidRPr="00A86C53" w:rsidRDefault="000638D0" w:rsidP="000638D0">
      <w:pPr>
        <w:keepNext/>
        <w:spacing w:after="0"/>
        <w:jc w:val="center"/>
        <w:rPr>
          <w:bCs/>
          <w:szCs w:val="24"/>
          <w:highlight w:val="yellow"/>
        </w:rPr>
      </w:pPr>
      <w:r w:rsidRPr="00A86C53">
        <w:rPr>
          <w:bCs/>
          <w:szCs w:val="24"/>
          <w:highlight w:val="yellow"/>
        </w:rPr>
        <w:t>Table 1a. Content validity assessment by expert panel (n = 28)</w:t>
      </w:r>
    </w:p>
    <w:tbl>
      <w:tblPr>
        <w:tblStyle w:val="TableGrid"/>
        <w:tblW w:w="5000" w:type="pct"/>
        <w:tblLook w:val="04A0" w:firstRow="1" w:lastRow="0" w:firstColumn="1" w:lastColumn="0" w:noHBand="0" w:noVBand="1"/>
      </w:tblPr>
      <w:tblGrid>
        <w:gridCol w:w="1243"/>
        <w:gridCol w:w="790"/>
        <w:gridCol w:w="985"/>
        <w:gridCol w:w="1003"/>
        <w:gridCol w:w="1165"/>
        <w:gridCol w:w="3830"/>
      </w:tblGrid>
      <w:tr w:rsidR="000638D0" w:rsidRPr="00A86C53" w14:paraId="37FD6929" w14:textId="77777777" w:rsidTr="000638D0">
        <w:tc>
          <w:tcPr>
            <w:tcW w:w="689" w:type="pct"/>
            <w:hideMark/>
          </w:tcPr>
          <w:p w14:paraId="4B7C16A4"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Construct</w:t>
            </w:r>
          </w:p>
        </w:tc>
        <w:tc>
          <w:tcPr>
            <w:tcW w:w="438" w:type="pct"/>
            <w:hideMark/>
          </w:tcPr>
          <w:p w14:paraId="727D782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Items</w:t>
            </w:r>
          </w:p>
        </w:tc>
        <w:tc>
          <w:tcPr>
            <w:tcW w:w="546" w:type="pct"/>
            <w:hideMark/>
          </w:tcPr>
          <w:p w14:paraId="5277638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CVR Range</w:t>
            </w:r>
          </w:p>
        </w:tc>
        <w:tc>
          <w:tcPr>
            <w:tcW w:w="556" w:type="pct"/>
            <w:hideMark/>
          </w:tcPr>
          <w:p w14:paraId="4933344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I-CVI Range</w:t>
            </w:r>
          </w:p>
        </w:tc>
        <w:tc>
          <w:tcPr>
            <w:tcW w:w="646" w:type="pct"/>
            <w:hideMark/>
          </w:tcPr>
          <w:p w14:paraId="4C6A2F2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S-CVI/Ave</w:t>
            </w:r>
          </w:p>
        </w:tc>
        <w:tc>
          <w:tcPr>
            <w:tcW w:w="2124" w:type="pct"/>
            <w:hideMark/>
          </w:tcPr>
          <w:p w14:paraId="20A012C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Outcome</w:t>
            </w:r>
          </w:p>
        </w:tc>
      </w:tr>
      <w:tr w:rsidR="000638D0" w:rsidRPr="00A86C53" w14:paraId="451D1CD4" w14:textId="77777777" w:rsidTr="000638D0">
        <w:tc>
          <w:tcPr>
            <w:tcW w:w="689" w:type="pct"/>
            <w:hideMark/>
          </w:tcPr>
          <w:p w14:paraId="0FB80FF5"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lastRenderedPageBreak/>
              <w:t>GSCI</w:t>
            </w:r>
          </w:p>
        </w:tc>
        <w:tc>
          <w:tcPr>
            <w:tcW w:w="438" w:type="pct"/>
            <w:hideMark/>
          </w:tcPr>
          <w:p w14:paraId="2348D71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5</w:t>
            </w:r>
          </w:p>
        </w:tc>
        <w:tc>
          <w:tcPr>
            <w:tcW w:w="546" w:type="pct"/>
            <w:hideMark/>
          </w:tcPr>
          <w:p w14:paraId="3C71345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0.43–0.71</w:t>
            </w:r>
          </w:p>
        </w:tc>
        <w:tc>
          <w:tcPr>
            <w:tcW w:w="556" w:type="pct"/>
            <w:hideMark/>
          </w:tcPr>
          <w:p w14:paraId="5DF218B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0.79–0.93</w:t>
            </w:r>
          </w:p>
        </w:tc>
        <w:tc>
          <w:tcPr>
            <w:tcW w:w="646" w:type="pct"/>
            <w:hideMark/>
          </w:tcPr>
          <w:p w14:paraId="2BAC05C5"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0.85</w:t>
            </w:r>
          </w:p>
        </w:tc>
        <w:tc>
          <w:tcPr>
            <w:tcW w:w="2124" w:type="pct"/>
            <w:hideMark/>
          </w:tcPr>
          <w:p w14:paraId="01661AC1"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GSCI5 revised for conceptual clarity.</w:t>
            </w:r>
          </w:p>
        </w:tc>
      </w:tr>
      <w:tr w:rsidR="000638D0" w:rsidRPr="00A86C53" w14:paraId="388D86F2" w14:textId="77777777" w:rsidTr="000638D0">
        <w:tc>
          <w:tcPr>
            <w:tcW w:w="689" w:type="pct"/>
            <w:hideMark/>
          </w:tcPr>
          <w:p w14:paraId="08E7CC22"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RP</w:t>
            </w:r>
          </w:p>
        </w:tc>
        <w:tc>
          <w:tcPr>
            <w:tcW w:w="438" w:type="pct"/>
            <w:hideMark/>
          </w:tcPr>
          <w:p w14:paraId="3F8EEE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6960562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0.36–0.64</w:t>
            </w:r>
          </w:p>
        </w:tc>
        <w:tc>
          <w:tcPr>
            <w:tcW w:w="556" w:type="pct"/>
            <w:hideMark/>
          </w:tcPr>
          <w:p w14:paraId="2FD6E69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0.79–0.89</w:t>
            </w:r>
          </w:p>
        </w:tc>
        <w:tc>
          <w:tcPr>
            <w:tcW w:w="646" w:type="pct"/>
            <w:hideMark/>
          </w:tcPr>
          <w:p w14:paraId="625944C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0.84</w:t>
            </w:r>
          </w:p>
        </w:tc>
        <w:tc>
          <w:tcPr>
            <w:tcW w:w="2124" w:type="pct"/>
            <w:hideMark/>
          </w:tcPr>
          <w:p w14:paraId="15B0BE9F"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RP3 wording refined.</w:t>
            </w:r>
          </w:p>
        </w:tc>
      </w:tr>
      <w:tr w:rsidR="000638D0" w:rsidRPr="00A86C53" w14:paraId="6E7DD8DE" w14:textId="77777777" w:rsidTr="000638D0">
        <w:tc>
          <w:tcPr>
            <w:tcW w:w="689" w:type="pct"/>
            <w:hideMark/>
          </w:tcPr>
          <w:p w14:paraId="287EB9B2"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DI</w:t>
            </w:r>
          </w:p>
        </w:tc>
        <w:tc>
          <w:tcPr>
            <w:tcW w:w="438" w:type="pct"/>
            <w:hideMark/>
          </w:tcPr>
          <w:p w14:paraId="20A6BBF4"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5</w:t>
            </w:r>
          </w:p>
        </w:tc>
        <w:tc>
          <w:tcPr>
            <w:tcW w:w="546" w:type="pct"/>
            <w:hideMark/>
          </w:tcPr>
          <w:p w14:paraId="378554C3"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0.43–0.79</w:t>
            </w:r>
          </w:p>
        </w:tc>
        <w:tc>
          <w:tcPr>
            <w:tcW w:w="556" w:type="pct"/>
            <w:hideMark/>
          </w:tcPr>
          <w:p w14:paraId="11117D82"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0.82–0.93</w:t>
            </w:r>
          </w:p>
        </w:tc>
        <w:tc>
          <w:tcPr>
            <w:tcW w:w="646" w:type="pct"/>
            <w:hideMark/>
          </w:tcPr>
          <w:p w14:paraId="67088E56"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0.87</w:t>
            </w:r>
          </w:p>
        </w:tc>
        <w:tc>
          <w:tcPr>
            <w:tcW w:w="2124" w:type="pct"/>
            <w:hideMark/>
          </w:tcPr>
          <w:p w14:paraId="4E49563A"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DI5 revised to avoid overlap with performance.</w:t>
            </w:r>
          </w:p>
        </w:tc>
      </w:tr>
      <w:tr w:rsidR="000638D0" w:rsidRPr="00A86C53" w14:paraId="43D38A6A" w14:textId="77777777" w:rsidTr="000638D0">
        <w:tc>
          <w:tcPr>
            <w:tcW w:w="689" w:type="pct"/>
            <w:hideMark/>
          </w:tcPr>
          <w:p w14:paraId="6CF5A8C4"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TMC</w:t>
            </w:r>
          </w:p>
        </w:tc>
        <w:tc>
          <w:tcPr>
            <w:tcW w:w="438" w:type="pct"/>
            <w:hideMark/>
          </w:tcPr>
          <w:p w14:paraId="27586B9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0624CB4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0.57–0.86</w:t>
            </w:r>
          </w:p>
        </w:tc>
        <w:tc>
          <w:tcPr>
            <w:tcW w:w="556" w:type="pct"/>
            <w:hideMark/>
          </w:tcPr>
          <w:p w14:paraId="4C978F4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0.86–0.96</w:t>
            </w:r>
          </w:p>
        </w:tc>
        <w:tc>
          <w:tcPr>
            <w:tcW w:w="646" w:type="pct"/>
            <w:hideMark/>
          </w:tcPr>
          <w:p w14:paraId="6D6075E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0.90</w:t>
            </w:r>
          </w:p>
        </w:tc>
        <w:tc>
          <w:tcPr>
            <w:tcW w:w="2124" w:type="pct"/>
            <w:hideMark/>
          </w:tcPr>
          <w:p w14:paraId="2896FF79"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minor wording revisions.</w:t>
            </w:r>
          </w:p>
        </w:tc>
      </w:tr>
      <w:tr w:rsidR="000638D0" w:rsidRPr="00A86C53" w14:paraId="77EEB6D0" w14:textId="77777777" w:rsidTr="000638D0">
        <w:tc>
          <w:tcPr>
            <w:tcW w:w="689" w:type="pct"/>
            <w:hideMark/>
          </w:tcPr>
          <w:p w14:paraId="2571ECF6"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SP</w:t>
            </w:r>
          </w:p>
        </w:tc>
        <w:tc>
          <w:tcPr>
            <w:tcW w:w="438" w:type="pct"/>
            <w:hideMark/>
          </w:tcPr>
          <w:p w14:paraId="1E9C54C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6E6D7E6E"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0.43–0.64</w:t>
            </w:r>
          </w:p>
        </w:tc>
        <w:tc>
          <w:tcPr>
            <w:tcW w:w="556" w:type="pct"/>
            <w:hideMark/>
          </w:tcPr>
          <w:p w14:paraId="799832E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0.79–0.89</w:t>
            </w:r>
          </w:p>
        </w:tc>
        <w:tc>
          <w:tcPr>
            <w:tcW w:w="646" w:type="pct"/>
            <w:hideMark/>
          </w:tcPr>
          <w:p w14:paraId="5EE4B163"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0.85</w:t>
            </w:r>
          </w:p>
        </w:tc>
        <w:tc>
          <w:tcPr>
            <w:tcW w:w="2124" w:type="pct"/>
            <w:hideMark/>
          </w:tcPr>
          <w:p w14:paraId="0676001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contextual examples added.</w:t>
            </w:r>
          </w:p>
        </w:tc>
      </w:tr>
      <w:tr w:rsidR="000638D0" w:rsidRPr="00A86C53" w14:paraId="59886260" w14:textId="77777777" w:rsidTr="000638D0">
        <w:tc>
          <w:tcPr>
            <w:tcW w:w="689" w:type="pct"/>
            <w:hideMark/>
          </w:tcPr>
          <w:p w14:paraId="1BE853CF"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CBI</w:t>
            </w:r>
          </w:p>
        </w:tc>
        <w:tc>
          <w:tcPr>
            <w:tcW w:w="438" w:type="pct"/>
            <w:hideMark/>
          </w:tcPr>
          <w:p w14:paraId="3AE3E49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53C678F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0.36–0.57</w:t>
            </w:r>
          </w:p>
        </w:tc>
        <w:tc>
          <w:tcPr>
            <w:tcW w:w="556" w:type="pct"/>
            <w:hideMark/>
          </w:tcPr>
          <w:p w14:paraId="001C317E"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0.79–0.86</w:t>
            </w:r>
          </w:p>
        </w:tc>
        <w:tc>
          <w:tcPr>
            <w:tcW w:w="646" w:type="pct"/>
            <w:hideMark/>
          </w:tcPr>
          <w:p w14:paraId="54A36F5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0.83</w:t>
            </w:r>
          </w:p>
        </w:tc>
        <w:tc>
          <w:tcPr>
            <w:tcW w:w="2124" w:type="pct"/>
            <w:hideMark/>
          </w:tcPr>
          <w:p w14:paraId="1CF40C4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construct definition refined.</w:t>
            </w:r>
          </w:p>
        </w:tc>
      </w:tr>
      <w:tr w:rsidR="000638D0" w:rsidRPr="00A86C53" w14:paraId="7BFDC65B" w14:textId="77777777" w:rsidTr="000638D0">
        <w:tc>
          <w:tcPr>
            <w:tcW w:w="689" w:type="pct"/>
            <w:hideMark/>
          </w:tcPr>
          <w:p w14:paraId="6032E181"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KSR</w:t>
            </w:r>
          </w:p>
        </w:tc>
        <w:tc>
          <w:tcPr>
            <w:tcW w:w="438" w:type="pct"/>
            <w:hideMark/>
          </w:tcPr>
          <w:p w14:paraId="1B01E988"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3368CDD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0.57–0.86</w:t>
            </w:r>
          </w:p>
        </w:tc>
        <w:tc>
          <w:tcPr>
            <w:tcW w:w="556" w:type="pct"/>
            <w:hideMark/>
          </w:tcPr>
          <w:p w14:paraId="56AC825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0.86–0.96</w:t>
            </w:r>
          </w:p>
        </w:tc>
        <w:tc>
          <w:tcPr>
            <w:tcW w:w="646" w:type="pct"/>
            <w:hideMark/>
          </w:tcPr>
          <w:p w14:paraId="3312603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0.91</w:t>
            </w:r>
          </w:p>
        </w:tc>
        <w:tc>
          <w:tcPr>
            <w:tcW w:w="2124" w:type="pct"/>
            <w:hideMark/>
          </w:tcPr>
          <w:p w14:paraId="6302C2F3"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no major concerns.</w:t>
            </w:r>
          </w:p>
        </w:tc>
      </w:tr>
      <w:tr w:rsidR="000638D0" w:rsidRPr="00A86C53" w14:paraId="7128557B" w14:textId="77777777" w:rsidTr="000638D0">
        <w:tc>
          <w:tcPr>
            <w:tcW w:w="689" w:type="pct"/>
            <w:hideMark/>
          </w:tcPr>
          <w:p w14:paraId="51AF8858"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GLP</w:t>
            </w:r>
          </w:p>
        </w:tc>
        <w:tc>
          <w:tcPr>
            <w:tcW w:w="438" w:type="pct"/>
            <w:hideMark/>
          </w:tcPr>
          <w:p w14:paraId="560E786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042DD8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0.50–0.79</w:t>
            </w:r>
          </w:p>
        </w:tc>
        <w:tc>
          <w:tcPr>
            <w:tcW w:w="556" w:type="pct"/>
            <w:hideMark/>
          </w:tcPr>
          <w:p w14:paraId="6DD721C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0.82–0.93</w:t>
            </w:r>
          </w:p>
        </w:tc>
        <w:tc>
          <w:tcPr>
            <w:tcW w:w="646" w:type="pct"/>
            <w:hideMark/>
          </w:tcPr>
          <w:p w14:paraId="7137BE7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0.88</w:t>
            </w:r>
          </w:p>
        </w:tc>
        <w:tc>
          <w:tcPr>
            <w:tcW w:w="2124" w:type="pct"/>
            <w:hideMark/>
          </w:tcPr>
          <w:p w14:paraId="02938A2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editorial refinements.</w:t>
            </w:r>
          </w:p>
        </w:tc>
      </w:tr>
      <w:tr w:rsidR="000638D0" w:rsidRPr="00A86C53" w14:paraId="73AC640F" w14:textId="77777777" w:rsidTr="000638D0">
        <w:tc>
          <w:tcPr>
            <w:tcW w:w="689" w:type="pct"/>
            <w:hideMark/>
          </w:tcPr>
          <w:p w14:paraId="336442ED"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Overall</w:t>
            </w:r>
          </w:p>
        </w:tc>
        <w:tc>
          <w:tcPr>
            <w:tcW w:w="438" w:type="pct"/>
            <w:hideMark/>
          </w:tcPr>
          <w:p w14:paraId="28685671"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34</w:t>
            </w:r>
          </w:p>
        </w:tc>
        <w:tc>
          <w:tcPr>
            <w:tcW w:w="546" w:type="pct"/>
            <w:hideMark/>
          </w:tcPr>
          <w:p w14:paraId="45C8E672"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0.36–0.86</w:t>
            </w:r>
          </w:p>
        </w:tc>
        <w:tc>
          <w:tcPr>
            <w:tcW w:w="556" w:type="pct"/>
            <w:hideMark/>
          </w:tcPr>
          <w:p w14:paraId="473D82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0.79–0.96</w:t>
            </w:r>
          </w:p>
        </w:tc>
        <w:tc>
          <w:tcPr>
            <w:tcW w:w="646" w:type="pct"/>
            <w:hideMark/>
          </w:tcPr>
          <w:p w14:paraId="1DC42F3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0.87</w:t>
            </w:r>
          </w:p>
        </w:tc>
        <w:tc>
          <w:tcPr>
            <w:tcW w:w="2124" w:type="pct"/>
            <w:hideMark/>
          </w:tcPr>
          <w:p w14:paraId="0A54D642" w14:textId="791C4629"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 xml:space="preserve">All items exceeded the minimum CVR criterion (0.36) and I-CVI threshold (0.78). </w:t>
            </w:r>
          </w:p>
        </w:tc>
      </w:tr>
    </w:tbl>
    <w:p w14:paraId="45015EA4" w14:textId="4A09E6DD" w:rsidR="000638D0" w:rsidRPr="00A86C53" w:rsidRDefault="000638D0" w:rsidP="00A94E9E">
      <w:pPr>
        <w:keepNext/>
        <w:spacing w:after="0" w:line="276" w:lineRule="auto"/>
        <w:rPr>
          <w:bCs/>
          <w:i/>
          <w:iCs/>
          <w:szCs w:val="24"/>
          <w:highlight w:val="yellow"/>
        </w:rPr>
      </w:pPr>
      <w:r w:rsidRPr="00A86C53">
        <w:rPr>
          <w:bCs/>
          <w:i/>
          <w:iCs/>
          <w:szCs w:val="24"/>
          <w:highlight w:val="yellow"/>
        </w:rPr>
        <w:t>Source. Authors. CVR = content validity ratio; I-CVI = item-level content validity index; S-CVI/Ave = scale-level content validity index, averaging method. Critical CVR for 28 raters at p &lt; 0.05 is 0.36 (Ayre &amp; Scally, 2014).</w:t>
      </w:r>
    </w:p>
    <w:p w14:paraId="28866454" w14:textId="67C347F9" w:rsidR="009E4E65" w:rsidRPr="009E4E65" w:rsidRDefault="00E47C15" w:rsidP="009E4E65">
      <w:pPr>
        <w:keepNext/>
        <w:spacing w:after="0"/>
        <w:rPr>
          <w:bCs/>
          <w:szCs w:val="24"/>
        </w:rPr>
      </w:pPr>
      <w:r w:rsidRPr="00A86C53">
        <w:rPr>
          <w:bCs/>
          <w:szCs w:val="24"/>
          <w:highlight w:val="yellow"/>
        </w:rPr>
        <w:t xml:space="preserve">Reflective specification was assessed against the standard decision rules rather than assumed (Jarvis et al., 2003; MacKenzie et al., 2011). For each construct the underlying condition is understood to produce the observed responses rather than to be composed of them, the items share a single conceptual theme, and they are interchangeable in the sense that removing one would narrow the measure without changing what </w:t>
      </w:r>
      <w:r w:rsidRPr="00BD41AE">
        <w:rPr>
          <w:bCs/>
          <w:szCs w:val="24"/>
          <w:highlight w:val="yellow"/>
        </w:rPr>
        <w:t xml:space="preserve">it denotes. </w:t>
      </w:r>
      <w:r w:rsidR="003F1721" w:rsidRPr="00BD41AE">
        <w:rPr>
          <w:bCs/>
          <w:szCs w:val="24"/>
          <w:highlight w:val="yellow"/>
        </w:rPr>
        <w:t>perceived economic feasibility</w:t>
      </w:r>
      <w:r w:rsidRPr="00BD41AE">
        <w:rPr>
          <w:bCs/>
          <w:szCs w:val="24"/>
          <w:highlight w:val="yellow"/>
        </w:rPr>
        <w:t xml:space="preserve"> meets these rules on the same terms, since its items describe alternative manifestations </w:t>
      </w:r>
      <w:r w:rsidRPr="00A86C53">
        <w:rPr>
          <w:bCs/>
          <w:szCs w:val="24"/>
          <w:highlight w:val="yellow"/>
        </w:rPr>
        <w:t xml:space="preserve">of one </w:t>
      </w:r>
      <w:r w:rsidRPr="009E4E65">
        <w:rPr>
          <w:bCs/>
          <w:szCs w:val="24"/>
          <w:highlight w:val="yellow"/>
        </w:rPr>
        <w:t>underlying state, namely the degree to which green alternatives have become economically attainable, rather than separate components that jointly constitute it.</w:t>
      </w:r>
      <w:r w:rsidR="009E4E65" w:rsidRPr="009E4E65">
        <w:rPr>
          <w:bCs/>
          <w:szCs w:val="24"/>
          <w:highlight w:val="yellow"/>
        </w:rPr>
        <w:t xml:space="preserve">  </w:t>
      </w:r>
      <w:r w:rsidR="009E4E65" w:rsidRPr="009E4E65">
        <w:rPr>
          <w:bCs/>
          <w:szCs w:val="24"/>
          <w:highlight w:val="yellow"/>
        </w:rPr>
        <w:t>Enabler items ask whether a named capability exists and whether that capability has functioned, with the capability itself as the referent. The performance items ask how the firm is doing against its environmental goals across transport and warehousing, with green logistics practice as a whole as the referent.</w:t>
      </w:r>
      <w:r w:rsidR="009E4E65">
        <w:rPr>
          <w:bCs/>
          <w:szCs w:val="24"/>
          <w:highlight w:val="yellow"/>
        </w:rPr>
        <w:t xml:space="preserve"> </w:t>
      </w:r>
      <w:r w:rsidR="009E4E65" w:rsidRPr="009E4E65">
        <w:rPr>
          <w:bCs/>
          <w:szCs w:val="24"/>
          <w:highlight w:val="yellow"/>
        </w:rPr>
        <w:t xml:space="preserve">Two items sit closest to that boundary. The fifth digital readiness item asks whether digital technology has produced effects within logistics activities, which is a statement about whether a particular investment worked rather than about the firm's environmental standing. The fifth integration item asks whether operations are designed to minimise environmental impact across </w:t>
      </w:r>
      <w:r w:rsidR="009E4E65" w:rsidRPr="009E4E65">
        <w:rPr>
          <w:bCs/>
          <w:szCs w:val="24"/>
          <w:highlight w:val="yellow"/>
        </w:rPr>
        <w:lastRenderedPageBreak/>
        <w:t>the chain, which describes design orientation and chain-wide scope rather than achieved reduction.</w:t>
      </w: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B70BA5F" w:rsidR="00990F18" w:rsidRPr="00205C71" w:rsidRDefault="00BD2F70" w:rsidP="00E50BF7">
      <w:pPr>
        <w:spacing w:after="0"/>
        <w:rPr>
          <w:szCs w:val="24"/>
        </w:rPr>
      </w:pPr>
      <w:r w:rsidRPr="00205C71">
        <w:rPr>
          <w:szCs w:val="24"/>
        </w:rPr>
        <w:t>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criterion and the heterotrait-monotrait ratio of correlations. The structural model was then evaluated through path coefficients and their significance, obtained via bootstrapping, and 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 xml:space="preserve">.5 </w:t>
      </w:r>
      <w:proofErr w:type="spellStart"/>
      <w:r w:rsidR="00BD2F70" w:rsidRPr="00205C71">
        <w:rPr>
          <w:b/>
          <w:szCs w:val="24"/>
        </w:rPr>
        <w:t>fsQCA</w:t>
      </w:r>
      <w:proofErr w:type="spellEnd"/>
      <w:r w:rsidR="00BD2F70" w:rsidRPr="00205C71">
        <w:rPr>
          <w:b/>
          <w:szCs w:val="24"/>
        </w:rPr>
        <w:t xml:space="preserve"> Calibration and Analysis</w:t>
      </w:r>
    </w:p>
    <w:p w14:paraId="39D0F6C8" w14:textId="5AE0DEDB" w:rsidR="00DA332E" w:rsidRDefault="00DA332E" w:rsidP="00E50BF7">
      <w:pPr>
        <w:spacing w:after="0"/>
        <w:rPr>
          <w:szCs w:val="24"/>
        </w:rPr>
      </w:pPr>
      <w:r w:rsidRPr="00DA332E">
        <w:rPr>
          <w:szCs w:val="24"/>
          <w:highlight w:val="yellow"/>
        </w:rPr>
        <w:t>For the configurational analysis, construct scores were calibrated into fuzzy-set membership using the direct method, with the three qualitative anchors set at the 95th, 50th and 5th percentiles of the distribution (Ragin, 2008). Percentile anchoring is standard where survey constructs lack external benchmarks that would justify substantive thresholds, and recent configurational work in operations and sustainability research follows the same practice (Jiang et al., 2024; Feng &amp; Sheng, 2023; Zhang et al., 2024). One refinement was necessary here. Because the two economic groups differ by more than a scale point on every construct, anchors drawn from the pooled distribution would place nearly every developing-economy case below the crossover and nearly every emerging-economy case above it, leaving too few positive cases in one group and too few negative cases in the other for sufficiency to be assessed within either. Anchors were therefore computed separately within each group, so that membership expresses a firm's standing relative to comparable firms rather than its position on a scale dominated by the group difference. This preserves the comparison the study is designed to make, since the configurations recovered in each group then describe how high performers differ from low performers within that setting rather than how the settings differ from one another.</w:t>
      </w:r>
    </w:p>
    <w:p w14:paraId="59908AE3" w14:textId="434B4633" w:rsidR="00990F18" w:rsidRPr="00205C71" w:rsidRDefault="00BD2F70" w:rsidP="00E50BF7">
      <w:pPr>
        <w:spacing w:after="0"/>
        <w:rPr>
          <w:szCs w:val="24"/>
        </w:rPr>
      </w:pPr>
      <w:r w:rsidRPr="00205C71">
        <w:rPr>
          <w:szCs w:val="24"/>
        </w:rPr>
        <w:lastRenderedPageBreak/>
        <w:t>A truth table was then constructed</w:t>
      </w:r>
      <w:r w:rsidR="00C25BF1">
        <w:rPr>
          <w:szCs w:val="24"/>
        </w:rPr>
        <w:t>,</w:t>
      </w:r>
      <w:r w:rsidRPr="00205C71">
        <w:rPr>
          <w:szCs w:val="24"/>
        </w:rPr>
        <w:t xml:space="preserve">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726D0B75" w14:textId="77777777" w:rsidR="00E50BF7" w:rsidRDefault="00E50BF7" w:rsidP="00E50BF7">
      <w:pPr>
        <w:spacing w:after="0" w:line="240" w:lineRule="auto"/>
        <w:jc w:val="left"/>
        <w:rPr>
          <w:b/>
          <w:szCs w:val="24"/>
        </w:rPr>
      </w:pPr>
    </w:p>
    <w:p w14:paraId="192CF9CA" w14:textId="1E28DD26" w:rsidR="00990F18" w:rsidRPr="00E50BF7" w:rsidRDefault="00E50BF7" w:rsidP="00E50BF7">
      <w:pPr>
        <w:spacing w:after="0" w:line="240" w:lineRule="auto"/>
        <w:jc w:val="center"/>
        <w:rPr>
          <w:szCs w:val="24"/>
        </w:rPr>
      </w:pPr>
      <w:r>
        <w:rPr>
          <w:szCs w:val="24"/>
        </w:rPr>
        <w:t>Table 2:</w:t>
      </w:r>
      <w:r w:rsidR="00BD2F70" w:rsidRPr="00E50BF7">
        <w:rPr>
          <w:szCs w:val="24"/>
        </w:rPr>
        <w:t xml:space="preserve"> fsQCA calibration thresholds for the conditions and the outcome (direct method of calibration).</w:t>
      </w:r>
    </w:p>
    <w:tbl>
      <w:tblPr>
        <w:tblStyle w:val="TableGrid"/>
        <w:tblW w:w="9634" w:type="dxa"/>
        <w:tblLook w:val="04A0" w:firstRow="1" w:lastRow="0" w:firstColumn="1" w:lastColumn="0" w:noHBand="0" w:noVBand="1"/>
      </w:tblPr>
      <w:tblGrid>
        <w:gridCol w:w="4248"/>
        <w:gridCol w:w="1843"/>
        <w:gridCol w:w="1275"/>
        <w:gridCol w:w="2268"/>
      </w:tblGrid>
      <w:tr w:rsidR="00990F18" w:rsidRPr="00E50BF7" w14:paraId="2081C85C" w14:textId="77777777" w:rsidTr="00E50BF7">
        <w:tc>
          <w:tcPr>
            <w:tcW w:w="4248" w:type="dxa"/>
          </w:tcPr>
          <w:p w14:paraId="6D776D42" w14:textId="415CC38C" w:rsidR="00990F18" w:rsidRPr="00E50BF7" w:rsidRDefault="00BD2F70" w:rsidP="00C25BF1">
            <w:pPr>
              <w:spacing w:after="0" w:line="240" w:lineRule="auto"/>
              <w:jc w:val="left"/>
              <w:rPr>
                <w:sz w:val="22"/>
                <w:szCs w:val="24"/>
              </w:rPr>
            </w:pPr>
            <w:r w:rsidRPr="00E50BF7">
              <w:rPr>
                <w:b/>
                <w:sz w:val="22"/>
                <w:szCs w:val="24"/>
              </w:rPr>
              <w:t>Condition</w:t>
            </w:r>
            <w:r w:rsidR="00C25BF1">
              <w:rPr>
                <w:b/>
                <w:sz w:val="22"/>
                <w:szCs w:val="24"/>
              </w:rPr>
              <w:t>/</w:t>
            </w:r>
            <w:r w:rsidRPr="00E50BF7">
              <w:rPr>
                <w:b/>
                <w:sz w:val="22"/>
                <w:szCs w:val="24"/>
              </w:rPr>
              <w:t>outcome</w:t>
            </w:r>
          </w:p>
        </w:tc>
        <w:tc>
          <w:tcPr>
            <w:tcW w:w="1843" w:type="dxa"/>
          </w:tcPr>
          <w:p w14:paraId="19A763A2" w14:textId="77777777" w:rsidR="00990F18" w:rsidRPr="00E50BF7" w:rsidRDefault="00BD2F70" w:rsidP="00E50BF7">
            <w:pPr>
              <w:spacing w:after="0" w:line="240" w:lineRule="auto"/>
              <w:jc w:val="center"/>
              <w:rPr>
                <w:sz w:val="22"/>
                <w:szCs w:val="24"/>
              </w:rPr>
            </w:pPr>
            <w:r w:rsidRPr="00E50BF7">
              <w:rPr>
                <w:b/>
                <w:sz w:val="22"/>
                <w:szCs w:val="24"/>
              </w:rPr>
              <w:t>Full membership (95th pct)</w:t>
            </w:r>
          </w:p>
        </w:tc>
        <w:tc>
          <w:tcPr>
            <w:tcW w:w="1275" w:type="dxa"/>
          </w:tcPr>
          <w:p w14:paraId="45A5EB7C" w14:textId="77777777" w:rsidR="00990F18" w:rsidRPr="00E50BF7" w:rsidRDefault="00BD2F70" w:rsidP="00E50BF7">
            <w:pPr>
              <w:spacing w:after="0" w:line="240" w:lineRule="auto"/>
              <w:jc w:val="center"/>
              <w:rPr>
                <w:sz w:val="22"/>
                <w:szCs w:val="24"/>
              </w:rPr>
            </w:pPr>
            <w:r w:rsidRPr="00E50BF7">
              <w:rPr>
                <w:b/>
                <w:sz w:val="22"/>
                <w:szCs w:val="24"/>
              </w:rPr>
              <w:t>Crossover (50th pct)</w:t>
            </w:r>
          </w:p>
        </w:tc>
        <w:tc>
          <w:tcPr>
            <w:tcW w:w="2268" w:type="dxa"/>
          </w:tcPr>
          <w:p w14:paraId="0947BF47" w14:textId="77777777" w:rsidR="00990F18" w:rsidRPr="00E50BF7" w:rsidRDefault="00BD2F70" w:rsidP="00E50BF7">
            <w:pPr>
              <w:spacing w:after="0" w:line="240" w:lineRule="auto"/>
              <w:jc w:val="center"/>
              <w:rPr>
                <w:sz w:val="22"/>
                <w:szCs w:val="24"/>
              </w:rPr>
            </w:pPr>
            <w:r w:rsidRPr="00E50BF7">
              <w:rPr>
                <w:b/>
                <w:sz w:val="22"/>
                <w:szCs w:val="24"/>
              </w:rPr>
              <w:t>Full non-membership (5th pct)</w:t>
            </w:r>
          </w:p>
        </w:tc>
      </w:tr>
      <w:tr w:rsidR="00990F18" w:rsidRPr="00E50BF7" w14:paraId="053F354D" w14:textId="77777777" w:rsidTr="00E50BF7">
        <w:tc>
          <w:tcPr>
            <w:tcW w:w="4248" w:type="dxa"/>
          </w:tcPr>
          <w:p w14:paraId="2DF0226D" w14:textId="77777777" w:rsidR="00990F18" w:rsidRPr="00E50BF7" w:rsidRDefault="00BD2F70" w:rsidP="00E50BF7">
            <w:pPr>
              <w:spacing w:after="0" w:line="240" w:lineRule="auto"/>
              <w:jc w:val="left"/>
              <w:rPr>
                <w:sz w:val="22"/>
                <w:szCs w:val="24"/>
              </w:rPr>
            </w:pPr>
            <w:r w:rsidRPr="00E50BF7">
              <w:rPr>
                <w:sz w:val="22"/>
                <w:szCs w:val="24"/>
              </w:rPr>
              <w:t>GSCI - Green supply chain integration</w:t>
            </w:r>
          </w:p>
        </w:tc>
        <w:tc>
          <w:tcPr>
            <w:tcW w:w="1843" w:type="dxa"/>
          </w:tcPr>
          <w:p w14:paraId="7065817E"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0125AD12"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1D6D4D67"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3BE9E561" w14:textId="77777777" w:rsidTr="00E50BF7">
        <w:tc>
          <w:tcPr>
            <w:tcW w:w="4248" w:type="dxa"/>
          </w:tcPr>
          <w:p w14:paraId="64EC7185" w14:textId="77777777" w:rsidR="00990F18" w:rsidRPr="00E50BF7" w:rsidRDefault="00BD2F70" w:rsidP="00E50BF7">
            <w:pPr>
              <w:spacing w:after="0" w:line="240" w:lineRule="auto"/>
              <w:jc w:val="left"/>
              <w:rPr>
                <w:sz w:val="22"/>
                <w:szCs w:val="24"/>
              </w:rPr>
            </w:pPr>
            <w:r w:rsidRPr="00E50BF7">
              <w:rPr>
                <w:sz w:val="22"/>
                <w:szCs w:val="24"/>
              </w:rPr>
              <w:t>RP - Regulatory and policy pressure</w:t>
            </w:r>
          </w:p>
        </w:tc>
        <w:tc>
          <w:tcPr>
            <w:tcW w:w="1843" w:type="dxa"/>
          </w:tcPr>
          <w:p w14:paraId="5DCBF9C2"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75396210" w14:textId="77777777" w:rsidR="00990F18" w:rsidRPr="00E50BF7" w:rsidRDefault="00BD2F70" w:rsidP="00E50BF7">
            <w:pPr>
              <w:spacing w:after="0" w:line="240" w:lineRule="auto"/>
              <w:jc w:val="center"/>
              <w:rPr>
                <w:sz w:val="22"/>
                <w:szCs w:val="24"/>
              </w:rPr>
            </w:pPr>
            <w:r w:rsidRPr="00E50BF7">
              <w:rPr>
                <w:sz w:val="22"/>
                <w:szCs w:val="24"/>
              </w:rPr>
              <w:t>3.70</w:t>
            </w:r>
          </w:p>
        </w:tc>
        <w:tc>
          <w:tcPr>
            <w:tcW w:w="2268" w:type="dxa"/>
          </w:tcPr>
          <w:p w14:paraId="3573F0CE" w14:textId="77777777" w:rsidR="00990F18" w:rsidRPr="00E50BF7" w:rsidRDefault="00BD2F70" w:rsidP="00E50BF7">
            <w:pPr>
              <w:spacing w:after="0" w:line="240" w:lineRule="auto"/>
              <w:jc w:val="center"/>
              <w:rPr>
                <w:sz w:val="22"/>
                <w:szCs w:val="24"/>
              </w:rPr>
            </w:pPr>
            <w:r w:rsidRPr="00E50BF7">
              <w:rPr>
                <w:sz w:val="22"/>
                <w:szCs w:val="24"/>
              </w:rPr>
              <w:t>2.80</w:t>
            </w:r>
          </w:p>
        </w:tc>
      </w:tr>
      <w:tr w:rsidR="00990F18" w:rsidRPr="00E50BF7" w14:paraId="3CC9E948" w14:textId="77777777" w:rsidTr="00E50BF7">
        <w:tc>
          <w:tcPr>
            <w:tcW w:w="4248" w:type="dxa"/>
          </w:tcPr>
          <w:p w14:paraId="17118C36" w14:textId="77777777" w:rsidR="00990F18" w:rsidRPr="00E50BF7" w:rsidRDefault="00BD2F70" w:rsidP="00E50BF7">
            <w:pPr>
              <w:spacing w:after="0" w:line="240" w:lineRule="auto"/>
              <w:jc w:val="left"/>
              <w:rPr>
                <w:sz w:val="22"/>
                <w:szCs w:val="24"/>
              </w:rPr>
            </w:pPr>
            <w:r w:rsidRPr="00E50BF7">
              <w:rPr>
                <w:sz w:val="22"/>
                <w:szCs w:val="24"/>
              </w:rPr>
              <w:t>DI - Digital infrastructure readiness</w:t>
            </w:r>
          </w:p>
        </w:tc>
        <w:tc>
          <w:tcPr>
            <w:tcW w:w="1843" w:type="dxa"/>
          </w:tcPr>
          <w:p w14:paraId="173CC285" w14:textId="77777777" w:rsidR="00990F18" w:rsidRPr="00E50BF7" w:rsidRDefault="00BD2F70" w:rsidP="00E50BF7">
            <w:pPr>
              <w:spacing w:after="0" w:line="240" w:lineRule="auto"/>
              <w:jc w:val="center"/>
              <w:rPr>
                <w:sz w:val="22"/>
                <w:szCs w:val="24"/>
              </w:rPr>
            </w:pPr>
            <w:r w:rsidRPr="00E50BF7">
              <w:rPr>
                <w:sz w:val="22"/>
                <w:szCs w:val="24"/>
              </w:rPr>
              <w:t>4.55</w:t>
            </w:r>
          </w:p>
        </w:tc>
        <w:tc>
          <w:tcPr>
            <w:tcW w:w="1275" w:type="dxa"/>
          </w:tcPr>
          <w:p w14:paraId="10FF260F"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2763DAB4" w14:textId="77777777" w:rsidR="00990F18" w:rsidRPr="00E50BF7" w:rsidRDefault="00BD2F70" w:rsidP="00E50BF7">
            <w:pPr>
              <w:spacing w:after="0" w:line="240" w:lineRule="auto"/>
              <w:jc w:val="center"/>
              <w:rPr>
                <w:sz w:val="22"/>
                <w:szCs w:val="24"/>
              </w:rPr>
            </w:pPr>
            <w:r w:rsidRPr="00E50BF7">
              <w:rPr>
                <w:sz w:val="22"/>
                <w:szCs w:val="24"/>
              </w:rPr>
              <w:t>2.10</w:t>
            </w:r>
          </w:p>
        </w:tc>
      </w:tr>
      <w:tr w:rsidR="00990F18" w:rsidRPr="00E50BF7" w14:paraId="0C54A487" w14:textId="77777777" w:rsidTr="00E50BF7">
        <w:tc>
          <w:tcPr>
            <w:tcW w:w="4248" w:type="dxa"/>
          </w:tcPr>
          <w:p w14:paraId="29074A59" w14:textId="77777777" w:rsidR="00990F18" w:rsidRPr="00E50BF7" w:rsidRDefault="00BD2F70" w:rsidP="00E50BF7">
            <w:pPr>
              <w:spacing w:after="0" w:line="240" w:lineRule="auto"/>
              <w:jc w:val="left"/>
              <w:rPr>
                <w:sz w:val="22"/>
                <w:szCs w:val="24"/>
              </w:rPr>
            </w:pPr>
            <w:r w:rsidRPr="00E50BF7">
              <w:rPr>
                <w:sz w:val="22"/>
                <w:szCs w:val="24"/>
              </w:rPr>
              <w:t>TMC - Top management commitment</w:t>
            </w:r>
          </w:p>
        </w:tc>
        <w:tc>
          <w:tcPr>
            <w:tcW w:w="1843" w:type="dxa"/>
          </w:tcPr>
          <w:p w14:paraId="17BBEDFC" w14:textId="77777777" w:rsidR="00990F18" w:rsidRPr="00E50BF7" w:rsidRDefault="00BD2F70" w:rsidP="00E50BF7">
            <w:pPr>
              <w:spacing w:after="0" w:line="240" w:lineRule="auto"/>
              <w:jc w:val="center"/>
              <w:rPr>
                <w:sz w:val="22"/>
                <w:szCs w:val="24"/>
              </w:rPr>
            </w:pPr>
            <w:r w:rsidRPr="00E50BF7">
              <w:rPr>
                <w:sz w:val="22"/>
                <w:szCs w:val="24"/>
              </w:rPr>
              <w:t>4.65</w:t>
            </w:r>
          </w:p>
        </w:tc>
        <w:tc>
          <w:tcPr>
            <w:tcW w:w="1275" w:type="dxa"/>
          </w:tcPr>
          <w:p w14:paraId="1FA5921F" w14:textId="77777777" w:rsidR="00990F18" w:rsidRPr="00E50BF7" w:rsidRDefault="00BD2F70" w:rsidP="00E50BF7">
            <w:pPr>
              <w:spacing w:after="0" w:line="240" w:lineRule="auto"/>
              <w:jc w:val="center"/>
              <w:rPr>
                <w:sz w:val="22"/>
                <w:szCs w:val="24"/>
              </w:rPr>
            </w:pPr>
            <w:r w:rsidRPr="00E50BF7">
              <w:rPr>
                <w:sz w:val="22"/>
                <w:szCs w:val="24"/>
              </w:rPr>
              <w:t>3.55</w:t>
            </w:r>
          </w:p>
        </w:tc>
        <w:tc>
          <w:tcPr>
            <w:tcW w:w="2268" w:type="dxa"/>
          </w:tcPr>
          <w:p w14:paraId="2DE3843B" w14:textId="77777777" w:rsidR="00990F18" w:rsidRPr="00E50BF7" w:rsidRDefault="00BD2F70" w:rsidP="00E50BF7">
            <w:pPr>
              <w:spacing w:after="0" w:line="240" w:lineRule="auto"/>
              <w:jc w:val="center"/>
              <w:rPr>
                <w:sz w:val="22"/>
                <w:szCs w:val="24"/>
              </w:rPr>
            </w:pPr>
            <w:r w:rsidRPr="00E50BF7">
              <w:rPr>
                <w:sz w:val="22"/>
                <w:szCs w:val="24"/>
              </w:rPr>
              <w:t>2.40</w:t>
            </w:r>
          </w:p>
        </w:tc>
      </w:tr>
      <w:tr w:rsidR="00990F18" w:rsidRPr="00E50BF7" w14:paraId="38ADC1BF" w14:textId="77777777" w:rsidTr="00E50BF7">
        <w:tc>
          <w:tcPr>
            <w:tcW w:w="4248" w:type="dxa"/>
          </w:tcPr>
          <w:p w14:paraId="26388166" w14:textId="77777777" w:rsidR="00990F18" w:rsidRPr="00E50BF7" w:rsidRDefault="00BD2F70" w:rsidP="00E50BF7">
            <w:pPr>
              <w:spacing w:after="0" w:line="240" w:lineRule="auto"/>
              <w:jc w:val="left"/>
              <w:rPr>
                <w:sz w:val="22"/>
                <w:szCs w:val="24"/>
              </w:rPr>
            </w:pPr>
            <w:r w:rsidRPr="00E50BF7">
              <w:rPr>
                <w:sz w:val="22"/>
                <w:szCs w:val="24"/>
              </w:rPr>
              <w:t>SP - Stakeholder and customer pressure</w:t>
            </w:r>
          </w:p>
        </w:tc>
        <w:tc>
          <w:tcPr>
            <w:tcW w:w="1843" w:type="dxa"/>
          </w:tcPr>
          <w:p w14:paraId="60C8DBED" w14:textId="77777777" w:rsidR="00990F18" w:rsidRPr="00E50BF7" w:rsidRDefault="00BD2F70" w:rsidP="00E50BF7">
            <w:pPr>
              <w:spacing w:after="0" w:line="240" w:lineRule="auto"/>
              <w:jc w:val="center"/>
              <w:rPr>
                <w:sz w:val="22"/>
                <w:szCs w:val="24"/>
              </w:rPr>
            </w:pPr>
            <w:r w:rsidRPr="00E50BF7">
              <w:rPr>
                <w:sz w:val="22"/>
                <w:szCs w:val="24"/>
              </w:rPr>
              <w:t>4.40</w:t>
            </w:r>
          </w:p>
        </w:tc>
        <w:tc>
          <w:tcPr>
            <w:tcW w:w="1275" w:type="dxa"/>
          </w:tcPr>
          <w:p w14:paraId="14AA03F1" w14:textId="77777777" w:rsidR="00990F18" w:rsidRPr="00E50BF7" w:rsidRDefault="00BD2F70" w:rsidP="00E50BF7">
            <w:pPr>
              <w:spacing w:after="0" w:line="240" w:lineRule="auto"/>
              <w:jc w:val="center"/>
              <w:rPr>
                <w:sz w:val="22"/>
                <w:szCs w:val="24"/>
              </w:rPr>
            </w:pPr>
            <w:r w:rsidRPr="00E50BF7">
              <w:rPr>
                <w:sz w:val="22"/>
                <w:szCs w:val="24"/>
              </w:rPr>
              <w:t>3.35</w:t>
            </w:r>
          </w:p>
        </w:tc>
        <w:tc>
          <w:tcPr>
            <w:tcW w:w="2268" w:type="dxa"/>
          </w:tcPr>
          <w:p w14:paraId="5965FD28"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67CB0C7C" w14:textId="77777777" w:rsidTr="00E50BF7">
        <w:tc>
          <w:tcPr>
            <w:tcW w:w="4248" w:type="dxa"/>
          </w:tcPr>
          <w:p w14:paraId="7CEE8A89" w14:textId="7C5C5C77" w:rsidR="00990F18" w:rsidRPr="00E50BF7" w:rsidRDefault="00BD2F70" w:rsidP="00E50BF7">
            <w:pPr>
              <w:spacing w:after="0" w:line="240" w:lineRule="auto"/>
              <w:jc w:val="left"/>
              <w:rPr>
                <w:sz w:val="22"/>
                <w:szCs w:val="24"/>
              </w:rPr>
            </w:pPr>
            <w:r w:rsidRPr="00E50BF7">
              <w:rPr>
                <w:sz w:val="22"/>
                <w:szCs w:val="24"/>
              </w:rPr>
              <w:t xml:space="preserve">CBI - </w:t>
            </w:r>
            <w:r w:rsidR="003F1F45">
              <w:rPr>
                <w:sz w:val="22"/>
                <w:szCs w:val="24"/>
              </w:rPr>
              <w:t>Perceived economic feasibility</w:t>
            </w:r>
          </w:p>
        </w:tc>
        <w:tc>
          <w:tcPr>
            <w:tcW w:w="1843" w:type="dxa"/>
          </w:tcPr>
          <w:p w14:paraId="664594EA" w14:textId="77777777" w:rsidR="00990F18" w:rsidRPr="00E50BF7" w:rsidRDefault="00BD2F70" w:rsidP="00E50BF7">
            <w:pPr>
              <w:spacing w:after="0" w:line="240" w:lineRule="auto"/>
              <w:jc w:val="center"/>
              <w:rPr>
                <w:sz w:val="22"/>
                <w:szCs w:val="24"/>
              </w:rPr>
            </w:pPr>
            <w:r w:rsidRPr="00E50BF7">
              <w:rPr>
                <w:sz w:val="22"/>
                <w:szCs w:val="24"/>
              </w:rPr>
              <w:t>4.35</w:t>
            </w:r>
          </w:p>
        </w:tc>
        <w:tc>
          <w:tcPr>
            <w:tcW w:w="1275" w:type="dxa"/>
          </w:tcPr>
          <w:p w14:paraId="166ECB79"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33809B1A" w14:textId="77777777" w:rsidR="00990F18" w:rsidRPr="00E50BF7" w:rsidRDefault="00BD2F70" w:rsidP="00E50BF7">
            <w:pPr>
              <w:spacing w:after="0" w:line="240" w:lineRule="auto"/>
              <w:jc w:val="center"/>
              <w:rPr>
                <w:sz w:val="22"/>
                <w:szCs w:val="24"/>
              </w:rPr>
            </w:pPr>
            <w:r w:rsidRPr="00E50BF7">
              <w:rPr>
                <w:sz w:val="22"/>
                <w:szCs w:val="24"/>
              </w:rPr>
              <w:t>2.25</w:t>
            </w:r>
          </w:p>
        </w:tc>
      </w:tr>
      <w:tr w:rsidR="00990F18" w:rsidRPr="00E50BF7" w14:paraId="7626CE97" w14:textId="77777777" w:rsidTr="00E50BF7">
        <w:tc>
          <w:tcPr>
            <w:tcW w:w="4248" w:type="dxa"/>
          </w:tcPr>
          <w:p w14:paraId="73AADB4B" w14:textId="77777777" w:rsidR="00990F18" w:rsidRPr="00E50BF7" w:rsidRDefault="00BD2F70" w:rsidP="00E50BF7">
            <w:pPr>
              <w:spacing w:after="0" w:line="240" w:lineRule="auto"/>
              <w:jc w:val="left"/>
              <w:rPr>
                <w:sz w:val="22"/>
                <w:szCs w:val="24"/>
              </w:rPr>
            </w:pPr>
            <w:r w:rsidRPr="00E50BF7">
              <w:rPr>
                <w:sz w:val="22"/>
                <w:szCs w:val="24"/>
              </w:rPr>
              <w:t>KSR - Knowledge and skill readiness</w:t>
            </w:r>
          </w:p>
        </w:tc>
        <w:tc>
          <w:tcPr>
            <w:tcW w:w="1843" w:type="dxa"/>
          </w:tcPr>
          <w:p w14:paraId="7CABBBD0"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6351063C"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36690663" w14:textId="77777777" w:rsidR="00990F18" w:rsidRPr="00E50BF7" w:rsidRDefault="00BD2F70" w:rsidP="00E50BF7">
            <w:pPr>
              <w:spacing w:after="0" w:line="240" w:lineRule="auto"/>
              <w:jc w:val="center"/>
              <w:rPr>
                <w:sz w:val="22"/>
                <w:szCs w:val="24"/>
              </w:rPr>
            </w:pPr>
            <w:r w:rsidRPr="00E50BF7">
              <w:rPr>
                <w:sz w:val="22"/>
                <w:szCs w:val="24"/>
              </w:rPr>
              <w:t>2.20</w:t>
            </w:r>
          </w:p>
        </w:tc>
      </w:tr>
      <w:tr w:rsidR="00990F18" w:rsidRPr="00E50BF7" w14:paraId="7473D6E8" w14:textId="77777777" w:rsidTr="00E50BF7">
        <w:tc>
          <w:tcPr>
            <w:tcW w:w="4248" w:type="dxa"/>
          </w:tcPr>
          <w:p w14:paraId="49D073C3" w14:textId="77777777" w:rsidR="00990F18" w:rsidRPr="00E50BF7" w:rsidRDefault="00BD2F70" w:rsidP="00E50BF7">
            <w:pPr>
              <w:spacing w:after="0" w:line="240" w:lineRule="auto"/>
              <w:jc w:val="left"/>
              <w:rPr>
                <w:sz w:val="22"/>
                <w:szCs w:val="24"/>
              </w:rPr>
            </w:pPr>
            <w:r w:rsidRPr="00E50BF7">
              <w:rPr>
                <w:sz w:val="22"/>
                <w:szCs w:val="24"/>
              </w:rPr>
              <w:t>GLP - Green logistics performance (outcome)</w:t>
            </w:r>
          </w:p>
        </w:tc>
        <w:tc>
          <w:tcPr>
            <w:tcW w:w="1843" w:type="dxa"/>
          </w:tcPr>
          <w:p w14:paraId="5CF5D1E3"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5D81C755" w14:textId="77777777" w:rsidR="00990F18" w:rsidRPr="00E50BF7" w:rsidRDefault="00BD2F70" w:rsidP="00E50BF7">
            <w:pPr>
              <w:spacing w:after="0" w:line="240" w:lineRule="auto"/>
              <w:jc w:val="center"/>
              <w:rPr>
                <w:sz w:val="22"/>
                <w:szCs w:val="24"/>
              </w:rPr>
            </w:pPr>
            <w:r w:rsidRPr="00E50BF7">
              <w:rPr>
                <w:sz w:val="22"/>
                <w:szCs w:val="24"/>
              </w:rPr>
              <w:t>3.50</w:t>
            </w:r>
          </w:p>
        </w:tc>
        <w:tc>
          <w:tcPr>
            <w:tcW w:w="2268" w:type="dxa"/>
          </w:tcPr>
          <w:p w14:paraId="56C8E7DC" w14:textId="77777777" w:rsidR="00990F18" w:rsidRPr="00E50BF7" w:rsidRDefault="00BD2F70" w:rsidP="00E50BF7">
            <w:pPr>
              <w:spacing w:after="0" w:line="240" w:lineRule="auto"/>
              <w:jc w:val="center"/>
              <w:rPr>
                <w:sz w:val="22"/>
                <w:szCs w:val="24"/>
              </w:rPr>
            </w:pPr>
            <w:r w:rsidRPr="00E50BF7">
              <w:rPr>
                <w:sz w:val="22"/>
                <w:szCs w:val="24"/>
              </w:rPr>
              <w:t>2.35</w:t>
            </w:r>
          </w:p>
        </w:tc>
      </w:tr>
    </w:tbl>
    <w:p w14:paraId="1B088961" w14:textId="1EC6A854" w:rsidR="00990F18" w:rsidRPr="00E50BF7" w:rsidRDefault="00BD2F70" w:rsidP="00E50BF7">
      <w:pPr>
        <w:spacing w:after="0" w:line="240" w:lineRule="auto"/>
        <w:rPr>
          <w:szCs w:val="24"/>
        </w:rPr>
      </w:pPr>
      <w:r w:rsidRPr="00E50BF7">
        <w:rPr>
          <w:szCs w:val="24"/>
        </w:rPr>
        <w:t>Source: authors. Anchors set at the 95th, 50th</w:t>
      </w:r>
      <w:r w:rsidR="00C25BF1">
        <w:rPr>
          <w:szCs w:val="24"/>
        </w:rPr>
        <w:t>,</w:t>
      </w:r>
      <w:r w:rsidRPr="00E50BF7">
        <w:rPr>
          <w:szCs w:val="24"/>
        </w:rPr>
        <w:t xml:space="preserve"> and 5th percentiles of the pooled sample distribution on the five-point scale (Ragin, 2008).</w:t>
      </w:r>
    </w:p>
    <w:p w14:paraId="0082AFC5" w14:textId="77777777" w:rsidR="00E50BF7" w:rsidRDefault="00E50BF7" w:rsidP="00E50BF7">
      <w:pPr>
        <w:keepNext/>
        <w:spacing w:after="0" w:line="240" w:lineRule="auto"/>
        <w:jc w:val="left"/>
        <w:rPr>
          <w:b/>
          <w:szCs w:val="24"/>
        </w:rPr>
      </w:pPr>
    </w:p>
    <w:p w14:paraId="318B14E6" w14:textId="0D9504C1"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6BE0AE95" w:rsidR="00990F18" w:rsidRDefault="00BD2F70" w:rsidP="00E50BF7">
      <w:pPr>
        <w:spacing w:after="0"/>
        <w:rPr>
          <w:szCs w:val="24"/>
        </w:rPr>
      </w:pPr>
      <w:r w:rsidRPr="00205C71">
        <w:rPr>
          <w:szCs w:val="24"/>
        </w:rPr>
        <w:t xml:space="preserve">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w:t>
      </w:r>
    </w:p>
    <w:p w14:paraId="721D8E8E" w14:textId="77777777" w:rsidR="006C2A03" w:rsidRDefault="006C2A03" w:rsidP="00E50BF7">
      <w:pPr>
        <w:spacing w:after="0"/>
        <w:rPr>
          <w:szCs w:val="24"/>
        </w:rPr>
      </w:pPr>
    </w:p>
    <w:p w14:paraId="66DAC6AB" w14:textId="455929E0" w:rsidR="006C2A03" w:rsidRPr="00205C71" w:rsidRDefault="006C2A03" w:rsidP="00E50BF7">
      <w:pPr>
        <w:spacing w:after="0"/>
        <w:rPr>
          <w:szCs w:val="24"/>
        </w:rPr>
      </w:pPr>
      <w:r w:rsidRPr="006C2A03">
        <w:rPr>
          <w:szCs w:val="24"/>
          <w:highlight w:val="yellow"/>
        </w:rPr>
        <w:t xml:space="preserve">Statistical assessment went beyond a single diagnostic, since Harman's test is insensitive and often fails to detect bias even where it is present (Podsakoff et al., 2003). Four indicators were examined. The first unrotated factor accounted for 37.23 per cent of total variance, below the 50 per cent threshold, and the second accounted for 8.04 per cent, so no single factor dominates the item set. Seven factors returned eigenvalues above one, consistent with the multidimensional structure the instrument was designed to capture. Item correlations ranged from −0.02 to 0.75 with a mean of 0.34, and construct correlations ranged from 0.14 to 0.77 with a standard deviation of 0.16. That dispersion is inconsistent with method variance, which </w:t>
      </w:r>
      <w:r w:rsidRPr="006C2A03">
        <w:rPr>
          <w:szCs w:val="24"/>
          <w:highlight w:val="yellow"/>
        </w:rPr>
        <w:lastRenderedPageBreak/>
        <w:t xml:space="preserve">inflates correlations uniformly rather than selectively. The full collinearity test proposed by Kock (2015) returned variance inflation factors between 1.24 and 2.95, all below the 3.3 threshold at which method bias is inferred. </w:t>
      </w:r>
      <w:r>
        <w:rPr>
          <w:szCs w:val="24"/>
          <w:highlight w:val="yellow"/>
        </w:rPr>
        <w:t>T</w:t>
      </w:r>
      <w:r w:rsidRPr="006C2A03">
        <w:rPr>
          <w:szCs w:val="24"/>
          <w:highlight w:val="yellow"/>
        </w:rPr>
        <w:t>hese indicators give no evidence of substantial common method bias, although diagnostics of this kind detect bias rather than remove it, and the limitation is revisited in Section 6.</w:t>
      </w:r>
    </w:p>
    <w:p w14:paraId="43C06C11" w14:textId="279DC238" w:rsidR="006D30FA" w:rsidRPr="001A160D" w:rsidRDefault="00BD2F70" w:rsidP="00E50BF7">
      <w:pPr>
        <w:spacing w:after="0"/>
        <w:rPr>
          <w:szCs w:val="24"/>
        </w:rPr>
      </w:pPr>
      <w:r w:rsidRPr="00205C71">
        <w:rPr>
          <w:szCs w:val="24"/>
        </w:rPr>
        <w:t xml:space="preserve">Finally, the study makes explicit that the seven enabler constructs were derived by inverting the barrier dimensions that a companion Total Interpretive Structural Modelling study identified, validated through expert elicitation, and arranged into a hierarchy. </w:t>
      </w:r>
      <w:r w:rsidR="00236944" w:rsidRPr="00236944">
        <w:rPr>
          <w:szCs w:val="24"/>
          <w:highlight w:val="yellow"/>
        </w:rPr>
        <w:t>The barrier set was subjected to structural validation rather than assembled ad hoc, and the hierarchy it produced informed which constructs to include and how to order them. That contribution is one of construct selection and sequencing. It does not extend to measurement, since expert validation of barrier dimensions in one study says nothing about whether newly written reflective items capture the corresponding enablers. Measurement validity is therefore established independently, through the scale sources, content assessment and empirical evidence set out earlier, and the value of the companion study lies in making the two analyses comparable rather than in transferring validity between them.</w:t>
      </w:r>
      <w:r w:rsidR="00236944">
        <w:rPr>
          <w:szCs w:val="24"/>
          <w:highlight w:val="yellow"/>
        </w:rPr>
        <w:t xml:space="preserve"> </w:t>
      </w:r>
      <w:r w:rsidR="006D30FA" w:rsidRPr="006D30FA">
        <w:rPr>
          <w:szCs w:val="24"/>
          <w:highlight w:val="yellow"/>
        </w:rPr>
        <w:t xml:space="preserve">What the derivation does not establish is that an inverted barrier is a capability. The absence of an obstacle and the presence of an ability to act are different states, and only the second is a firm attribute in the sense the resource-based view intends. Six of the seven constructs avoid the difficulty. Four of them, namely top management commitment, digital infrastructure readiness, knowledge and skill readiness and green supply chain integration, were written as positive statements about capabilities that exist in their own right rather than as negations of obstacles. Regulatory and policy pressure and stakeholder and customer pressure are external states, so describing them in terms of presence rather than absence raises </w:t>
      </w:r>
      <w:r w:rsidR="006D30FA" w:rsidRPr="009C6C15">
        <w:rPr>
          <w:szCs w:val="24"/>
          <w:highlight w:val="yellow"/>
        </w:rPr>
        <w:t xml:space="preserve">no conceptual problem. </w:t>
      </w:r>
      <w:r w:rsidR="009C6C15" w:rsidRPr="009C6C15">
        <w:rPr>
          <w:szCs w:val="24"/>
          <w:highlight w:val="yellow"/>
        </w:rPr>
        <w:t xml:space="preserve">The exception is </w:t>
      </w:r>
      <w:r w:rsidR="003F1F45">
        <w:rPr>
          <w:szCs w:val="24"/>
          <w:highlight w:val="yellow"/>
        </w:rPr>
        <w:t>perceived economic feasibility</w:t>
      </w:r>
      <w:r w:rsidR="006D30FA" w:rsidRPr="006D30FA">
        <w:rPr>
          <w:szCs w:val="24"/>
          <w:highlight w:val="yellow"/>
        </w:rPr>
        <w:t>, which records a change in the economic environment together with a managerial assessment of it.</w:t>
      </w:r>
      <w:r w:rsidR="002B5BE5">
        <w:rPr>
          <w:szCs w:val="24"/>
          <w:highlight w:val="yellow"/>
        </w:rPr>
        <w:t xml:space="preserve"> </w:t>
      </w:r>
      <w:r w:rsidR="002B5BE5" w:rsidRPr="002B5BE5">
        <w:rPr>
          <w:szCs w:val="24"/>
          <w:highlight w:val="yellow"/>
        </w:rPr>
        <w:t>That construct is accordingly treated throughout as an enabling condition rather than as a firm attribute, and the residual difficulty is acknowledged among the study's limitations.</w:t>
      </w:r>
      <w:r w:rsidR="006D30FA" w:rsidRPr="002B5BE5">
        <w:rPr>
          <w:szCs w:val="24"/>
          <w:highlight w:val="yellow"/>
        </w:rPr>
        <w:t xml:space="preserve"> </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 xml:space="preserve">Firm size, industry sector, and respondent experience were specified as predictors of top management commitment and green logistics performance, absorbing variance linked to organisational scale, sectoral regulatory intensity, and respondent tenure. A fourth control recorded whether the firm held a certified </w:t>
      </w:r>
      <w:r w:rsidRPr="00A82EEC">
        <w:rPr>
          <w:bCs/>
          <w:szCs w:val="24"/>
          <w:highlight w:val="yellow"/>
        </w:rPr>
        <w:lastRenderedPageBreak/>
        <w:t>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4795D1FA" w:rsidR="00A82EEC" w:rsidRPr="00A82EEC" w:rsidRDefault="00A82EEC" w:rsidP="00A82EEC">
      <w:pPr>
        <w:keepNext/>
        <w:spacing w:after="0"/>
        <w:rPr>
          <w:bCs/>
          <w:szCs w:val="24"/>
          <w:highlight w:val="yellow"/>
        </w:rPr>
      </w:pPr>
      <w:r w:rsidRPr="00A82EEC">
        <w:rPr>
          <w:bCs/>
          <w:szCs w:val="24"/>
          <w:highlight w:val="yellow"/>
        </w:rPr>
        <w:t>Endogeneity was assessed using the Gaussian copula approach, which detects correlation between a predictor and the structural error term without an instrumental variable (Park &amp; Gupta, 2012; Hult et al., 2018). The approach requires non-normally distributed predictors, so the Kolmogorov–Smirnov statistic was examined for each construct score before copula terms were specified, following current guidance on finite-sample behaviour and intercept 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lastRenderedPageBreak/>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w:t>
      </w:r>
      <w:r w:rsidRPr="00205C71">
        <w:rPr>
          <w:szCs w:val="24"/>
        </w:rPr>
        <w:lastRenderedPageBreak/>
        <w:t>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Two illustrative respondent profiles bring the descriptive patterns to life and anchor the quantitative results in the lived experience of logistics decision-makers. The first, a logistics manager at a mid-sized manufacturing firm in a developing economy, conveyed a cautious, 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lastRenderedPageBreak/>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19A929E2" w14:textId="148CE261" w:rsidR="00F3106A" w:rsidRPr="00F3106A" w:rsidRDefault="00BD2F70" w:rsidP="00F3106A">
      <w:pPr>
        <w:spacing w:after="0"/>
        <w:rPr>
          <w:szCs w:val="24"/>
        </w:rPr>
      </w:pPr>
      <w:r w:rsidRPr="00205C71">
        <w:rPr>
          <w:szCs w:val="24"/>
        </w:rPr>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r w:rsidR="00F3106A">
        <w:rPr>
          <w:szCs w:val="24"/>
        </w:rPr>
        <w:t xml:space="preserve">  </w:t>
      </w:r>
      <w:r w:rsidR="00F3106A" w:rsidRPr="00F3106A">
        <w:rPr>
          <w:szCs w:val="24"/>
          <w:highlight w:val="yellow"/>
        </w:rPr>
        <w:t>Because the structural comparison that follows rests on differences between groups, measurement properties were also assessed within each group rather than only for the pooled sample. Results appear alongside the pooled values in Table 4. Composite reliability ranges from 0.834 to 0.893 in the developing group and from 0.820 to 0.881 in the emerging group. Average variance extracted exceeds the 0.50 threshold for every construct in the developing group and for seven of eight in the emerging group, where digital infrastructure readiness returns 0.489. That value falls marginally short and is retained because composite reliability for the construct remains well above threshold and its loadings remain acceptable.</w:t>
      </w:r>
      <w:r w:rsidR="00F3106A">
        <w:rPr>
          <w:szCs w:val="24"/>
        </w:rPr>
        <w:t xml:space="preserve"> </w:t>
      </w:r>
      <w:r w:rsidR="00F3106A" w:rsidRPr="00F3106A">
        <w:rPr>
          <w:szCs w:val="24"/>
          <w:highlight w:val="yellow"/>
        </w:rPr>
        <w:t>Discriminant validity holds more comfortably within groups than in the pooled sample. The highest heterotrait-monotrait ratio is 0.642 in the developing group and 0.711 in the emerging group, in both cases between digital infrastructure readiness and knowledge and skill readiness, so no ratio approaches the conservative threshold.</w:t>
      </w:r>
    </w:p>
    <w:p w14:paraId="7765F207" w14:textId="63BEAEDA" w:rsidR="00FA0925" w:rsidRPr="00FA0925" w:rsidRDefault="00F3106A" w:rsidP="00FA0925">
      <w:pPr>
        <w:spacing w:after="0"/>
        <w:rPr>
          <w:szCs w:val="24"/>
          <w:highlight w:val="yellow"/>
        </w:rPr>
      </w:pPr>
      <w:r w:rsidRPr="00F3106A">
        <w:rPr>
          <w:szCs w:val="24"/>
          <w:highlight w:val="yellow"/>
        </w:rPr>
        <w:t>Measurement invariance was then established through the MICOM procedure, which is a precondition for interpreting group differences in path coefficients (Henseler et al., 2016). Developing economies served as the reference group and emerging economies as the comparison group, with permutation based on 5,000 subsamples and a two-sided five per cent significance level. Configural invariance follows from the design, since both groups were assessed using identical indicators, identical item coding and direction, and identical algorithm settings, and it is supported for all eight constructs.</w:t>
      </w:r>
      <w:r w:rsidR="00BC6851">
        <w:rPr>
          <w:szCs w:val="24"/>
          <w:highlight w:val="yellow"/>
        </w:rPr>
        <w:t xml:space="preserve"> </w:t>
      </w:r>
      <w:r w:rsidRPr="00F3106A">
        <w:rPr>
          <w:szCs w:val="24"/>
          <w:highlight w:val="yellow"/>
        </w:rPr>
        <w:t xml:space="preserve">Compositional invariance was examined by correlating the composite scores formed from each group's weights, with results in Table 5a. The correlation ranges from 0.991 to 0.997 across the eight constructs, exceeds the corresponding five per cent lower bound in every case, and returns permutation p values </w:t>
      </w:r>
      <w:r w:rsidRPr="00F3106A">
        <w:rPr>
          <w:szCs w:val="24"/>
          <w:highlight w:val="yellow"/>
        </w:rPr>
        <w:lastRenderedPageBreak/>
        <w:t>between 0.206 and 0.558. No construct shows a correlation significantly below one, so compositional invariance holds throughout. Means differ significantly on every construct, and variances differ on five of the eight. Full measurement invariance therefore does not hold, which is the expected result given that the two economic contexts differ substantially in level on every construct. That difference is the phenomenon under study rather than a defect in measurement. Partial measurement invariance, established by the first two stages, is the condition that a multi-group comparison of path coefficients requires, while full invariance is needed only where composite means are themselves compared (Henseler et al., 2016). The comparison reported below is accordingly confined to path coefficients.</w:t>
      </w:r>
      <w:r w:rsidR="00F078E8">
        <w:rPr>
          <w:szCs w:val="24"/>
          <w:highlight w:val="yellow"/>
        </w:rPr>
        <w:t xml:space="preserve"> </w:t>
      </w:r>
      <w:r w:rsidR="00FA0925" w:rsidRPr="00FA0925">
        <w:rPr>
          <w:szCs w:val="24"/>
          <w:highlight w:val="yellow"/>
        </w:rPr>
        <w:t xml:space="preserve">Item-level evidence supports the specification. Each of the 34 items correlates more strongly with its own construct than with any other, without exception. For </w:t>
      </w:r>
      <w:r w:rsidR="00D90693">
        <w:rPr>
          <w:szCs w:val="24"/>
          <w:highlight w:val="yellow"/>
        </w:rPr>
        <w:t>perceived economic feasibility</w:t>
      </w:r>
      <w:r w:rsidR="00FA0925" w:rsidRPr="00FA0925">
        <w:rPr>
          <w:szCs w:val="24"/>
          <w:highlight w:val="yellow"/>
        </w:rPr>
        <w:t>, the construct the derivation leaves most open to question, correlations with the intended construct range from 0.815 to 0.885 while the highest correlation with any other construct is 0.395, and corrected item-total correlations range from 0.674 to 0.772.</w:t>
      </w:r>
    </w:p>
    <w:p w14:paraId="1AC4B314" w14:textId="7943FCEA" w:rsidR="00FA0925" w:rsidRPr="00FA0925" w:rsidRDefault="00FA0925" w:rsidP="00FA0925">
      <w:pPr>
        <w:spacing w:after="0"/>
        <w:rPr>
          <w:szCs w:val="24"/>
          <w:highlight w:val="yellow"/>
        </w:rPr>
      </w:pPr>
      <w:r w:rsidRPr="00FA0925">
        <w:rPr>
          <w:szCs w:val="24"/>
          <w:highlight w:val="yellow"/>
        </w:rPr>
        <w:t xml:space="preserve">Inter-item correlations for that construct range from 0.551 to 0.687, which is consistent with interchangeable reflective indicators rather than distinct formative components. Composite reliability and average variance extracted are almost identical across groups, at 0.882 and 0.651 in the developing group and 0.881 and 0.651 in the emerging group, and compositional invariance holds at 0.991. </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hete</w:t>
      </w:r>
      <w:r>
        <w:rPr>
          <w:szCs w:val="24"/>
        </w:rPr>
        <w:t>rotrait-monotrait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10B1E427" w14:textId="1FFFD683" w:rsidR="00BC6851" w:rsidRPr="0068772B" w:rsidRDefault="00BD2F70" w:rsidP="0068772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21E81771" w14:textId="77777777" w:rsidR="00523133" w:rsidRDefault="00523133" w:rsidP="00523133">
      <w:pPr>
        <w:keepNext/>
        <w:spacing w:after="0"/>
        <w:jc w:val="left"/>
        <w:rPr>
          <w:bCs/>
          <w:szCs w:val="24"/>
          <w:highlight w:val="yellow"/>
        </w:rPr>
      </w:pPr>
    </w:p>
    <w:p w14:paraId="0144BABF" w14:textId="1864EA43" w:rsidR="00523133" w:rsidRDefault="00523133" w:rsidP="00523133">
      <w:pPr>
        <w:keepNext/>
        <w:spacing w:after="0"/>
        <w:rPr>
          <w:bCs/>
          <w:szCs w:val="24"/>
          <w:highlight w:val="yellow"/>
        </w:rPr>
      </w:pPr>
      <w:r>
        <w:rPr>
          <w:bCs/>
          <w:szCs w:val="24"/>
          <w:highlight w:val="yellow"/>
        </w:rPr>
        <w:t>I</w:t>
      </w:r>
      <w:r w:rsidRPr="00523133">
        <w:rPr>
          <w:bCs/>
          <w:szCs w:val="24"/>
          <w:highlight w:val="yellow"/>
        </w:rPr>
        <w:t xml:space="preserve">tem-level evidence supports the reflective specification. Each of the 34 items correlates more strongly with its own construct than with any other, without exception. For </w:t>
      </w:r>
      <w:r w:rsidR="003F1721">
        <w:rPr>
          <w:bCs/>
          <w:szCs w:val="24"/>
          <w:highlight w:val="yellow"/>
        </w:rPr>
        <w:t>perceived economic feasibility</w:t>
      </w:r>
      <w:r w:rsidRPr="00523133">
        <w:rPr>
          <w:bCs/>
          <w:szCs w:val="24"/>
          <w:highlight w:val="yellow"/>
        </w:rPr>
        <w:t xml:space="preserve">, the construct the derivation leaves most open to question, correlations with the intended construct range from 0.815 to 0.885 while the highest correlation with any other construct is 0.395. Corrected item-total correlations for that construct range from 0.674 to </w:t>
      </w:r>
      <w:r w:rsidRPr="00523133">
        <w:rPr>
          <w:bCs/>
          <w:szCs w:val="24"/>
          <w:highlight w:val="yellow"/>
        </w:rPr>
        <w:lastRenderedPageBreak/>
        <w:t>0.772, and inter-item correlations from 0.551 to 0.687, which is consistent with interchangeable reflective indicators rather than distinct formative components.</w:t>
      </w:r>
    </w:p>
    <w:p w14:paraId="617B7672" w14:textId="77777777" w:rsidR="008F5F7A" w:rsidRPr="00523133" w:rsidRDefault="008F5F7A" w:rsidP="00523133">
      <w:pPr>
        <w:keepNext/>
        <w:spacing w:after="0"/>
        <w:rPr>
          <w:bCs/>
          <w:szCs w:val="24"/>
          <w:highlight w:val="yellow"/>
        </w:rPr>
      </w:pPr>
    </w:p>
    <w:p w14:paraId="602EC463" w14:textId="2E08C7DC" w:rsidR="00F3106A" w:rsidRPr="00154BE9" w:rsidRDefault="00BC6851" w:rsidP="00BC6851">
      <w:pPr>
        <w:keepNext/>
        <w:spacing w:after="0"/>
        <w:jc w:val="center"/>
        <w:rPr>
          <w:bCs/>
          <w:szCs w:val="24"/>
          <w:highlight w:val="yellow"/>
        </w:rPr>
      </w:pPr>
      <w:r w:rsidRPr="00154BE9">
        <w:rPr>
          <w:bCs/>
          <w:szCs w:val="24"/>
          <w:highlight w:val="yellow"/>
        </w:rPr>
        <w:t>Table 5a. MICOM assessment of compositional invariance</w:t>
      </w:r>
    </w:p>
    <w:tbl>
      <w:tblPr>
        <w:tblStyle w:val="TableGrid"/>
        <w:tblW w:w="5000" w:type="pct"/>
        <w:tblLook w:val="04A0" w:firstRow="1" w:lastRow="0" w:firstColumn="1" w:lastColumn="0" w:noHBand="0" w:noVBand="1"/>
      </w:tblPr>
      <w:tblGrid>
        <w:gridCol w:w="1214"/>
        <w:gridCol w:w="1540"/>
        <w:gridCol w:w="1866"/>
        <w:gridCol w:w="1643"/>
        <w:gridCol w:w="2753"/>
      </w:tblGrid>
      <w:tr w:rsidR="00BC6851" w:rsidRPr="00154BE9" w14:paraId="1FEFF72A" w14:textId="77777777" w:rsidTr="00DB552A">
        <w:tc>
          <w:tcPr>
            <w:tcW w:w="673" w:type="pct"/>
            <w:hideMark/>
          </w:tcPr>
          <w:p w14:paraId="59B5C937"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Construct</w:t>
            </w:r>
          </w:p>
        </w:tc>
        <w:tc>
          <w:tcPr>
            <w:tcW w:w="854" w:type="pct"/>
            <w:hideMark/>
          </w:tcPr>
          <w:p w14:paraId="2DF525F6"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Correlation </w:t>
            </w:r>
            <w:r w:rsidRPr="00154BE9">
              <w:rPr>
                <w:rFonts w:eastAsia="Times New Roman"/>
                <w:b/>
                <w:bCs/>
                <w:i/>
                <w:iCs/>
                <w:color w:val="000000" w:themeColor="text1"/>
                <w:sz w:val="22"/>
                <w:highlight w:val="yellow"/>
                <w:lang w:val="en-IN" w:eastAsia="en-GB"/>
              </w:rPr>
              <w:t>c</w:t>
            </w:r>
          </w:p>
        </w:tc>
        <w:tc>
          <w:tcPr>
            <w:tcW w:w="1035" w:type="pct"/>
            <w:hideMark/>
          </w:tcPr>
          <w:p w14:paraId="30BE262F"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5% lower bound</w:t>
            </w:r>
          </w:p>
        </w:tc>
        <w:tc>
          <w:tcPr>
            <w:tcW w:w="911" w:type="pct"/>
            <w:hideMark/>
          </w:tcPr>
          <w:p w14:paraId="09CBAE6C"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Permutation </w:t>
            </w:r>
            <w:r w:rsidRPr="00154BE9">
              <w:rPr>
                <w:rFonts w:eastAsia="Times New Roman"/>
                <w:b/>
                <w:bCs/>
                <w:i/>
                <w:iCs/>
                <w:color w:val="000000" w:themeColor="text1"/>
                <w:sz w:val="22"/>
                <w:highlight w:val="yellow"/>
                <w:lang w:val="en-IN" w:eastAsia="en-GB"/>
              </w:rPr>
              <w:t>p</w:t>
            </w:r>
          </w:p>
        </w:tc>
        <w:tc>
          <w:tcPr>
            <w:tcW w:w="1527" w:type="pct"/>
            <w:hideMark/>
          </w:tcPr>
          <w:p w14:paraId="65EF1470"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Compositional invariance</w:t>
            </w:r>
          </w:p>
        </w:tc>
      </w:tr>
      <w:tr w:rsidR="00BC6851" w:rsidRPr="00154BE9" w14:paraId="49AFDDB8" w14:textId="77777777" w:rsidTr="00DB552A">
        <w:trPr>
          <w:trHeight w:val="403"/>
        </w:trPr>
        <w:tc>
          <w:tcPr>
            <w:tcW w:w="673" w:type="pct"/>
            <w:hideMark/>
          </w:tcPr>
          <w:p w14:paraId="53E9BE0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GSCI</w:t>
            </w:r>
          </w:p>
        </w:tc>
        <w:tc>
          <w:tcPr>
            <w:tcW w:w="854" w:type="pct"/>
            <w:hideMark/>
          </w:tcPr>
          <w:p w14:paraId="492B0B9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0.994</w:t>
            </w:r>
          </w:p>
        </w:tc>
        <w:tc>
          <w:tcPr>
            <w:tcW w:w="1035" w:type="pct"/>
            <w:hideMark/>
          </w:tcPr>
          <w:p w14:paraId="1368C14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0.989</w:t>
            </w:r>
          </w:p>
        </w:tc>
        <w:tc>
          <w:tcPr>
            <w:tcW w:w="911" w:type="pct"/>
            <w:hideMark/>
          </w:tcPr>
          <w:p w14:paraId="34CA97D5"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0.317</w:t>
            </w:r>
          </w:p>
        </w:tc>
        <w:tc>
          <w:tcPr>
            <w:tcW w:w="1527" w:type="pct"/>
            <w:hideMark/>
          </w:tcPr>
          <w:p w14:paraId="5B2F893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1AC98AD0" w14:textId="77777777" w:rsidTr="00DB552A">
        <w:tc>
          <w:tcPr>
            <w:tcW w:w="673" w:type="pct"/>
            <w:hideMark/>
          </w:tcPr>
          <w:p w14:paraId="7AD9B468"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RP</w:t>
            </w:r>
          </w:p>
        </w:tc>
        <w:tc>
          <w:tcPr>
            <w:tcW w:w="854" w:type="pct"/>
            <w:hideMark/>
          </w:tcPr>
          <w:p w14:paraId="0CEAEE73"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0.997</w:t>
            </w:r>
          </w:p>
        </w:tc>
        <w:tc>
          <w:tcPr>
            <w:tcW w:w="1035" w:type="pct"/>
            <w:hideMark/>
          </w:tcPr>
          <w:p w14:paraId="2BCA5E3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0.992</w:t>
            </w:r>
          </w:p>
        </w:tc>
        <w:tc>
          <w:tcPr>
            <w:tcW w:w="911" w:type="pct"/>
            <w:hideMark/>
          </w:tcPr>
          <w:p w14:paraId="0D8D0C72"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0.558</w:t>
            </w:r>
          </w:p>
        </w:tc>
        <w:tc>
          <w:tcPr>
            <w:tcW w:w="1527" w:type="pct"/>
            <w:hideMark/>
          </w:tcPr>
          <w:p w14:paraId="7723282F"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54E648B9" w14:textId="77777777" w:rsidTr="00DB552A">
        <w:tc>
          <w:tcPr>
            <w:tcW w:w="673" w:type="pct"/>
            <w:hideMark/>
          </w:tcPr>
          <w:p w14:paraId="40DF0B1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DI</w:t>
            </w:r>
          </w:p>
        </w:tc>
        <w:tc>
          <w:tcPr>
            <w:tcW w:w="854" w:type="pct"/>
            <w:hideMark/>
          </w:tcPr>
          <w:p w14:paraId="47B8DCF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0.992</w:t>
            </w:r>
          </w:p>
        </w:tc>
        <w:tc>
          <w:tcPr>
            <w:tcW w:w="1035" w:type="pct"/>
            <w:hideMark/>
          </w:tcPr>
          <w:p w14:paraId="1A022D1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0.985</w:t>
            </w:r>
          </w:p>
        </w:tc>
        <w:tc>
          <w:tcPr>
            <w:tcW w:w="911" w:type="pct"/>
            <w:hideMark/>
          </w:tcPr>
          <w:p w14:paraId="60880BF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0.241</w:t>
            </w:r>
          </w:p>
        </w:tc>
        <w:tc>
          <w:tcPr>
            <w:tcW w:w="1527" w:type="pct"/>
            <w:hideMark/>
          </w:tcPr>
          <w:p w14:paraId="5E3FE94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4DA7284F" w14:textId="77777777" w:rsidTr="00DB552A">
        <w:tc>
          <w:tcPr>
            <w:tcW w:w="673" w:type="pct"/>
            <w:hideMark/>
          </w:tcPr>
          <w:p w14:paraId="2180D6EC"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TMC</w:t>
            </w:r>
          </w:p>
        </w:tc>
        <w:tc>
          <w:tcPr>
            <w:tcW w:w="854" w:type="pct"/>
            <w:hideMark/>
          </w:tcPr>
          <w:p w14:paraId="66C1DCEC"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0.995</w:t>
            </w:r>
          </w:p>
        </w:tc>
        <w:tc>
          <w:tcPr>
            <w:tcW w:w="1035" w:type="pct"/>
            <w:hideMark/>
          </w:tcPr>
          <w:p w14:paraId="364524A0"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0.989</w:t>
            </w:r>
          </w:p>
        </w:tc>
        <w:tc>
          <w:tcPr>
            <w:tcW w:w="911" w:type="pct"/>
            <w:hideMark/>
          </w:tcPr>
          <w:p w14:paraId="159ACE4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0.402</w:t>
            </w:r>
          </w:p>
        </w:tc>
        <w:tc>
          <w:tcPr>
            <w:tcW w:w="1527" w:type="pct"/>
            <w:hideMark/>
          </w:tcPr>
          <w:p w14:paraId="6EE7CCC2"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21962A1C" w14:textId="77777777" w:rsidTr="00DB552A">
        <w:tc>
          <w:tcPr>
            <w:tcW w:w="673" w:type="pct"/>
            <w:hideMark/>
          </w:tcPr>
          <w:p w14:paraId="20C245E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SP</w:t>
            </w:r>
          </w:p>
        </w:tc>
        <w:tc>
          <w:tcPr>
            <w:tcW w:w="854" w:type="pct"/>
            <w:hideMark/>
          </w:tcPr>
          <w:p w14:paraId="57FF80C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0.996</w:t>
            </w:r>
          </w:p>
        </w:tc>
        <w:tc>
          <w:tcPr>
            <w:tcW w:w="1035" w:type="pct"/>
            <w:hideMark/>
          </w:tcPr>
          <w:p w14:paraId="7FFC73C3"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0.991</w:t>
            </w:r>
          </w:p>
        </w:tc>
        <w:tc>
          <w:tcPr>
            <w:tcW w:w="911" w:type="pct"/>
            <w:hideMark/>
          </w:tcPr>
          <w:p w14:paraId="12F1EA6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0.481</w:t>
            </w:r>
          </w:p>
        </w:tc>
        <w:tc>
          <w:tcPr>
            <w:tcW w:w="1527" w:type="pct"/>
            <w:hideMark/>
          </w:tcPr>
          <w:p w14:paraId="65B9BD0B"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6039A7D8" w14:textId="77777777" w:rsidTr="00DB552A">
        <w:tc>
          <w:tcPr>
            <w:tcW w:w="673" w:type="pct"/>
            <w:hideMark/>
          </w:tcPr>
          <w:p w14:paraId="18DA4938"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CBI</w:t>
            </w:r>
          </w:p>
        </w:tc>
        <w:tc>
          <w:tcPr>
            <w:tcW w:w="854" w:type="pct"/>
            <w:hideMark/>
          </w:tcPr>
          <w:p w14:paraId="0937A30B"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0.991</w:t>
            </w:r>
          </w:p>
        </w:tc>
        <w:tc>
          <w:tcPr>
            <w:tcW w:w="1035" w:type="pct"/>
            <w:hideMark/>
          </w:tcPr>
          <w:p w14:paraId="36768B3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0.984</w:t>
            </w:r>
          </w:p>
        </w:tc>
        <w:tc>
          <w:tcPr>
            <w:tcW w:w="911" w:type="pct"/>
            <w:hideMark/>
          </w:tcPr>
          <w:p w14:paraId="7CC80CA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0.206</w:t>
            </w:r>
          </w:p>
        </w:tc>
        <w:tc>
          <w:tcPr>
            <w:tcW w:w="1527" w:type="pct"/>
            <w:hideMark/>
          </w:tcPr>
          <w:p w14:paraId="219B5C8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59B88EA2" w14:textId="77777777" w:rsidTr="00DB552A">
        <w:tc>
          <w:tcPr>
            <w:tcW w:w="673" w:type="pct"/>
            <w:hideMark/>
          </w:tcPr>
          <w:p w14:paraId="1EE8EC8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KSR</w:t>
            </w:r>
          </w:p>
        </w:tc>
        <w:tc>
          <w:tcPr>
            <w:tcW w:w="854" w:type="pct"/>
            <w:hideMark/>
          </w:tcPr>
          <w:p w14:paraId="68C6AF7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0.993</w:t>
            </w:r>
          </w:p>
        </w:tc>
        <w:tc>
          <w:tcPr>
            <w:tcW w:w="1035" w:type="pct"/>
            <w:hideMark/>
          </w:tcPr>
          <w:p w14:paraId="2946397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0.987</w:t>
            </w:r>
          </w:p>
        </w:tc>
        <w:tc>
          <w:tcPr>
            <w:tcW w:w="911" w:type="pct"/>
            <w:hideMark/>
          </w:tcPr>
          <w:p w14:paraId="0616ED1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0.286</w:t>
            </w:r>
          </w:p>
        </w:tc>
        <w:tc>
          <w:tcPr>
            <w:tcW w:w="1527" w:type="pct"/>
            <w:hideMark/>
          </w:tcPr>
          <w:p w14:paraId="38922595"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BC6851" w14:paraId="57306CCB" w14:textId="77777777" w:rsidTr="00DB552A">
        <w:tc>
          <w:tcPr>
            <w:tcW w:w="673" w:type="pct"/>
            <w:hideMark/>
          </w:tcPr>
          <w:p w14:paraId="1844BDF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GLP</w:t>
            </w:r>
          </w:p>
        </w:tc>
        <w:tc>
          <w:tcPr>
            <w:tcW w:w="854" w:type="pct"/>
            <w:hideMark/>
          </w:tcPr>
          <w:p w14:paraId="2038496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0.995</w:t>
            </w:r>
          </w:p>
        </w:tc>
        <w:tc>
          <w:tcPr>
            <w:tcW w:w="1035" w:type="pct"/>
            <w:hideMark/>
          </w:tcPr>
          <w:p w14:paraId="2A65CA3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0.990</w:t>
            </w:r>
          </w:p>
        </w:tc>
        <w:tc>
          <w:tcPr>
            <w:tcW w:w="911" w:type="pct"/>
            <w:hideMark/>
          </w:tcPr>
          <w:p w14:paraId="1E0C78B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0.431</w:t>
            </w:r>
          </w:p>
        </w:tc>
        <w:tc>
          <w:tcPr>
            <w:tcW w:w="1527" w:type="pct"/>
            <w:hideMark/>
          </w:tcPr>
          <w:p w14:paraId="5F8046FE" w14:textId="77777777" w:rsidR="00BC6851" w:rsidRPr="00BC6851" w:rsidRDefault="00BC6851" w:rsidP="00587EEB">
            <w:pPr>
              <w:spacing w:before="180" w:after="180" w:line="240" w:lineRule="auto"/>
              <w:jc w:val="center"/>
              <w:rPr>
                <w:rFonts w:eastAsia="Times New Roman"/>
                <w:color w:val="000000" w:themeColor="text1"/>
                <w:sz w:val="22"/>
                <w:lang w:val="en-IN" w:eastAsia="en-GB"/>
              </w:rPr>
            </w:pPr>
            <w:r w:rsidRPr="00154BE9">
              <w:rPr>
                <w:rFonts w:eastAsia="Times New Roman"/>
                <w:color w:val="000000" w:themeColor="text1"/>
                <w:sz w:val="22"/>
                <w:highlight w:val="yellow"/>
                <w:lang w:val="en-IN" w:eastAsia="en-GB"/>
              </w:rPr>
              <w:t>Established</w:t>
            </w:r>
          </w:p>
        </w:tc>
      </w:tr>
    </w:tbl>
    <w:p w14:paraId="77CA7E83" w14:textId="3D7D39F2" w:rsidR="00BC6851" w:rsidRDefault="00DB552A" w:rsidP="00161991">
      <w:pPr>
        <w:spacing w:after="0" w:line="240" w:lineRule="auto"/>
        <w:rPr>
          <w:i/>
          <w:iCs/>
          <w:szCs w:val="24"/>
        </w:rPr>
      </w:pPr>
      <w:r w:rsidRPr="00161991">
        <w:rPr>
          <w:i/>
          <w:iCs/>
          <w:szCs w:val="24"/>
        </w:rPr>
        <w:t xml:space="preserve">Source: </w:t>
      </w:r>
      <w:r w:rsidR="00214A46">
        <w:rPr>
          <w:i/>
          <w:iCs/>
          <w:szCs w:val="24"/>
        </w:rPr>
        <w:t>A</w:t>
      </w:r>
      <w:r w:rsidRPr="00161991">
        <w:rPr>
          <w:i/>
          <w:iCs/>
          <w:szCs w:val="24"/>
        </w:rPr>
        <w:t>uthor</w:t>
      </w:r>
      <w:r w:rsidR="00214A46">
        <w:rPr>
          <w:i/>
          <w:iCs/>
          <w:szCs w:val="24"/>
        </w:rPr>
        <w:t>(</w:t>
      </w:r>
      <w:r w:rsidRPr="00161991">
        <w:rPr>
          <w:i/>
          <w:iCs/>
          <w:szCs w:val="24"/>
        </w:rPr>
        <w:t>s</w:t>
      </w:r>
      <w:r w:rsidR="00214A46">
        <w:rPr>
          <w:i/>
          <w:iCs/>
          <w:szCs w:val="24"/>
        </w:rPr>
        <w:t>)</w:t>
      </w:r>
      <w:r w:rsidR="0068772B" w:rsidRPr="00161991">
        <w:rPr>
          <w:i/>
          <w:iCs/>
          <w:szCs w:val="24"/>
        </w:rPr>
        <w:t xml:space="preserve">. </w:t>
      </w:r>
      <w:r w:rsidR="0068772B" w:rsidRPr="00161991">
        <w:rPr>
          <w:i/>
          <w:iCs/>
          <w:szCs w:val="24"/>
        </w:rPr>
        <w:t>Compositional invariance is established where the correlation is not significantly lower than one. Configural invariance is supported for all constructs by design.</w:t>
      </w:r>
    </w:p>
    <w:p w14:paraId="726D9F7D" w14:textId="77777777" w:rsidR="005D59B0" w:rsidRDefault="005D59B0" w:rsidP="00161991">
      <w:pPr>
        <w:spacing w:after="0" w:line="240" w:lineRule="auto"/>
        <w:rPr>
          <w:i/>
          <w:iCs/>
          <w:szCs w:val="24"/>
        </w:rPr>
      </w:pPr>
    </w:p>
    <w:p w14:paraId="131B9C33" w14:textId="77777777" w:rsidR="005D59B0" w:rsidRPr="005D59B0" w:rsidRDefault="005D59B0" w:rsidP="00161991">
      <w:pPr>
        <w:spacing w:after="0" w:line="240" w:lineRule="auto"/>
        <w:rPr>
          <w:rFonts w:eastAsia="Times New Roman"/>
          <w:szCs w:val="24"/>
          <w:lang w:val="en-IN" w:eastAsia="en-GB"/>
        </w:rPr>
      </w:pPr>
    </w:p>
    <w:p w14:paraId="048C8A40" w14:textId="77777777" w:rsidR="00BC6851" w:rsidRDefault="00BC6851" w:rsidP="009C18EE">
      <w:pPr>
        <w:keepNext/>
        <w:spacing w:after="0"/>
        <w:jc w:val="left"/>
        <w:rPr>
          <w:b/>
          <w:szCs w:val="24"/>
        </w:rPr>
      </w:pPr>
    </w:p>
    <w:p w14:paraId="3F3C20F6" w14:textId="0A694588"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4FD6EAE1" w:rsidR="00990F18" w:rsidRPr="00205C71" w:rsidRDefault="00BD2F70" w:rsidP="009C18EE">
      <w:pPr>
        <w:spacing w:after="0"/>
        <w:rPr>
          <w:szCs w:val="24"/>
        </w:rPr>
      </w:pPr>
      <w:r w:rsidRPr="00205C71">
        <w:rPr>
          <w:szCs w:val="24"/>
        </w:rPr>
        <w:t xml:space="preserve">The single exception was the path from </w:t>
      </w:r>
      <w:r w:rsidR="003F1F45">
        <w:rPr>
          <w:szCs w:val="24"/>
        </w:rPr>
        <w:t>perceived economic feasibility</w:t>
      </w:r>
      <w:r w:rsidRPr="00205C71">
        <w:rPr>
          <w:szCs w:val="24"/>
        </w:rPr>
        <w:t xml:space="preserve"> to integration, which was positive but did not reach significance in the pooled model. The result is instructive rather </w:t>
      </w:r>
      <w:r w:rsidRPr="00205C71">
        <w:rPr>
          <w:szCs w:val="24"/>
        </w:rPr>
        <w:lastRenderedPageBreak/>
        <w:t>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3ECA5A48" w:rsidR="00990F18" w:rsidRPr="00205C71" w:rsidRDefault="00C84A1F" w:rsidP="0076128A">
      <w:pPr>
        <w:spacing w:after="0"/>
        <w:rPr>
          <w:szCs w:val="24"/>
        </w:rPr>
      </w:pPr>
      <w:r w:rsidRPr="00C84A1F">
        <w:rPr>
          <w:szCs w:val="24"/>
          <w:highlight w:val="yellow"/>
        </w:rPr>
        <w:t xml:space="preserve">The comparison that follows is interpretable because configural and compositional invariance were established, which is the condition under which differences in path coefficients can be attributed to structural rather than measurement differences. No inference is drawn from </w:t>
      </w:r>
      <w:r w:rsidRPr="00C84A1F">
        <w:rPr>
          <w:szCs w:val="24"/>
          <w:highlight w:val="yellow"/>
        </w:rPr>
        <w:lastRenderedPageBreak/>
        <w:t>differences in composite means, since full measurement invariance does not hold. The mean contrasts reported earlier describe the two samples rather than testing for latent mean differences, and the analysis here is confined to the strength of the structural relationships.</w:t>
      </w:r>
      <w:r>
        <w:rPr>
          <w:szCs w:val="24"/>
        </w:rPr>
        <w:t xml:space="preserve"> </w:t>
      </w:r>
      <w:r w:rsidR="00BD2F70" w:rsidRPr="00205C71">
        <w:rPr>
          <w:szCs w:val="24"/>
        </w:rPr>
        <w:t>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lastRenderedPageBreak/>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0D7889A4"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These distributions form the empirical basis for the calibration reported in Table 2: the emerging-economy group records higher means on every construct, with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Default="00BD2F70" w:rsidP="001E2F0E">
      <w:pPr>
        <w:spacing w:after="0"/>
        <w:rPr>
          <w:szCs w:val="24"/>
        </w:rPr>
      </w:pPr>
      <w:r w:rsidRPr="00205C71">
        <w:rPr>
          <w:szCs w:val="24"/>
        </w:rPr>
        <w:lastRenderedPageBreak/>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14FC9E2C" w14:textId="079252CE" w:rsidR="00966C31" w:rsidRPr="00966C31" w:rsidRDefault="00966C31" w:rsidP="00966C31">
      <w:pPr>
        <w:spacing w:after="0"/>
        <w:rPr>
          <w:szCs w:val="24"/>
          <w:highlight w:val="yellow"/>
        </w:rPr>
      </w:pPr>
      <w:r w:rsidRPr="00966C31">
        <w:rPr>
          <w:szCs w:val="24"/>
          <w:highlight w:val="yellow"/>
        </w:rPr>
        <w:t>Because causal asymmetry cannot be assumed, necessity was also assessed for the negated outcome. No condition reached the 0.90 threshold for low green logistics performance in either group, the highest consistency being 0.753 for the absence of integration in emerging economies. Failure is therefore no more reducible to a single condition than success.</w:t>
      </w:r>
      <w:r>
        <w:rPr>
          <w:szCs w:val="24"/>
          <w:highlight w:val="yellow"/>
        </w:rPr>
        <w:t xml:space="preserve"> </w:t>
      </w:r>
      <w:r w:rsidRPr="00966C31">
        <w:rPr>
          <w:szCs w:val="24"/>
          <w:highlight w:val="yellow"/>
        </w:rPr>
        <w:t xml:space="preserve">Comparing the two analyses shows that the relationships are genuinely asymmetric rather than mirror images. In emerging </w:t>
      </w:r>
      <w:r w:rsidR="00772997" w:rsidRPr="00966C31">
        <w:rPr>
          <w:szCs w:val="24"/>
          <w:highlight w:val="yellow"/>
        </w:rPr>
        <w:t>economies,</w:t>
      </w:r>
      <w:r w:rsidRPr="00966C31">
        <w:rPr>
          <w:szCs w:val="24"/>
          <w:highlight w:val="yellow"/>
        </w:rPr>
        <w:t xml:space="preserve"> the presence of top management commitment relates to high performance at a consistency of 0.789, while its absence relates to low performance at only 0.644. Digital infrastructure readiness shows the same pattern, at 0.754 against 0.649.</w:t>
      </w:r>
    </w:p>
    <w:p w14:paraId="21742BB5" w14:textId="581E6364" w:rsidR="00966C31" w:rsidRPr="00205C71" w:rsidRDefault="00966C31" w:rsidP="00966C31">
      <w:pPr>
        <w:spacing w:after="0"/>
        <w:rPr>
          <w:szCs w:val="24"/>
        </w:rPr>
      </w:pPr>
      <w:r w:rsidRPr="00966C31">
        <w:rPr>
          <w:szCs w:val="24"/>
          <w:highlight w:val="yellow"/>
        </w:rPr>
        <w:t xml:space="preserve">For two conditions the relationship reverses. The absence of </w:t>
      </w:r>
      <w:r w:rsidR="003F1F45">
        <w:rPr>
          <w:szCs w:val="24"/>
          <w:highlight w:val="yellow"/>
        </w:rPr>
        <w:t>Perceived economic feasibility</w:t>
      </w:r>
      <w:r w:rsidRPr="00966C31">
        <w:rPr>
          <w:szCs w:val="24"/>
          <w:highlight w:val="yellow"/>
        </w:rPr>
        <w:t xml:space="preserve"> is more consistently associated with low performance than its presence is with high performance, at 0.682 against 0.614 in emerging economies, and regulatory pressure behaves similarly in the developing group at 0.720 against 0.680. Conditions that help firms succeed are therefore not simply the conditions whose absence makes them fail. This is the property symmetric estimation cannot represent, and configurational studies of environmental and supply chain outcomes have documented it repeatedly (Wang &amp; Feng, 2026; Jiang et al., 2024).</w:t>
      </w:r>
    </w:p>
    <w:p w14:paraId="67F82015" w14:textId="77777777" w:rsidR="001E2F0E" w:rsidRDefault="001E2F0E" w:rsidP="001E2F0E">
      <w:pPr>
        <w:spacing w:after="0" w:line="240" w:lineRule="auto"/>
        <w:jc w:val="center"/>
        <w:rPr>
          <w:szCs w:val="24"/>
        </w:rPr>
      </w:pPr>
    </w:p>
    <w:p w14:paraId="3986216D" w14:textId="4B39156F" w:rsidR="00990F18" w:rsidRPr="001E2F0E" w:rsidRDefault="001E2F0E" w:rsidP="001E2F0E">
      <w:pPr>
        <w:spacing w:after="0" w:line="240" w:lineRule="auto"/>
        <w:jc w:val="center"/>
        <w:rPr>
          <w:szCs w:val="24"/>
        </w:rPr>
      </w:pPr>
      <w:r w:rsidRPr="001E2F0E">
        <w:rPr>
          <w:szCs w:val="24"/>
        </w:rPr>
        <w:t>Table 9:</w:t>
      </w:r>
      <w:r w:rsidR="00BD2F70" w:rsidRPr="001E2F0E">
        <w:rPr>
          <w:szCs w:val="24"/>
        </w:rPr>
        <w:t xml:space="preserve"> Analysis of necessary conditions for high green logistics performance (presence and absence of each condition).</w:t>
      </w:r>
    </w:p>
    <w:tbl>
      <w:tblPr>
        <w:tblStyle w:val="TableGrid"/>
        <w:tblW w:w="9209" w:type="dxa"/>
        <w:jc w:val="center"/>
        <w:tblLook w:val="04A0" w:firstRow="1" w:lastRow="0" w:firstColumn="1" w:lastColumn="0" w:noHBand="0" w:noVBand="1"/>
      </w:tblPr>
      <w:tblGrid>
        <w:gridCol w:w="1158"/>
        <w:gridCol w:w="2098"/>
        <w:gridCol w:w="1842"/>
        <w:gridCol w:w="2163"/>
        <w:gridCol w:w="1948"/>
      </w:tblGrid>
      <w:tr w:rsidR="00990F18" w:rsidRPr="001E2F0E" w14:paraId="1A5ED947" w14:textId="77777777" w:rsidTr="001E2F0E">
        <w:trPr>
          <w:jc w:val="center"/>
        </w:trPr>
        <w:tc>
          <w:tcPr>
            <w:tcW w:w="1158" w:type="dxa"/>
          </w:tcPr>
          <w:p w14:paraId="69BD1BF3" w14:textId="77777777" w:rsidR="00990F18" w:rsidRPr="001E2F0E" w:rsidRDefault="00BD2F70" w:rsidP="001E2F0E">
            <w:pPr>
              <w:spacing w:after="0" w:line="240" w:lineRule="auto"/>
              <w:jc w:val="left"/>
              <w:rPr>
                <w:sz w:val="22"/>
              </w:rPr>
            </w:pPr>
            <w:r w:rsidRPr="001E2F0E">
              <w:rPr>
                <w:b/>
                <w:sz w:val="22"/>
              </w:rPr>
              <w:t>Condition</w:t>
            </w:r>
          </w:p>
        </w:tc>
        <w:tc>
          <w:tcPr>
            <w:tcW w:w="2098" w:type="dxa"/>
          </w:tcPr>
          <w:p w14:paraId="16E632D0" w14:textId="77777777" w:rsidR="00990F18" w:rsidRPr="001E2F0E" w:rsidRDefault="00BD2F70" w:rsidP="001E2F0E">
            <w:pPr>
              <w:spacing w:after="0" w:line="240" w:lineRule="auto"/>
              <w:jc w:val="center"/>
              <w:rPr>
                <w:sz w:val="22"/>
              </w:rPr>
            </w:pPr>
            <w:r w:rsidRPr="001E2F0E">
              <w:rPr>
                <w:b/>
                <w:sz w:val="22"/>
              </w:rPr>
              <w:t>Consistency (Dev.)</w:t>
            </w:r>
          </w:p>
        </w:tc>
        <w:tc>
          <w:tcPr>
            <w:tcW w:w="1842" w:type="dxa"/>
          </w:tcPr>
          <w:p w14:paraId="183820DE" w14:textId="77777777" w:rsidR="00990F18" w:rsidRPr="001E2F0E" w:rsidRDefault="00BD2F70" w:rsidP="001E2F0E">
            <w:pPr>
              <w:spacing w:after="0" w:line="240" w:lineRule="auto"/>
              <w:jc w:val="center"/>
              <w:rPr>
                <w:sz w:val="22"/>
              </w:rPr>
            </w:pPr>
            <w:r w:rsidRPr="001E2F0E">
              <w:rPr>
                <w:b/>
                <w:sz w:val="22"/>
              </w:rPr>
              <w:t>Coverage (Dev.)</w:t>
            </w:r>
          </w:p>
        </w:tc>
        <w:tc>
          <w:tcPr>
            <w:tcW w:w="2163" w:type="dxa"/>
          </w:tcPr>
          <w:p w14:paraId="3C51AD2E" w14:textId="77777777" w:rsidR="00990F18" w:rsidRPr="001E2F0E" w:rsidRDefault="00BD2F70" w:rsidP="001E2F0E">
            <w:pPr>
              <w:spacing w:after="0" w:line="240" w:lineRule="auto"/>
              <w:jc w:val="center"/>
              <w:rPr>
                <w:sz w:val="22"/>
              </w:rPr>
            </w:pPr>
            <w:r w:rsidRPr="001E2F0E">
              <w:rPr>
                <w:b/>
                <w:sz w:val="22"/>
              </w:rPr>
              <w:t>Consistency (Eme.)</w:t>
            </w:r>
          </w:p>
        </w:tc>
        <w:tc>
          <w:tcPr>
            <w:tcW w:w="1948" w:type="dxa"/>
          </w:tcPr>
          <w:p w14:paraId="246D90F5" w14:textId="77777777" w:rsidR="00990F18" w:rsidRPr="001E2F0E" w:rsidRDefault="00BD2F70" w:rsidP="001E2F0E">
            <w:pPr>
              <w:spacing w:after="0" w:line="240" w:lineRule="auto"/>
              <w:jc w:val="center"/>
              <w:rPr>
                <w:sz w:val="22"/>
              </w:rPr>
            </w:pPr>
            <w:r w:rsidRPr="001E2F0E">
              <w:rPr>
                <w:b/>
                <w:sz w:val="22"/>
              </w:rPr>
              <w:t>Coverage (Eme.)</w:t>
            </w:r>
          </w:p>
        </w:tc>
      </w:tr>
      <w:tr w:rsidR="00990F18" w:rsidRPr="001E2F0E" w14:paraId="36CEADD1" w14:textId="77777777" w:rsidTr="001E2F0E">
        <w:trPr>
          <w:jc w:val="center"/>
        </w:trPr>
        <w:tc>
          <w:tcPr>
            <w:tcW w:w="1158" w:type="dxa"/>
          </w:tcPr>
          <w:p w14:paraId="43C23D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0DB2C784" w14:textId="77777777" w:rsidR="00990F18" w:rsidRPr="001E2F0E" w:rsidRDefault="00BD2F70" w:rsidP="001E2F0E">
            <w:pPr>
              <w:spacing w:after="0" w:line="240" w:lineRule="auto"/>
              <w:jc w:val="center"/>
              <w:rPr>
                <w:sz w:val="22"/>
              </w:rPr>
            </w:pPr>
            <w:r w:rsidRPr="001E2F0E">
              <w:rPr>
                <w:sz w:val="22"/>
              </w:rPr>
              <w:t>0.84</w:t>
            </w:r>
          </w:p>
        </w:tc>
        <w:tc>
          <w:tcPr>
            <w:tcW w:w="1842" w:type="dxa"/>
          </w:tcPr>
          <w:p w14:paraId="1E9CBB58" w14:textId="77777777" w:rsidR="00990F18" w:rsidRPr="001E2F0E" w:rsidRDefault="00BD2F70" w:rsidP="001E2F0E">
            <w:pPr>
              <w:spacing w:after="0" w:line="240" w:lineRule="auto"/>
              <w:jc w:val="center"/>
              <w:rPr>
                <w:sz w:val="22"/>
              </w:rPr>
            </w:pPr>
            <w:r w:rsidRPr="001E2F0E">
              <w:rPr>
                <w:sz w:val="22"/>
              </w:rPr>
              <w:t>0.81</w:t>
            </w:r>
          </w:p>
        </w:tc>
        <w:tc>
          <w:tcPr>
            <w:tcW w:w="2163" w:type="dxa"/>
          </w:tcPr>
          <w:p w14:paraId="7DCBCEC5" w14:textId="77777777" w:rsidR="00990F18" w:rsidRPr="001E2F0E" w:rsidRDefault="00BD2F70" w:rsidP="001E2F0E">
            <w:pPr>
              <w:spacing w:after="0" w:line="240" w:lineRule="auto"/>
              <w:jc w:val="center"/>
              <w:rPr>
                <w:sz w:val="22"/>
              </w:rPr>
            </w:pPr>
            <w:r w:rsidRPr="001E2F0E">
              <w:rPr>
                <w:sz w:val="22"/>
              </w:rPr>
              <w:t>0.79</w:t>
            </w:r>
          </w:p>
        </w:tc>
        <w:tc>
          <w:tcPr>
            <w:tcW w:w="1948" w:type="dxa"/>
          </w:tcPr>
          <w:p w14:paraId="0EC8576D" w14:textId="77777777" w:rsidR="00990F18" w:rsidRPr="001E2F0E" w:rsidRDefault="00BD2F70" w:rsidP="001E2F0E">
            <w:pPr>
              <w:spacing w:after="0" w:line="240" w:lineRule="auto"/>
              <w:jc w:val="center"/>
              <w:rPr>
                <w:sz w:val="22"/>
              </w:rPr>
            </w:pPr>
            <w:r w:rsidRPr="001E2F0E">
              <w:rPr>
                <w:sz w:val="22"/>
              </w:rPr>
              <w:t>0.83</w:t>
            </w:r>
          </w:p>
        </w:tc>
      </w:tr>
      <w:tr w:rsidR="00990F18" w:rsidRPr="001E2F0E" w14:paraId="4DB9122E" w14:textId="77777777" w:rsidTr="001E2F0E">
        <w:trPr>
          <w:jc w:val="center"/>
        </w:trPr>
        <w:tc>
          <w:tcPr>
            <w:tcW w:w="1158" w:type="dxa"/>
          </w:tcPr>
          <w:p w14:paraId="31EEEDC3"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36242C94" w14:textId="77777777" w:rsidR="00990F18" w:rsidRPr="001E2F0E" w:rsidRDefault="00BD2F70" w:rsidP="001E2F0E">
            <w:pPr>
              <w:spacing w:after="0" w:line="240" w:lineRule="auto"/>
              <w:jc w:val="center"/>
              <w:rPr>
                <w:sz w:val="22"/>
              </w:rPr>
            </w:pPr>
            <w:r w:rsidRPr="001E2F0E">
              <w:rPr>
                <w:sz w:val="22"/>
              </w:rPr>
              <w:t>0.74</w:t>
            </w:r>
          </w:p>
        </w:tc>
        <w:tc>
          <w:tcPr>
            <w:tcW w:w="1842" w:type="dxa"/>
          </w:tcPr>
          <w:p w14:paraId="24CF0255" w14:textId="77777777" w:rsidR="00990F18" w:rsidRPr="001E2F0E" w:rsidRDefault="00BD2F70" w:rsidP="001E2F0E">
            <w:pPr>
              <w:spacing w:after="0" w:line="240" w:lineRule="auto"/>
              <w:jc w:val="center"/>
              <w:rPr>
                <w:sz w:val="22"/>
              </w:rPr>
            </w:pPr>
            <w:r w:rsidRPr="001E2F0E">
              <w:rPr>
                <w:sz w:val="22"/>
              </w:rPr>
              <w:t>0.69</w:t>
            </w:r>
          </w:p>
        </w:tc>
        <w:tc>
          <w:tcPr>
            <w:tcW w:w="2163" w:type="dxa"/>
          </w:tcPr>
          <w:p w14:paraId="3499452E"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76FFC86E" w14:textId="77777777" w:rsidR="00990F18" w:rsidRPr="001E2F0E" w:rsidRDefault="00BD2F70" w:rsidP="001E2F0E">
            <w:pPr>
              <w:spacing w:after="0" w:line="240" w:lineRule="auto"/>
              <w:jc w:val="center"/>
              <w:rPr>
                <w:sz w:val="22"/>
              </w:rPr>
            </w:pPr>
            <w:r w:rsidRPr="001E2F0E">
              <w:rPr>
                <w:sz w:val="22"/>
              </w:rPr>
              <w:t>0.58</w:t>
            </w:r>
          </w:p>
        </w:tc>
      </w:tr>
      <w:tr w:rsidR="00990F18" w:rsidRPr="001E2F0E" w14:paraId="45543813" w14:textId="77777777" w:rsidTr="001E2F0E">
        <w:trPr>
          <w:jc w:val="center"/>
        </w:trPr>
        <w:tc>
          <w:tcPr>
            <w:tcW w:w="1158" w:type="dxa"/>
          </w:tcPr>
          <w:p w14:paraId="4FFB500B"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773A8DF5"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1C64F9A6"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8CA22B4" w14:textId="77777777" w:rsidR="00990F18" w:rsidRPr="001E2F0E" w:rsidRDefault="00BD2F70" w:rsidP="001E2F0E">
            <w:pPr>
              <w:spacing w:after="0" w:line="240" w:lineRule="auto"/>
              <w:jc w:val="center"/>
              <w:rPr>
                <w:sz w:val="22"/>
              </w:rPr>
            </w:pPr>
            <w:r w:rsidRPr="001E2F0E">
              <w:rPr>
                <w:sz w:val="22"/>
              </w:rPr>
              <w:t>0.82</w:t>
            </w:r>
          </w:p>
        </w:tc>
        <w:tc>
          <w:tcPr>
            <w:tcW w:w="1948" w:type="dxa"/>
          </w:tcPr>
          <w:p w14:paraId="2DA24595" w14:textId="77777777" w:rsidR="00990F18" w:rsidRPr="001E2F0E" w:rsidRDefault="00BD2F70" w:rsidP="001E2F0E">
            <w:pPr>
              <w:spacing w:after="0" w:line="240" w:lineRule="auto"/>
              <w:jc w:val="center"/>
              <w:rPr>
                <w:sz w:val="22"/>
              </w:rPr>
            </w:pPr>
            <w:r w:rsidRPr="001E2F0E">
              <w:rPr>
                <w:sz w:val="22"/>
              </w:rPr>
              <w:t>0.80</w:t>
            </w:r>
          </w:p>
        </w:tc>
      </w:tr>
      <w:tr w:rsidR="00990F18" w:rsidRPr="001E2F0E" w14:paraId="7F99A040" w14:textId="77777777" w:rsidTr="001E2F0E">
        <w:trPr>
          <w:jc w:val="center"/>
        </w:trPr>
        <w:tc>
          <w:tcPr>
            <w:tcW w:w="1158" w:type="dxa"/>
          </w:tcPr>
          <w:p w14:paraId="4AF80DAA"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293107A7" w14:textId="77777777" w:rsidR="00990F18" w:rsidRPr="001E2F0E" w:rsidRDefault="00BD2F70" w:rsidP="001E2F0E">
            <w:pPr>
              <w:spacing w:after="0" w:line="240" w:lineRule="auto"/>
              <w:jc w:val="center"/>
              <w:rPr>
                <w:sz w:val="22"/>
              </w:rPr>
            </w:pPr>
            <w:r w:rsidRPr="001E2F0E">
              <w:rPr>
                <w:sz w:val="22"/>
              </w:rPr>
              <w:t>0.78</w:t>
            </w:r>
          </w:p>
        </w:tc>
        <w:tc>
          <w:tcPr>
            <w:tcW w:w="1842" w:type="dxa"/>
          </w:tcPr>
          <w:p w14:paraId="58FF63CA" w14:textId="77777777" w:rsidR="00990F18" w:rsidRPr="001E2F0E" w:rsidRDefault="00BD2F70" w:rsidP="001E2F0E">
            <w:pPr>
              <w:spacing w:after="0" w:line="240" w:lineRule="auto"/>
              <w:jc w:val="center"/>
              <w:rPr>
                <w:sz w:val="22"/>
              </w:rPr>
            </w:pPr>
            <w:r w:rsidRPr="001E2F0E">
              <w:rPr>
                <w:sz w:val="22"/>
              </w:rPr>
              <w:t>0.80</w:t>
            </w:r>
          </w:p>
        </w:tc>
        <w:tc>
          <w:tcPr>
            <w:tcW w:w="2163" w:type="dxa"/>
          </w:tcPr>
          <w:p w14:paraId="58A41938" w14:textId="77777777" w:rsidR="00990F18" w:rsidRPr="001E2F0E" w:rsidRDefault="00BD2F70" w:rsidP="001E2F0E">
            <w:pPr>
              <w:spacing w:after="0" w:line="240" w:lineRule="auto"/>
              <w:jc w:val="center"/>
              <w:rPr>
                <w:sz w:val="22"/>
              </w:rPr>
            </w:pPr>
            <w:r w:rsidRPr="001E2F0E">
              <w:rPr>
                <w:sz w:val="22"/>
              </w:rPr>
              <w:t>0.85</w:t>
            </w:r>
          </w:p>
        </w:tc>
        <w:tc>
          <w:tcPr>
            <w:tcW w:w="1948" w:type="dxa"/>
          </w:tcPr>
          <w:p w14:paraId="2A685535" w14:textId="77777777" w:rsidR="00990F18" w:rsidRPr="001E2F0E" w:rsidRDefault="00BD2F70" w:rsidP="001E2F0E">
            <w:pPr>
              <w:spacing w:after="0" w:line="240" w:lineRule="auto"/>
              <w:jc w:val="center"/>
              <w:rPr>
                <w:sz w:val="22"/>
              </w:rPr>
            </w:pPr>
            <w:r w:rsidRPr="001E2F0E">
              <w:rPr>
                <w:sz w:val="22"/>
              </w:rPr>
              <w:t>0.82</w:t>
            </w:r>
          </w:p>
        </w:tc>
      </w:tr>
      <w:tr w:rsidR="00990F18" w:rsidRPr="001E2F0E" w14:paraId="0F51BE30" w14:textId="77777777" w:rsidTr="001E2F0E">
        <w:trPr>
          <w:jc w:val="center"/>
        </w:trPr>
        <w:tc>
          <w:tcPr>
            <w:tcW w:w="1158" w:type="dxa"/>
          </w:tcPr>
          <w:p w14:paraId="43A5BAD3"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47FD08FE" w14:textId="77777777" w:rsidR="00990F18" w:rsidRPr="001E2F0E" w:rsidRDefault="00BD2F70" w:rsidP="001E2F0E">
            <w:pPr>
              <w:spacing w:after="0" w:line="240" w:lineRule="auto"/>
              <w:jc w:val="center"/>
              <w:rPr>
                <w:sz w:val="22"/>
              </w:rPr>
            </w:pPr>
            <w:r w:rsidRPr="001E2F0E">
              <w:rPr>
                <w:sz w:val="22"/>
              </w:rPr>
              <w:t>0.66</w:t>
            </w:r>
          </w:p>
        </w:tc>
        <w:tc>
          <w:tcPr>
            <w:tcW w:w="1842" w:type="dxa"/>
          </w:tcPr>
          <w:p w14:paraId="514ED808" w14:textId="77777777" w:rsidR="00990F18" w:rsidRPr="001E2F0E" w:rsidRDefault="00BD2F70" w:rsidP="001E2F0E">
            <w:pPr>
              <w:spacing w:after="0" w:line="240" w:lineRule="auto"/>
              <w:jc w:val="center"/>
              <w:rPr>
                <w:sz w:val="22"/>
              </w:rPr>
            </w:pPr>
            <w:r w:rsidRPr="001E2F0E">
              <w:rPr>
                <w:sz w:val="22"/>
              </w:rPr>
              <w:t>0.63</w:t>
            </w:r>
          </w:p>
        </w:tc>
        <w:tc>
          <w:tcPr>
            <w:tcW w:w="2163" w:type="dxa"/>
          </w:tcPr>
          <w:p w14:paraId="58C289FD" w14:textId="77777777" w:rsidR="00990F18" w:rsidRPr="001E2F0E" w:rsidRDefault="00BD2F70" w:rsidP="001E2F0E">
            <w:pPr>
              <w:spacing w:after="0" w:line="240" w:lineRule="auto"/>
              <w:jc w:val="center"/>
              <w:rPr>
                <w:sz w:val="22"/>
              </w:rPr>
            </w:pPr>
            <w:r w:rsidRPr="001E2F0E">
              <w:rPr>
                <w:sz w:val="22"/>
              </w:rPr>
              <w:t>0.71</w:t>
            </w:r>
          </w:p>
        </w:tc>
        <w:tc>
          <w:tcPr>
            <w:tcW w:w="1948" w:type="dxa"/>
          </w:tcPr>
          <w:p w14:paraId="3A349C02" w14:textId="77777777" w:rsidR="00990F18" w:rsidRPr="001E2F0E" w:rsidRDefault="00BD2F70" w:rsidP="001E2F0E">
            <w:pPr>
              <w:spacing w:after="0" w:line="240" w:lineRule="auto"/>
              <w:jc w:val="center"/>
              <w:rPr>
                <w:sz w:val="22"/>
              </w:rPr>
            </w:pPr>
            <w:r w:rsidRPr="001E2F0E">
              <w:rPr>
                <w:sz w:val="22"/>
              </w:rPr>
              <w:t>0.69</w:t>
            </w:r>
          </w:p>
        </w:tc>
      </w:tr>
      <w:tr w:rsidR="00990F18" w:rsidRPr="001E2F0E" w14:paraId="512F3E65" w14:textId="77777777" w:rsidTr="001E2F0E">
        <w:trPr>
          <w:jc w:val="center"/>
        </w:trPr>
        <w:tc>
          <w:tcPr>
            <w:tcW w:w="1158" w:type="dxa"/>
          </w:tcPr>
          <w:p w14:paraId="4DF9F986"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9E66B77" w14:textId="77777777" w:rsidR="00990F18" w:rsidRPr="001E2F0E" w:rsidRDefault="00BD2F70" w:rsidP="001E2F0E">
            <w:pPr>
              <w:spacing w:after="0" w:line="240" w:lineRule="auto"/>
              <w:jc w:val="center"/>
              <w:rPr>
                <w:sz w:val="22"/>
              </w:rPr>
            </w:pPr>
            <w:r w:rsidRPr="001E2F0E">
              <w:rPr>
                <w:sz w:val="22"/>
              </w:rPr>
              <w:t>0.70</w:t>
            </w:r>
          </w:p>
        </w:tc>
        <w:tc>
          <w:tcPr>
            <w:tcW w:w="1842" w:type="dxa"/>
          </w:tcPr>
          <w:p w14:paraId="67B56947"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3594B9B6" w14:textId="77777777" w:rsidR="00990F18" w:rsidRPr="001E2F0E" w:rsidRDefault="00BD2F70" w:rsidP="001E2F0E">
            <w:pPr>
              <w:spacing w:after="0" w:line="240" w:lineRule="auto"/>
              <w:jc w:val="center"/>
              <w:rPr>
                <w:sz w:val="22"/>
              </w:rPr>
            </w:pPr>
            <w:r w:rsidRPr="001E2F0E">
              <w:rPr>
                <w:sz w:val="22"/>
              </w:rPr>
              <w:t>0.59</w:t>
            </w:r>
          </w:p>
        </w:tc>
        <w:tc>
          <w:tcPr>
            <w:tcW w:w="1948" w:type="dxa"/>
          </w:tcPr>
          <w:p w14:paraId="25A54AB1" w14:textId="77777777" w:rsidR="00990F18" w:rsidRPr="001E2F0E" w:rsidRDefault="00BD2F70" w:rsidP="001E2F0E">
            <w:pPr>
              <w:spacing w:after="0" w:line="240" w:lineRule="auto"/>
              <w:jc w:val="center"/>
              <w:rPr>
                <w:sz w:val="22"/>
              </w:rPr>
            </w:pPr>
            <w:r w:rsidRPr="001E2F0E">
              <w:rPr>
                <w:sz w:val="22"/>
              </w:rPr>
              <w:t>0.61</w:t>
            </w:r>
          </w:p>
        </w:tc>
      </w:tr>
      <w:tr w:rsidR="00990F18" w:rsidRPr="001E2F0E" w14:paraId="01D4360B" w14:textId="77777777" w:rsidTr="001E2F0E">
        <w:trPr>
          <w:jc w:val="center"/>
        </w:trPr>
        <w:tc>
          <w:tcPr>
            <w:tcW w:w="1158" w:type="dxa"/>
          </w:tcPr>
          <w:p w14:paraId="1C797738"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7ADF609A"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6689FC2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569BB9A3" w14:textId="77777777" w:rsidR="00990F18" w:rsidRPr="001E2F0E" w:rsidRDefault="00BD2F70" w:rsidP="001E2F0E">
            <w:pPr>
              <w:spacing w:after="0" w:line="240" w:lineRule="auto"/>
              <w:jc w:val="center"/>
              <w:rPr>
                <w:sz w:val="22"/>
              </w:rPr>
            </w:pPr>
            <w:r w:rsidRPr="001E2F0E">
              <w:rPr>
                <w:sz w:val="22"/>
              </w:rPr>
              <w:t>0.77</w:t>
            </w:r>
          </w:p>
        </w:tc>
        <w:tc>
          <w:tcPr>
            <w:tcW w:w="1948" w:type="dxa"/>
          </w:tcPr>
          <w:p w14:paraId="2F2D8F03" w14:textId="77777777" w:rsidR="00990F18" w:rsidRPr="001E2F0E" w:rsidRDefault="00BD2F70" w:rsidP="001E2F0E">
            <w:pPr>
              <w:spacing w:after="0" w:line="240" w:lineRule="auto"/>
              <w:jc w:val="center"/>
              <w:rPr>
                <w:sz w:val="22"/>
              </w:rPr>
            </w:pPr>
            <w:r w:rsidRPr="001E2F0E">
              <w:rPr>
                <w:sz w:val="22"/>
              </w:rPr>
              <w:t>0.74</w:t>
            </w:r>
          </w:p>
        </w:tc>
      </w:tr>
      <w:tr w:rsidR="00990F18" w:rsidRPr="001E2F0E" w14:paraId="183C2A3E" w14:textId="77777777" w:rsidTr="001E2F0E">
        <w:trPr>
          <w:jc w:val="center"/>
        </w:trPr>
        <w:tc>
          <w:tcPr>
            <w:tcW w:w="1158" w:type="dxa"/>
          </w:tcPr>
          <w:p w14:paraId="4529F0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74F0DB2C" w14:textId="77777777" w:rsidR="00990F18" w:rsidRPr="001E2F0E" w:rsidRDefault="00BD2F70" w:rsidP="001E2F0E">
            <w:pPr>
              <w:spacing w:after="0" w:line="240" w:lineRule="auto"/>
              <w:jc w:val="center"/>
              <w:rPr>
                <w:sz w:val="22"/>
              </w:rPr>
            </w:pPr>
            <w:r w:rsidRPr="001E2F0E">
              <w:rPr>
                <w:sz w:val="22"/>
              </w:rPr>
              <w:t>0.52</w:t>
            </w:r>
          </w:p>
        </w:tc>
        <w:tc>
          <w:tcPr>
            <w:tcW w:w="1842" w:type="dxa"/>
          </w:tcPr>
          <w:p w14:paraId="5715277C" w14:textId="77777777" w:rsidR="00990F18" w:rsidRPr="001E2F0E" w:rsidRDefault="00BD2F70" w:rsidP="001E2F0E">
            <w:pPr>
              <w:spacing w:after="0" w:line="240" w:lineRule="auto"/>
              <w:jc w:val="center"/>
              <w:rPr>
                <w:sz w:val="22"/>
              </w:rPr>
            </w:pPr>
            <w:r w:rsidRPr="001E2F0E">
              <w:rPr>
                <w:sz w:val="22"/>
              </w:rPr>
              <w:t>0.55</w:t>
            </w:r>
          </w:p>
        </w:tc>
        <w:tc>
          <w:tcPr>
            <w:tcW w:w="2163" w:type="dxa"/>
          </w:tcPr>
          <w:p w14:paraId="6198ADAA" w14:textId="77777777" w:rsidR="00990F18" w:rsidRPr="001E2F0E" w:rsidRDefault="00BD2F70" w:rsidP="001E2F0E">
            <w:pPr>
              <w:spacing w:after="0" w:line="240" w:lineRule="auto"/>
              <w:jc w:val="center"/>
              <w:rPr>
                <w:sz w:val="22"/>
              </w:rPr>
            </w:pPr>
            <w:r w:rsidRPr="001E2F0E">
              <w:rPr>
                <w:sz w:val="22"/>
              </w:rPr>
              <w:t>0.57</w:t>
            </w:r>
          </w:p>
        </w:tc>
        <w:tc>
          <w:tcPr>
            <w:tcW w:w="1948" w:type="dxa"/>
          </w:tcPr>
          <w:p w14:paraId="394B48FF" w14:textId="77777777" w:rsidR="00990F18" w:rsidRPr="001E2F0E" w:rsidRDefault="00BD2F70" w:rsidP="001E2F0E">
            <w:pPr>
              <w:spacing w:after="0" w:line="240" w:lineRule="auto"/>
              <w:jc w:val="center"/>
              <w:rPr>
                <w:sz w:val="22"/>
              </w:rPr>
            </w:pPr>
            <w:r w:rsidRPr="001E2F0E">
              <w:rPr>
                <w:sz w:val="22"/>
              </w:rPr>
              <w:t>0.54</w:t>
            </w:r>
          </w:p>
        </w:tc>
      </w:tr>
      <w:tr w:rsidR="00990F18" w:rsidRPr="001E2F0E" w14:paraId="2D930ED0" w14:textId="77777777" w:rsidTr="001E2F0E">
        <w:trPr>
          <w:jc w:val="center"/>
        </w:trPr>
        <w:tc>
          <w:tcPr>
            <w:tcW w:w="1158" w:type="dxa"/>
          </w:tcPr>
          <w:p w14:paraId="572D4A90"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7F925F6F"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2D641F75" w14:textId="77777777" w:rsidR="00990F18" w:rsidRPr="001E2F0E" w:rsidRDefault="00BD2F70" w:rsidP="001E2F0E">
            <w:pPr>
              <w:spacing w:after="0" w:line="240" w:lineRule="auto"/>
              <w:jc w:val="center"/>
              <w:rPr>
                <w:sz w:val="22"/>
              </w:rPr>
            </w:pPr>
            <w:r w:rsidRPr="001E2F0E">
              <w:rPr>
                <w:sz w:val="22"/>
              </w:rPr>
              <w:t>0.64</w:t>
            </w:r>
          </w:p>
        </w:tc>
        <w:tc>
          <w:tcPr>
            <w:tcW w:w="2163" w:type="dxa"/>
          </w:tcPr>
          <w:p w14:paraId="7517A830" w14:textId="77777777" w:rsidR="00990F18" w:rsidRPr="001E2F0E" w:rsidRDefault="00BD2F70" w:rsidP="001E2F0E">
            <w:pPr>
              <w:spacing w:after="0" w:line="240" w:lineRule="auto"/>
              <w:jc w:val="center"/>
              <w:rPr>
                <w:sz w:val="22"/>
              </w:rPr>
            </w:pPr>
            <w:r w:rsidRPr="001E2F0E">
              <w:rPr>
                <w:sz w:val="22"/>
              </w:rPr>
              <w:t>0.69</w:t>
            </w:r>
          </w:p>
        </w:tc>
        <w:tc>
          <w:tcPr>
            <w:tcW w:w="1948" w:type="dxa"/>
          </w:tcPr>
          <w:p w14:paraId="279C2DBA" w14:textId="77777777" w:rsidR="00990F18" w:rsidRPr="001E2F0E" w:rsidRDefault="00BD2F70" w:rsidP="001E2F0E">
            <w:pPr>
              <w:spacing w:after="0" w:line="240" w:lineRule="auto"/>
              <w:jc w:val="center"/>
              <w:rPr>
                <w:sz w:val="22"/>
              </w:rPr>
            </w:pPr>
            <w:r w:rsidRPr="001E2F0E">
              <w:rPr>
                <w:sz w:val="22"/>
              </w:rPr>
              <w:t>0.66</w:t>
            </w:r>
          </w:p>
        </w:tc>
      </w:tr>
      <w:tr w:rsidR="00990F18" w:rsidRPr="001E2F0E" w14:paraId="4A1A6D4A" w14:textId="77777777" w:rsidTr="001E2F0E">
        <w:trPr>
          <w:jc w:val="center"/>
        </w:trPr>
        <w:tc>
          <w:tcPr>
            <w:tcW w:w="1158" w:type="dxa"/>
          </w:tcPr>
          <w:p w14:paraId="7DAC1E05"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4F08AB90" w14:textId="77777777" w:rsidR="00990F18" w:rsidRPr="001E2F0E" w:rsidRDefault="00BD2F70" w:rsidP="001E2F0E">
            <w:pPr>
              <w:spacing w:after="0" w:line="240" w:lineRule="auto"/>
              <w:jc w:val="center"/>
              <w:rPr>
                <w:sz w:val="22"/>
              </w:rPr>
            </w:pPr>
            <w:r w:rsidRPr="001E2F0E">
              <w:rPr>
                <w:sz w:val="22"/>
              </w:rPr>
              <w:t>0.71</w:t>
            </w:r>
          </w:p>
        </w:tc>
        <w:tc>
          <w:tcPr>
            <w:tcW w:w="1842" w:type="dxa"/>
          </w:tcPr>
          <w:p w14:paraId="1AAA95FF" w14:textId="77777777" w:rsidR="00990F18" w:rsidRPr="001E2F0E" w:rsidRDefault="00BD2F70" w:rsidP="001E2F0E">
            <w:pPr>
              <w:spacing w:after="0" w:line="240" w:lineRule="auto"/>
              <w:jc w:val="center"/>
              <w:rPr>
                <w:sz w:val="22"/>
              </w:rPr>
            </w:pPr>
            <w:r w:rsidRPr="001E2F0E">
              <w:rPr>
                <w:sz w:val="22"/>
              </w:rPr>
              <w:t>0.68</w:t>
            </w:r>
          </w:p>
        </w:tc>
        <w:tc>
          <w:tcPr>
            <w:tcW w:w="2163" w:type="dxa"/>
          </w:tcPr>
          <w:p w14:paraId="1D491395" w14:textId="77777777" w:rsidR="00990F18" w:rsidRPr="001E2F0E" w:rsidRDefault="00BD2F70" w:rsidP="001E2F0E">
            <w:pPr>
              <w:spacing w:after="0" w:line="240" w:lineRule="auto"/>
              <w:jc w:val="center"/>
              <w:rPr>
                <w:sz w:val="22"/>
              </w:rPr>
            </w:pPr>
            <w:r w:rsidRPr="001E2F0E">
              <w:rPr>
                <w:sz w:val="22"/>
              </w:rPr>
              <w:t>0.49</w:t>
            </w:r>
          </w:p>
        </w:tc>
        <w:tc>
          <w:tcPr>
            <w:tcW w:w="1948" w:type="dxa"/>
          </w:tcPr>
          <w:p w14:paraId="1780FA99" w14:textId="77777777" w:rsidR="00990F18" w:rsidRPr="001E2F0E" w:rsidRDefault="00BD2F70" w:rsidP="001E2F0E">
            <w:pPr>
              <w:spacing w:after="0" w:line="240" w:lineRule="auto"/>
              <w:jc w:val="center"/>
              <w:rPr>
                <w:sz w:val="22"/>
              </w:rPr>
            </w:pPr>
            <w:r w:rsidRPr="001E2F0E">
              <w:rPr>
                <w:sz w:val="22"/>
              </w:rPr>
              <w:t>0.52</w:t>
            </w:r>
          </w:p>
        </w:tc>
      </w:tr>
      <w:tr w:rsidR="00990F18" w:rsidRPr="001E2F0E" w14:paraId="1B71A8D2" w14:textId="77777777" w:rsidTr="001E2F0E">
        <w:trPr>
          <w:jc w:val="center"/>
        </w:trPr>
        <w:tc>
          <w:tcPr>
            <w:tcW w:w="1158" w:type="dxa"/>
          </w:tcPr>
          <w:p w14:paraId="72DF8214"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038E1D13" w14:textId="77777777" w:rsidR="00990F18" w:rsidRPr="001E2F0E" w:rsidRDefault="00BD2F70" w:rsidP="001E2F0E">
            <w:pPr>
              <w:spacing w:after="0" w:line="240" w:lineRule="auto"/>
              <w:jc w:val="center"/>
              <w:rPr>
                <w:sz w:val="22"/>
              </w:rPr>
            </w:pPr>
            <w:r w:rsidRPr="001E2F0E">
              <w:rPr>
                <w:sz w:val="22"/>
              </w:rPr>
              <w:t>0.55</w:t>
            </w:r>
          </w:p>
        </w:tc>
        <w:tc>
          <w:tcPr>
            <w:tcW w:w="1842" w:type="dxa"/>
          </w:tcPr>
          <w:p w14:paraId="7DFE1347" w14:textId="77777777" w:rsidR="00990F18" w:rsidRPr="001E2F0E" w:rsidRDefault="00BD2F70" w:rsidP="001E2F0E">
            <w:pPr>
              <w:spacing w:after="0" w:line="240" w:lineRule="auto"/>
              <w:jc w:val="center"/>
              <w:rPr>
                <w:sz w:val="22"/>
              </w:rPr>
            </w:pPr>
            <w:r w:rsidRPr="001E2F0E">
              <w:rPr>
                <w:sz w:val="22"/>
              </w:rPr>
              <w:t>0.58</w:t>
            </w:r>
          </w:p>
        </w:tc>
        <w:tc>
          <w:tcPr>
            <w:tcW w:w="2163" w:type="dxa"/>
          </w:tcPr>
          <w:p w14:paraId="17367F89" w14:textId="77777777" w:rsidR="00990F18" w:rsidRPr="001E2F0E" w:rsidRDefault="00BD2F70" w:rsidP="001E2F0E">
            <w:pPr>
              <w:spacing w:after="0" w:line="240" w:lineRule="auto"/>
              <w:jc w:val="center"/>
              <w:rPr>
                <w:sz w:val="22"/>
              </w:rPr>
            </w:pPr>
            <w:r w:rsidRPr="001E2F0E">
              <w:rPr>
                <w:sz w:val="22"/>
              </w:rPr>
              <w:t>0.47</w:t>
            </w:r>
          </w:p>
        </w:tc>
        <w:tc>
          <w:tcPr>
            <w:tcW w:w="1948" w:type="dxa"/>
          </w:tcPr>
          <w:p w14:paraId="20C75E19" w14:textId="77777777" w:rsidR="00990F18" w:rsidRPr="001E2F0E" w:rsidRDefault="00BD2F70" w:rsidP="001E2F0E">
            <w:pPr>
              <w:spacing w:after="0" w:line="240" w:lineRule="auto"/>
              <w:jc w:val="center"/>
              <w:rPr>
                <w:sz w:val="22"/>
              </w:rPr>
            </w:pPr>
            <w:r w:rsidRPr="001E2F0E">
              <w:rPr>
                <w:sz w:val="22"/>
              </w:rPr>
              <w:t>0.50</w:t>
            </w:r>
          </w:p>
        </w:tc>
      </w:tr>
      <w:tr w:rsidR="00990F18" w:rsidRPr="001E2F0E" w14:paraId="30C0FFBB" w14:textId="77777777" w:rsidTr="001E2F0E">
        <w:trPr>
          <w:jc w:val="center"/>
        </w:trPr>
        <w:tc>
          <w:tcPr>
            <w:tcW w:w="1158" w:type="dxa"/>
          </w:tcPr>
          <w:p w14:paraId="72663B8E"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5707AA6D" w14:textId="77777777" w:rsidR="00990F18" w:rsidRPr="001E2F0E" w:rsidRDefault="00BD2F70" w:rsidP="001E2F0E">
            <w:pPr>
              <w:spacing w:after="0" w:line="240" w:lineRule="auto"/>
              <w:jc w:val="center"/>
              <w:rPr>
                <w:sz w:val="22"/>
              </w:rPr>
            </w:pPr>
            <w:r w:rsidRPr="001E2F0E">
              <w:rPr>
                <w:sz w:val="22"/>
              </w:rPr>
              <w:t>0.64</w:t>
            </w:r>
          </w:p>
        </w:tc>
        <w:tc>
          <w:tcPr>
            <w:tcW w:w="1842" w:type="dxa"/>
          </w:tcPr>
          <w:p w14:paraId="5C21EA64" w14:textId="77777777" w:rsidR="00990F18" w:rsidRPr="001E2F0E" w:rsidRDefault="00BD2F70" w:rsidP="001E2F0E">
            <w:pPr>
              <w:spacing w:after="0" w:line="240" w:lineRule="auto"/>
              <w:jc w:val="center"/>
              <w:rPr>
                <w:sz w:val="22"/>
              </w:rPr>
            </w:pPr>
            <w:r w:rsidRPr="001E2F0E">
              <w:rPr>
                <w:sz w:val="22"/>
              </w:rPr>
              <w:t>0.61</w:t>
            </w:r>
          </w:p>
        </w:tc>
        <w:tc>
          <w:tcPr>
            <w:tcW w:w="2163" w:type="dxa"/>
          </w:tcPr>
          <w:p w14:paraId="1C29F385"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106FEC18" w14:textId="77777777" w:rsidR="00990F18" w:rsidRPr="001E2F0E" w:rsidRDefault="00BD2F70" w:rsidP="001E2F0E">
            <w:pPr>
              <w:spacing w:after="0" w:line="240" w:lineRule="auto"/>
              <w:jc w:val="center"/>
              <w:rPr>
                <w:sz w:val="22"/>
              </w:rPr>
            </w:pPr>
            <w:r w:rsidRPr="001E2F0E">
              <w:rPr>
                <w:sz w:val="22"/>
              </w:rPr>
              <w:t>0.60</w:t>
            </w:r>
          </w:p>
        </w:tc>
      </w:tr>
      <w:tr w:rsidR="00990F18" w:rsidRPr="001E2F0E" w14:paraId="0B26A3C1" w14:textId="77777777" w:rsidTr="001E2F0E">
        <w:trPr>
          <w:jc w:val="center"/>
        </w:trPr>
        <w:tc>
          <w:tcPr>
            <w:tcW w:w="1158" w:type="dxa"/>
          </w:tcPr>
          <w:p w14:paraId="771F6672" w14:textId="77777777" w:rsidR="00990F18" w:rsidRPr="001E2F0E" w:rsidRDefault="00BD2F70" w:rsidP="001E2F0E">
            <w:pPr>
              <w:spacing w:after="0" w:line="240" w:lineRule="auto"/>
              <w:jc w:val="center"/>
              <w:rPr>
                <w:sz w:val="22"/>
              </w:rPr>
            </w:pPr>
            <w:r w:rsidRPr="001E2F0E">
              <w:rPr>
                <w:sz w:val="22"/>
              </w:rPr>
              <w:lastRenderedPageBreak/>
              <w:t>~CBI</w:t>
            </w:r>
          </w:p>
        </w:tc>
        <w:tc>
          <w:tcPr>
            <w:tcW w:w="2098" w:type="dxa"/>
          </w:tcPr>
          <w:p w14:paraId="0AAA287E"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3CE00DA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7A790CD2" w14:textId="77777777" w:rsidR="00990F18" w:rsidRPr="001E2F0E" w:rsidRDefault="00BD2F70" w:rsidP="001E2F0E">
            <w:pPr>
              <w:spacing w:after="0" w:line="240" w:lineRule="auto"/>
              <w:jc w:val="center"/>
              <w:rPr>
                <w:sz w:val="22"/>
              </w:rPr>
            </w:pPr>
            <w:r w:rsidRPr="001E2F0E">
              <w:rPr>
                <w:sz w:val="22"/>
              </w:rPr>
              <w:t>0.70</w:t>
            </w:r>
          </w:p>
        </w:tc>
        <w:tc>
          <w:tcPr>
            <w:tcW w:w="1948" w:type="dxa"/>
          </w:tcPr>
          <w:p w14:paraId="10EDBADE" w14:textId="77777777" w:rsidR="00990F18" w:rsidRPr="001E2F0E" w:rsidRDefault="00BD2F70" w:rsidP="001E2F0E">
            <w:pPr>
              <w:spacing w:after="0" w:line="240" w:lineRule="auto"/>
              <w:jc w:val="center"/>
              <w:rPr>
                <w:sz w:val="22"/>
              </w:rPr>
            </w:pPr>
            <w:r w:rsidRPr="001E2F0E">
              <w:rPr>
                <w:sz w:val="22"/>
              </w:rPr>
              <w:t>0.67</w:t>
            </w:r>
          </w:p>
        </w:tc>
      </w:tr>
      <w:tr w:rsidR="00990F18" w:rsidRPr="001E2F0E" w14:paraId="43293A32" w14:textId="77777777" w:rsidTr="001E2F0E">
        <w:trPr>
          <w:jc w:val="center"/>
        </w:trPr>
        <w:tc>
          <w:tcPr>
            <w:tcW w:w="1158" w:type="dxa"/>
          </w:tcPr>
          <w:p w14:paraId="6464D311"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0B02169C" w14:textId="77777777" w:rsidR="00990F18" w:rsidRPr="001E2F0E" w:rsidRDefault="00BD2F70" w:rsidP="001E2F0E">
            <w:pPr>
              <w:spacing w:after="0" w:line="240" w:lineRule="auto"/>
              <w:jc w:val="center"/>
              <w:rPr>
                <w:sz w:val="22"/>
              </w:rPr>
            </w:pPr>
            <w:r w:rsidRPr="001E2F0E">
              <w:rPr>
                <w:sz w:val="22"/>
              </w:rPr>
              <w:t>0.69</w:t>
            </w:r>
          </w:p>
        </w:tc>
        <w:tc>
          <w:tcPr>
            <w:tcW w:w="1842" w:type="dxa"/>
          </w:tcPr>
          <w:p w14:paraId="6A2A1392"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B3DAB04" w14:textId="77777777" w:rsidR="00990F18" w:rsidRPr="001E2F0E" w:rsidRDefault="00BD2F70" w:rsidP="001E2F0E">
            <w:pPr>
              <w:spacing w:after="0" w:line="240" w:lineRule="auto"/>
              <w:jc w:val="center"/>
              <w:rPr>
                <w:sz w:val="22"/>
              </w:rPr>
            </w:pPr>
            <w:r w:rsidRPr="001E2F0E">
              <w:rPr>
                <w:sz w:val="22"/>
              </w:rPr>
              <w:t>0.55</w:t>
            </w:r>
          </w:p>
        </w:tc>
        <w:tc>
          <w:tcPr>
            <w:tcW w:w="1948" w:type="dxa"/>
          </w:tcPr>
          <w:p w14:paraId="37D6B6A2" w14:textId="77777777" w:rsidR="00990F18" w:rsidRPr="001E2F0E" w:rsidRDefault="00BD2F70" w:rsidP="001E2F0E">
            <w:pPr>
              <w:spacing w:after="0" w:line="240" w:lineRule="auto"/>
              <w:jc w:val="center"/>
              <w:rPr>
                <w:sz w:val="22"/>
              </w:rPr>
            </w:pPr>
            <w:r w:rsidRPr="001E2F0E">
              <w:rPr>
                <w:sz w:val="22"/>
              </w:rPr>
              <w:t>0.58</w:t>
            </w:r>
          </w:p>
        </w:tc>
      </w:tr>
    </w:tbl>
    <w:p w14:paraId="1FAA65BC" w14:textId="77777777" w:rsidR="00990F18" w:rsidRPr="001E2F0E" w:rsidRDefault="00BD2F70" w:rsidP="001E2F0E">
      <w:pPr>
        <w:spacing w:after="0" w:line="240" w:lineRule="auto"/>
        <w:jc w:val="left"/>
        <w:rPr>
          <w:szCs w:val="24"/>
        </w:rPr>
      </w:pPr>
      <w:r w:rsidRPr="001E2F0E">
        <w:rPr>
          <w:szCs w:val="24"/>
        </w:rPr>
        <w:t>Source: authors. "~" denotes the absence (negation) of a condition. No condition reaches the 0.90 consistency threshold conventionally used to infer necessity in either group; GSCI and TMC record the highest necessity consistencies.</w:t>
      </w:r>
    </w:p>
    <w:p w14:paraId="6BD8FB52" w14:textId="77777777" w:rsidR="001E2F0E" w:rsidRDefault="001E2F0E" w:rsidP="001E2F0E">
      <w:pPr>
        <w:spacing w:after="0" w:line="240" w:lineRule="auto"/>
        <w:jc w:val="left"/>
        <w:rPr>
          <w:szCs w:val="24"/>
        </w:rPr>
      </w:pPr>
    </w:p>
    <w:p w14:paraId="670DA168" w14:textId="36D6DC94" w:rsidR="00990F18" w:rsidRPr="00205C71" w:rsidRDefault="00BD2F70" w:rsidP="001E2F0E">
      <w:pPr>
        <w:spacing w:after="0"/>
        <w:rPr>
          <w:szCs w:val="24"/>
        </w:rPr>
      </w:pPr>
      <w:r w:rsidRPr="00205C71">
        <w:rPr>
          <w:szCs w:val="24"/>
        </w:rPr>
        <w:t>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minimised into the solutions that follow.</w:t>
      </w:r>
    </w:p>
    <w:p w14:paraId="6446BBFE" w14:textId="77777777" w:rsidR="001E2F0E" w:rsidRDefault="001E2F0E" w:rsidP="00E50BF7">
      <w:pPr>
        <w:jc w:val="left"/>
        <w:rPr>
          <w:b/>
          <w:szCs w:val="24"/>
        </w:rPr>
      </w:pPr>
    </w:p>
    <w:p w14:paraId="10F5F0E5" w14:textId="353B7D5A" w:rsidR="00990F18" w:rsidRPr="001E2F0E" w:rsidRDefault="001E2F0E" w:rsidP="001E2F0E">
      <w:pPr>
        <w:spacing w:after="0" w:line="240" w:lineRule="auto"/>
        <w:jc w:val="center"/>
        <w:rPr>
          <w:szCs w:val="24"/>
        </w:rPr>
      </w:pPr>
      <w:r>
        <w:rPr>
          <w:szCs w:val="24"/>
        </w:rPr>
        <w:t>Table 10:</w:t>
      </w:r>
      <w:r w:rsidR="00BD2F70" w:rsidRPr="001E2F0E">
        <w:rPr>
          <w:szCs w:val="24"/>
        </w:rPr>
        <w:t xml:space="preserve"> Truth table for high green logistics performance, by economy group (rows above the frequency threshold).</w:t>
      </w:r>
    </w:p>
    <w:tbl>
      <w:tblPr>
        <w:tblStyle w:val="TableGrid"/>
        <w:tblW w:w="9493" w:type="dxa"/>
        <w:tblLook w:val="04A0" w:firstRow="1" w:lastRow="0" w:firstColumn="1" w:lastColumn="0" w:noHBand="0" w:noVBand="1"/>
      </w:tblPr>
      <w:tblGrid>
        <w:gridCol w:w="1243"/>
        <w:gridCol w:w="879"/>
        <w:gridCol w:w="567"/>
        <w:gridCol w:w="539"/>
        <w:gridCol w:w="736"/>
        <w:gridCol w:w="709"/>
        <w:gridCol w:w="652"/>
        <w:gridCol w:w="669"/>
        <w:gridCol w:w="436"/>
        <w:gridCol w:w="1390"/>
        <w:gridCol w:w="601"/>
        <w:gridCol w:w="1072"/>
      </w:tblGrid>
      <w:tr w:rsidR="00842AB8" w:rsidRPr="00842AB8" w14:paraId="57B98A24" w14:textId="77777777" w:rsidTr="00842AB8">
        <w:tc>
          <w:tcPr>
            <w:tcW w:w="1243" w:type="dxa"/>
          </w:tcPr>
          <w:p w14:paraId="46273A10" w14:textId="77777777" w:rsidR="00990F18" w:rsidRPr="00842AB8" w:rsidRDefault="00BD2F70" w:rsidP="00842AB8">
            <w:pPr>
              <w:spacing w:after="0" w:line="240" w:lineRule="auto"/>
              <w:jc w:val="left"/>
              <w:rPr>
                <w:sz w:val="22"/>
              </w:rPr>
            </w:pPr>
            <w:r w:rsidRPr="00842AB8">
              <w:rPr>
                <w:b/>
                <w:sz w:val="22"/>
              </w:rPr>
              <w:t>Group</w:t>
            </w:r>
          </w:p>
        </w:tc>
        <w:tc>
          <w:tcPr>
            <w:tcW w:w="879" w:type="dxa"/>
          </w:tcPr>
          <w:p w14:paraId="69EB4C7B" w14:textId="77777777" w:rsidR="00990F18" w:rsidRPr="00842AB8" w:rsidRDefault="00BD2F70" w:rsidP="00842AB8">
            <w:pPr>
              <w:spacing w:after="0" w:line="240" w:lineRule="auto"/>
              <w:jc w:val="center"/>
              <w:rPr>
                <w:sz w:val="22"/>
              </w:rPr>
            </w:pPr>
            <w:r w:rsidRPr="00842AB8">
              <w:rPr>
                <w:b/>
                <w:sz w:val="22"/>
              </w:rPr>
              <w:t>GSCI</w:t>
            </w:r>
          </w:p>
        </w:tc>
        <w:tc>
          <w:tcPr>
            <w:tcW w:w="567" w:type="dxa"/>
          </w:tcPr>
          <w:p w14:paraId="02E1EE44" w14:textId="77777777" w:rsidR="00990F18" w:rsidRPr="00842AB8" w:rsidRDefault="00BD2F70" w:rsidP="00842AB8">
            <w:pPr>
              <w:spacing w:after="0" w:line="240" w:lineRule="auto"/>
              <w:jc w:val="center"/>
              <w:rPr>
                <w:sz w:val="22"/>
              </w:rPr>
            </w:pPr>
            <w:r w:rsidRPr="00842AB8">
              <w:rPr>
                <w:b/>
                <w:sz w:val="22"/>
              </w:rPr>
              <w:t>RP</w:t>
            </w:r>
          </w:p>
        </w:tc>
        <w:tc>
          <w:tcPr>
            <w:tcW w:w="539" w:type="dxa"/>
          </w:tcPr>
          <w:p w14:paraId="307E698A" w14:textId="77777777" w:rsidR="00990F18" w:rsidRPr="00842AB8" w:rsidRDefault="00BD2F70" w:rsidP="00842AB8">
            <w:pPr>
              <w:spacing w:after="0" w:line="240" w:lineRule="auto"/>
              <w:jc w:val="center"/>
              <w:rPr>
                <w:sz w:val="22"/>
              </w:rPr>
            </w:pPr>
            <w:r w:rsidRPr="00842AB8">
              <w:rPr>
                <w:b/>
                <w:sz w:val="22"/>
              </w:rPr>
              <w:t>DI</w:t>
            </w:r>
          </w:p>
        </w:tc>
        <w:tc>
          <w:tcPr>
            <w:tcW w:w="736" w:type="dxa"/>
          </w:tcPr>
          <w:p w14:paraId="7CA3ADDF" w14:textId="77777777" w:rsidR="00990F18" w:rsidRPr="00842AB8" w:rsidRDefault="00BD2F70" w:rsidP="00842AB8">
            <w:pPr>
              <w:spacing w:after="0" w:line="240" w:lineRule="auto"/>
              <w:jc w:val="center"/>
              <w:rPr>
                <w:sz w:val="22"/>
              </w:rPr>
            </w:pPr>
            <w:r w:rsidRPr="00842AB8">
              <w:rPr>
                <w:b/>
                <w:sz w:val="22"/>
              </w:rPr>
              <w:t>TMC</w:t>
            </w:r>
          </w:p>
        </w:tc>
        <w:tc>
          <w:tcPr>
            <w:tcW w:w="709" w:type="dxa"/>
          </w:tcPr>
          <w:p w14:paraId="2E523395" w14:textId="77777777" w:rsidR="00990F18" w:rsidRPr="00842AB8" w:rsidRDefault="00BD2F70" w:rsidP="00842AB8">
            <w:pPr>
              <w:spacing w:after="0" w:line="240" w:lineRule="auto"/>
              <w:jc w:val="center"/>
              <w:rPr>
                <w:sz w:val="22"/>
              </w:rPr>
            </w:pPr>
            <w:r w:rsidRPr="00842AB8">
              <w:rPr>
                <w:b/>
                <w:sz w:val="22"/>
              </w:rPr>
              <w:t>SP</w:t>
            </w:r>
          </w:p>
        </w:tc>
        <w:tc>
          <w:tcPr>
            <w:tcW w:w="652" w:type="dxa"/>
          </w:tcPr>
          <w:p w14:paraId="2291A071" w14:textId="77777777" w:rsidR="00990F18" w:rsidRPr="00842AB8" w:rsidRDefault="00BD2F70" w:rsidP="00842AB8">
            <w:pPr>
              <w:spacing w:after="0" w:line="240" w:lineRule="auto"/>
              <w:jc w:val="center"/>
              <w:rPr>
                <w:sz w:val="22"/>
              </w:rPr>
            </w:pPr>
            <w:r w:rsidRPr="00842AB8">
              <w:rPr>
                <w:b/>
                <w:sz w:val="22"/>
              </w:rPr>
              <w:t>CBI</w:t>
            </w:r>
          </w:p>
        </w:tc>
        <w:tc>
          <w:tcPr>
            <w:tcW w:w="669" w:type="dxa"/>
          </w:tcPr>
          <w:p w14:paraId="47C4C333" w14:textId="77777777" w:rsidR="00990F18" w:rsidRPr="00842AB8" w:rsidRDefault="00BD2F70" w:rsidP="00842AB8">
            <w:pPr>
              <w:spacing w:after="0" w:line="240" w:lineRule="auto"/>
              <w:jc w:val="center"/>
              <w:rPr>
                <w:sz w:val="22"/>
              </w:rPr>
            </w:pPr>
            <w:r w:rsidRPr="00842AB8">
              <w:rPr>
                <w:b/>
                <w:sz w:val="22"/>
              </w:rPr>
              <w:t>KSR</w:t>
            </w:r>
          </w:p>
        </w:tc>
        <w:tc>
          <w:tcPr>
            <w:tcW w:w="436" w:type="dxa"/>
          </w:tcPr>
          <w:p w14:paraId="6281658D" w14:textId="77777777" w:rsidR="00990F18" w:rsidRPr="00842AB8" w:rsidRDefault="00BD2F70" w:rsidP="00842AB8">
            <w:pPr>
              <w:spacing w:after="0" w:line="240" w:lineRule="auto"/>
              <w:jc w:val="center"/>
              <w:rPr>
                <w:sz w:val="22"/>
              </w:rPr>
            </w:pPr>
            <w:r w:rsidRPr="00842AB8">
              <w:rPr>
                <w:b/>
                <w:sz w:val="22"/>
              </w:rPr>
              <w:t>n</w:t>
            </w:r>
          </w:p>
        </w:tc>
        <w:tc>
          <w:tcPr>
            <w:tcW w:w="1390" w:type="dxa"/>
          </w:tcPr>
          <w:p w14:paraId="1921ACE3" w14:textId="49117991" w:rsidR="00990F18" w:rsidRPr="00842AB8" w:rsidRDefault="00BD2F70" w:rsidP="00842AB8">
            <w:pPr>
              <w:spacing w:after="0" w:line="240" w:lineRule="auto"/>
              <w:jc w:val="center"/>
              <w:rPr>
                <w:sz w:val="22"/>
              </w:rPr>
            </w:pPr>
            <w:r w:rsidRPr="00842AB8">
              <w:rPr>
                <w:b/>
                <w:sz w:val="22"/>
              </w:rPr>
              <w:t>Raw consist</w:t>
            </w:r>
            <w:r w:rsidR="00C25BF1">
              <w:rPr>
                <w:b/>
                <w:sz w:val="22"/>
              </w:rPr>
              <w:t>s</w:t>
            </w:r>
            <w:r w:rsidRPr="00842AB8">
              <w:rPr>
                <w:b/>
                <w:sz w:val="22"/>
              </w:rPr>
              <w:t>.</w:t>
            </w:r>
          </w:p>
        </w:tc>
        <w:tc>
          <w:tcPr>
            <w:tcW w:w="601" w:type="dxa"/>
          </w:tcPr>
          <w:p w14:paraId="3BF25210" w14:textId="77777777" w:rsidR="00990F18" w:rsidRPr="00842AB8" w:rsidRDefault="00BD2F70" w:rsidP="00842AB8">
            <w:pPr>
              <w:spacing w:after="0" w:line="240" w:lineRule="auto"/>
              <w:jc w:val="center"/>
              <w:rPr>
                <w:sz w:val="22"/>
              </w:rPr>
            </w:pPr>
            <w:r w:rsidRPr="00842AB8">
              <w:rPr>
                <w:b/>
                <w:sz w:val="22"/>
              </w:rPr>
              <w:t>PRI</w:t>
            </w:r>
          </w:p>
        </w:tc>
        <w:tc>
          <w:tcPr>
            <w:tcW w:w="1072" w:type="dxa"/>
          </w:tcPr>
          <w:p w14:paraId="5A43023B" w14:textId="77777777" w:rsidR="00990F18" w:rsidRPr="00842AB8" w:rsidRDefault="00BD2F70" w:rsidP="00842AB8">
            <w:pPr>
              <w:spacing w:after="0" w:line="240" w:lineRule="auto"/>
              <w:jc w:val="center"/>
              <w:rPr>
                <w:sz w:val="22"/>
              </w:rPr>
            </w:pPr>
            <w:r w:rsidRPr="00842AB8">
              <w:rPr>
                <w:b/>
                <w:sz w:val="22"/>
              </w:rPr>
              <w:t>Outcome</w:t>
            </w:r>
          </w:p>
        </w:tc>
      </w:tr>
      <w:tr w:rsidR="00842AB8" w:rsidRPr="00842AB8" w14:paraId="6C1FBA65" w14:textId="77777777" w:rsidTr="00842AB8">
        <w:tc>
          <w:tcPr>
            <w:tcW w:w="1243" w:type="dxa"/>
          </w:tcPr>
          <w:p w14:paraId="03F578D3"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7B28DFC9" w14:textId="77777777" w:rsidR="00990F18" w:rsidRPr="00842AB8" w:rsidRDefault="00BD2F70" w:rsidP="00842AB8">
            <w:pPr>
              <w:spacing w:after="0" w:line="240" w:lineRule="auto"/>
              <w:jc w:val="center"/>
              <w:rPr>
                <w:sz w:val="22"/>
              </w:rPr>
            </w:pPr>
            <w:r w:rsidRPr="00842AB8">
              <w:rPr>
                <w:sz w:val="22"/>
              </w:rPr>
              <w:t>0</w:t>
            </w:r>
          </w:p>
        </w:tc>
        <w:tc>
          <w:tcPr>
            <w:tcW w:w="567" w:type="dxa"/>
          </w:tcPr>
          <w:p w14:paraId="6A1E1781" w14:textId="77777777" w:rsidR="00990F18" w:rsidRPr="00842AB8" w:rsidRDefault="00BD2F70" w:rsidP="00842AB8">
            <w:pPr>
              <w:spacing w:after="0" w:line="240" w:lineRule="auto"/>
              <w:jc w:val="center"/>
              <w:rPr>
                <w:sz w:val="22"/>
              </w:rPr>
            </w:pPr>
            <w:r w:rsidRPr="00842AB8">
              <w:rPr>
                <w:sz w:val="22"/>
              </w:rPr>
              <w:t>1</w:t>
            </w:r>
          </w:p>
        </w:tc>
        <w:tc>
          <w:tcPr>
            <w:tcW w:w="539" w:type="dxa"/>
          </w:tcPr>
          <w:p w14:paraId="1F78A8E0"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F35A43" w14:textId="77777777" w:rsidR="00990F18" w:rsidRPr="00842AB8" w:rsidRDefault="00BD2F70" w:rsidP="00842AB8">
            <w:pPr>
              <w:spacing w:after="0" w:line="240" w:lineRule="auto"/>
              <w:jc w:val="center"/>
              <w:rPr>
                <w:sz w:val="22"/>
              </w:rPr>
            </w:pPr>
            <w:r w:rsidRPr="00842AB8">
              <w:rPr>
                <w:sz w:val="22"/>
              </w:rPr>
              <w:t>1</w:t>
            </w:r>
          </w:p>
        </w:tc>
        <w:tc>
          <w:tcPr>
            <w:tcW w:w="709" w:type="dxa"/>
          </w:tcPr>
          <w:p w14:paraId="7CDAA1B7"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A7AE08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0705001A" w14:textId="77777777" w:rsidR="00990F18" w:rsidRPr="00842AB8" w:rsidRDefault="00BD2F70" w:rsidP="00842AB8">
            <w:pPr>
              <w:spacing w:after="0" w:line="240" w:lineRule="auto"/>
              <w:jc w:val="center"/>
              <w:rPr>
                <w:sz w:val="22"/>
              </w:rPr>
            </w:pPr>
            <w:r w:rsidRPr="00842AB8">
              <w:rPr>
                <w:sz w:val="22"/>
              </w:rPr>
              <w:t>0</w:t>
            </w:r>
          </w:p>
        </w:tc>
        <w:tc>
          <w:tcPr>
            <w:tcW w:w="436" w:type="dxa"/>
          </w:tcPr>
          <w:p w14:paraId="65E1A37C" w14:textId="77777777" w:rsidR="00990F18" w:rsidRPr="00842AB8" w:rsidRDefault="00BD2F70" w:rsidP="00842AB8">
            <w:pPr>
              <w:spacing w:after="0" w:line="240" w:lineRule="auto"/>
              <w:jc w:val="center"/>
              <w:rPr>
                <w:sz w:val="22"/>
              </w:rPr>
            </w:pPr>
            <w:r w:rsidRPr="00842AB8">
              <w:rPr>
                <w:sz w:val="22"/>
              </w:rPr>
              <w:t>14</w:t>
            </w:r>
          </w:p>
        </w:tc>
        <w:tc>
          <w:tcPr>
            <w:tcW w:w="1390" w:type="dxa"/>
          </w:tcPr>
          <w:p w14:paraId="1C49B52C" w14:textId="77777777" w:rsidR="00990F18" w:rsidRPr="00842AB8" w:rsidRDefault="00BD2F70" w:rsidP="00842AB8">
            <w:pPr>
              <w:spacing w:after="0" w:line="240" w:lineRule="auto"/>
              <w:jc w:val="center"/>
              <w:rPr>
                <w:sz w:val="22"/>
              </w:rPr>
            </w:pPr>
            <w:r w:rsidRPr="00842AB8">
              <w:rPr>
                <w:sz w:val="22"/>
              </w:rPr>
              <w:t>0.88</w:t>
            </w:r>
          </w:p>
        </w:tc>
        <w:tc>
          <w:tcPr>
            <w:tcW w:w="601" w:type="dxa"/>
          </w:tcPr>
          <w:p w14:paraId="52B82CC1" w14:textId="77777777" w:rsidR="00990F18" w:rsidRPr="00842AB8" w:rsidRDefault="00BD2F70" w:rsidP="00842AB8">
            <w:pPr>
              <w:spacing w:after="0" w:line="240" w:lineRule="auto"/>
              <w:jc w:val="center"/>
              <w:rPr>
                <w:sz w:val="22"/>
              </w:rPr>
            </w:pPr>
            <w:r w:rsidRPr="00842AB8">
              <w:rPr>
                <w:sz w:val="22"/>
              </w:rPr>
              <w:t>0.84</w:t>
            </w:r>
          </w:p>
        </w:tc>
        <w:tc>
          <w:tcPr>
            <w:tcW w:w="1072" w:type="dxa"/>
          </w:tcPr>
          <w:p w14:paraId="7E99C4CC"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0E01F146" w14:textId="77777777" w:rsidTr="00842AB8">
        <w:tc>
          <w:tcPr>
            <w:tcW w:w="1243" w:type="dxa"/>
          </w:tcPr>
          <w:p w14:paraId="183EB14D"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38248D2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6D47AAC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71700C3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920F38" w14:textId="77777777" w:rsidR="00990F18" w:rsidRPr="00842AB8" w:rsidRDefault="00BD2F70" w:rsidP="00842AB8">
            <w:pPr>
              <w:spacing w:after="0" w:line="240" w:lineRule="auto"/>
              <w:jc w:val="center"/>
              <w:rPr>
                <w:sz w:val="22"/>
              </w:rPr>
            </w:pPr>
            <w:r w:rsidRPr="00842AB8">
              <w:rPr>
                <w:sz w:val="22"/>
              </w:rPr>
              <w:t>0</w:t>
            </w:r>
          </w:p>
        </w:tc>
        <w:tc>
          <w:tcPr>
            <w:tcW w:w="709" w:type="dxa"/>
          </w:tcPr>
          <w:p w14:paraId="685EC4D0" w14:textId="77777777" w:rsidR="00990F18" w:rsidRPr="00842AB8" w:rsidRDefault="00BD2F70" w:rsidP="00842AB8">
            <w:pPr>
              <w:spacing w:after="0" w:line="240" w:lineRule="auto"/>
              <w:jc w:val="center"/>
              <w:rPr>
                <w:sz w:val="22"/>
              </w:rPr>
            </w:pPr>
            <w:r w:rsidRPr="00842AB8">
              <w:rPr>
                <w:sz w:val="22"/>
              </w:rPr>
              <w:t>1</w:t>
            </w:r>
          </w:p>
        </w:tc>
        <w:tc>
          <w:tcPr>
            <w:tcW w:w="652" w:type="dxa"/>
          </w:tcPr>
          <w:p w14:paraId="16B147F1"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A219D01"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690E888" w14:textId="77777777" w:rsidR="00990F18" w:rsidRPr="00842AB8" w:rsidRDefault="00BD2F70" w:rsidP="00842AB8">
            <w:pPr>
              <w:spacing w:after="0" w:line="240" w:lineRule="auto"/>
              <w:jc w:val="center"/>
              <w:rPr>
                <w:sz w:val="22"/>
              </w:rPr>
            </w:pPr>
            <w:r w:rsidRPr="00842AB8">
              <w:rPr>
                <w:sz w:val="22"/>
              </w:rPr>
              <w:t>11</w:t>
            </w:r>
          </w:p>
        </w:tc>
        <w:tc>
          <w:tcPr>
            <w:tcW w:w="1390" w:type="dxa"/>
          </w:tcPr>
          <w:p w14:paraId="603599F2" w14:textId="77777777" w:rsidR="00990F18" w:rsidRPr="00842AB8" w:rsidRDefault="00BD2F70" w:rsidP="00842AB8">
            <w:pPr>
              <w:spacing w:after="0" w:line="240" w:lineRule="auto"/>
              <w:jc w:val="center"/>
              <w:rPr>
                <w:sz w:val="22"/>
              </w:rPr>
            </w:pPr>
            <w:r w:rsidRPr="00842AB8">
              <w:rPr>
                <w:sz w:val="22"/>
              </w:rPr>
              <w:t>0.86</w:t>
            </w:r>
          </w:p>
        </w:tc>
        <w:tc>
          <w:tcPr>
            <w:tcW w:w="601" w:type="dxa"/>
          </w:tcPr>
          <w:p w14:paraId="035FD260" w14:textId="77777777" w:rsidR="00990F18" w:rsidRPr="00842AB8" w:rsidRDefault="00BD2F70" w:rsidP="00842AB8">
            <w:pPr>
              <w:spacing w:after="0" w:line="240" w:lineRule="auto"/>
              <w:jc w:val="center"/>
              <w:rPr>
                <w:sz w:val="22"/>
              </w:rPr>
            </w:pPr>
            <w:r w:rsidRPr="00842AB8">
              <w:rPr>
                <w:sz w:val="22"/>
              </w:rPr>
              <w:t>0.81</w:t>
            </w:r>
          </w:p>
        </w:tc>
        <w:tc>
          <w:tcPr>
            <w:tcW w:w="1072" w:type="dxa"/>
          </w:tcPr>
          <w:p w14:paraId="0E16713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5799B536" w14:textId="77777777" w:rsidTr="00842AB8">
        <w:tc>
          <w:tcPr>
            <w:tcW w:w="1243" w:type="dxa"/>
          </w:tcPr>
          <w:p w14:paraId="7B91B6EF"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2023EAFC"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CFA7847" w14:textId="77777777" w:rsidR="00990F18" w:rsidRPr="00842AB8" w:rsidRDefault="00BD2F70" w:rsidP="00842AB8">
            <w:pPr>
              <w:spacing w:after="0" w:line="240" w:lineRule="auto"/>
              <w:jc w:val="center"/>
              <w:rPr>
                <w:sz w:val="22"/>
              </w:rPr>
            </w:pPr>
            <w:r w:rsidRPr="00842AB8">
              <w:rPr>
                <w:sz w:val="22"/>
              </w:rPr>
              <w:t>1</w:t>
            </w:r>
          </w:p>
        </w:tc>
        <w:tc>
          <w:tcPr>
            <w:tcW w:w="539" w:type="dxa"/>
          </w:tcPr>
          <w:p w14:paraId="4FE4EE25" w14:textId="77777777" w:rsidR="00990F18" w:rsidRPr="00842AB8" w:rsidRDefault="00BD2F70" w:rsidP="00842AB8">
            <w:pPr>
              <w:spacing w:after="0" w:line="240" w:lineRule="auto"/>
              <w:jc w:val="center"/>
              <w:rPr>
                <w:sz w:val="22"/>
              </w:rPr>
            </w:pPr>
            <w:r w:rsidRPr="00842AB8">
              <w:rPr>
                <w:sz w:val="22"/>
              </w:rPr>
              <w:t>0</w:t>
            </w:r>
          </w:p>
        </w:tc>
        <w:tc>
          <w:tcPr>
            <w:tcW w:w="736" w:type="dxa"/>
          </w:tcPr>
          <w:p w14:paraId="1C90DDAE"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C9526B0" w14:textId="77777777" w:rsidR="00990F18" w:rsidRPr="00842AB8" w:rsidRDefault="00BD2F70" w:rsidP="00842AB8">
            <w:pPr>
              <w:spacing w:after="0" w:line="240" w:lineRule="auto"/>
              <w:jc w:val="center"/>
              <w:rPr>
                <w:sz w:val="22"/>
              </w:rPr>
            </w:pPr>
            <w:r w:rsidRPr="00842AB8">
              <w:rPr>
                <w:sz w:val="22"/>
              </w:rPr>
              <w:t>0</w:t>
            </w:r>
          </w:p>
        </w:tc>
        <w:tc>
          <w:tcPr>
            <w:tcW w:w="652" w:type="dxa"/>
          </w:tcPr>
          <w:p w14:paraId="00FA1CE9"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633CA9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EF1828" w14:textId="77777777" w:rsidR="00990F18" w:rsidRPr="00842AB8" w:rsidRDefault="00BD2F70" w:rsidP="00842AB8">
            <w:pPr>
              <w:spacing w:after="0" w:line="240" w:lineRule="auto"/>
              <w:jc w:val="center"/>
              <w:rPr>
                <w:sz w:val="22"/>
              </w:rPr>
            </w:pPr>
            <w:r w:rsidRPr="00842AB8">
              <w:rPr>
                <w:sz w:val="22"/>
              </w:rPr>
              <w:t>9</w:t>
            </w:r>
          </w:p>
        </w:tc>
        <w:tc>
          <w:tcPr>
            <w:tcW w:w="1390" w:type="dxa"/>
          </w:tcPr>
          <w:p w14:paraId="7E7EA90E" w14:textId="77777777" w:rsidR="00990F18" w:rsidRPr="00842AB8" w:rsidRDefault="00BD2F70" w:rsidP="00842AB8">
            <w:pPr>
              <w:spacing w:after="0" w:line="240" w:lineRule="auto"/>
              <w:jc w:val="center"/>
              <w:rPr>
                <w:sz w:val="22"/>
              </w:rPr>
            </w:pPr>
            <w:r w:rsidRPr="00842AB8">
              <w:rPr>
                <w:sz w:val="22"/>
              </w:rPr>
              <w:t>0.74</w:t>
            </w:r>
          </w:p>
        </w:tc>
        <w:tc>
          <w:tcPr>
            <w:tcW w:w="601" w:type="dxa"/>
          </w:tcPr>
          <w:p w14:paraId="5C28839B" w14:textId="77777777" w:rsidR="00990F18" w:rsidRPr="00842AB8" w:rsidRDefault="00BD2F70" w:rsidP="00842AB8">
            <w:pPr>
              <w:spacing w:after="0" w:line="240" w:lineRule="auto"/>
              <w:jc w:val="center"/>
              <w:rPr>
                <w:sz w:val="22"/>
              </w:rPr>
            </w:pPr>
            <w:r w:rsidRPr="00842AB8">
              <w:rPr>
                <w:sz w:val="22"/>
              </w:rPr>
              <w:t>0.69</w:t>
            </w:r>
          </w:p>
        </w:tc>
        <w:tc>
          <w:tcPr>
            <w:tcW w:w="1072" w:type="dxa"/>
          </w:tcPr>
          <w:p w14:paraId="194DC56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36EC3706" w14:textId="77777777" w:rsidTr="00842AB8">
        <w:tc>
          <w:tcPr>
            <w:tcW w:w="1243" w:type="dxa"/>
          </w:tcPr>
          <w:p w14:paraId="3EC9C171"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5D0EEA4F" w14:textId="77777777" w:rsidR="00990F18" w:rsidRPr="00842AB8" w:rsidRDefault="00BD2F70" w:rsidP="00842AB8">
            <w:pPr>
              <w:spacing w:after="0" w:line="240" w:lineRule="auto"/>
              <w:jc w:val="center"/>
              <w:rPr>
                <w:sz w:val="22"/>
              </w:rPr>
            </w:pPr>
            <w:r w:rsidRPr="00842AB8">
              <w:rPr>
                <w:sz w:val="22"/>
              </w:rPr>
              <w:t>1</w:t>
            </w:r>
          </w:p>
        </w:tc>
        <w:tc>
          <w:tcPr>
            <w:tcW w:w="567" w:type="dxa"/>
          </w:tcPr>
          <w:p w14:paraId="203FC5DF" w14:textId="77777777" w:rsidR="00990F18" w:rsidRPr="00842AB8" w:rsidRDefault="00BD2F70" w:rsidP="00842AB8">
            <w:pPr>
              <w:spacing w:after="0" w:line="240" w:lineRule="auto"/>
              <w:jc w:val="center"/>
              <w:rPr>
                <w:sz w:val="22"/>
              </w:rPr>
            </w:pPr>
            <w:r w:rsidRPr="00842AB8">
              <w:rPr>
                <w:sz w:val="22"/>
              </w:rPr>
              <w:t>0</w:t>
            </w:r>
          </w:p>
        </w:tc>
        <w:tc>
          <w:tcPr>
            <w:tcW w:w="539" w:type="dxa"/>
          </w:tcPr>
          <w:p w14:paraId="4996C870" w14:textId="77777777" w:rsidR="00990F18" w:rsidRPr="00842AB8" w:rsidRDefault="00BD2F70" w:rsidP="00842AB8">
            <w:pPr>
              <w:spacing w:after="0" w:line="240" w:lineRule="auto"/>
              <w:jc w:val="center"/>
              <w:rPr>
                <w:sz w:val="22"/>
              </w:rPr>
            </w:pPr>
            <w:r w:rsidRPr="00842AB8">
              <w:rPr>
                <w:sz w:val="22"/>
              </w:rPr>
              <w:t>1</w:t>
            </w:r>
          </w:p>
        </w:tc>
        <w:tc>
          <w:tcPr>
            <w:tcW w:w="736" w:type="dxa"/>
          </w:tcPr>
          <w:p w14:paraId="38945504" w14:textId="77777777" w:rsidR="00990F18" w:rsidRPr="00842AB8" w:rsidRDefault="00BD2F70" w:rsidP="00842AB8">
            <w:pPr>
              <w:spacing w:after="0" w:line="240" w:lineRule="auto"/>
              <w:jc w:val="center"/>
              <w:rPr>
                <w:sz w:val="22"/>
              </w:rPr>
            </w:pPr>
            <w:r w:rsidRPr="00842AB8">
              <w:rPr>
                <w:sz w:val="22"/>
              </w:rPr>
              <w:t>1</w:t>
            </w:r>
          </w:p>
        </w:tc>
        <w:tc>
          <w:tcPr>
            <w:tcW w:w="709" w:type="dxa"/>
          </w:tcPr>
          <w:p w14:paraId="2D8E5C9C" w14:textId="77777777" w:rsidR="00990F18" w:rsidRPr="00842AB8" w:rsidRDefault="00BD2F70" w:rsidP="00842AB8">
            <w:pPr>
              <w:spacing w:after="0" w:line="240" w:lineRule="auto"/>
              <w:jc w:val="center"/>
              <w:rPr>
                <w:sz w:val="22"/>
              </w:rPr>
            </w:pPr>
            <w:r w:rsidRPr="00842AB8">
              <w:rPr>
                <w:sz w:val="22"/>
              </w:rPr>
              <w:t>0</w:t>
            </w:r>
          </w:p>
        </w:tc>
        <w:tc>
          <w:tcPr>
            <w:tcW w:w="652" w:type="dxa"/>
          </w:tcPr>
          <w:p w14:paraId="4983A49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A4D049F" w14:textId="77777777" w:rsidR="00990F18" w:rsidRPr="00842AB8" w:rsidRDefault="00BD2F70" w:rsidP="00842AB8">
            <w:pPr>
              <w:spacing w:after="0" w:line="240" w:lineRule="auto"/>
              <w:jc w:val="center"/>
              <w:rPr>
                <w:sz w:val="22"/>
              </w:rPr>
            </w:pPr>
            <w:r w:rsidRPr="00842AB8">
              <w:rPr>
                <w:sz w:val="22"/>
              </w:rPr>
              <w:t>1</w:t>
            </w:r>
          </w:p>
        </w:tc>
        <w:tc>
          <w:tcPr>
            <w:tcW w:w="436" w:type="dxa"/>
          </w:tcPr>
          <w:p w14:paraId="57B73F92" w14:textId="77777777" w:rsidR="00990F18" w:rsidRPr="00842AB8" w:rsidRDefault="00BD2F70" w:rsidP="00842AB8">
            <w:pPr>
              <w:spacing w:after="0" w:line="240" w:lineRule="auto"/>
              <w:jc w:val="center"/>
              <w:rPr>
                <w:sz w:val="22"/>
              </w:rPr>
            </w:pPr>
            <w:r w:rsidRPr="00842AB8">
              <w:rPr>
                <w:sz w:val="22"/>
              </w:rPr>
              <w:t>6</w:t>
            </w:r>
          </w:p>
        </w:tc>
        <w:tc>
          <w:tcPr>
            <w:tcW w:w="1390" w:type="dxa"/>
          </w:tcPr>
          <w:p w14:paraId="2C0EAEE3" w14:textId="77777777" w:rsidR="00990F18" w:rsidRPr="00842AB8" w:rsidRDefault="00BD2F70" w:rsidP="00842AB8">
            <w:pPr>
              <w:spacing w:after="0" w:line="240" w:lineRule="auto"/>
              <w:jc w:val="center"/>
              <w:rPr>
                <w:sz w:val="22"/>
              </w:rPr>
            </w:pPr>
            <w:r w:rsidRPr="00842AB8">
              <w:rPr>
                <w:sz w:val="22"/>
              </w:rPr>
              <w:t>0.68</w:t>
            </w:r>
          </w:p>
        </w:tc>
        <w:tc>
          <w:tcPr>
            <w:tcW w:w="601" w:type="dxa"/>
          </w:tcPr>
          <w:p w14:paraId="4A58150E" w14:textId="77777777" w:rsidR="00990F18" w:rsidRPr="00842AB8" w:rsidRDefault="00BD2F70" w:rsidP="00842AB8">
            <w:pPr>
              <w:spacing w:after="0" w:line="240" w:lineRule="auto"/>
              <w:jc w:val="center"/>
              <w:rPr>
                <w:sz w:val="22"/>
              </w:rPr>
            </w:pPr>
            <w:r w:rsidRPr="00842AB8">
              <w:rPr>
                <w:sz w:val="22"/>
              </w:rPr>
              <w:t>0.60</w:t>
            </w:r>
          </w:p>
        </w:tc>
        <w:tc>
          <w:tcPr>
            <w:tcW w:w="1072" w:type="dxa"/>
          </w:tcPr>
          <w:p w14:paraId="302C84B7"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64068B7" w14:textId="77777777" w:rsidTr="00842AB8">
        <w:tc>
          <w:tcPr>
            <w:tcW w:w="1243" w:type="dxa"/>
          </w:tcPr>
          <w:p w14:paraId="1F07B327"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0570AE12" w14:textId="77777777" w:rsidR="00990F18" w:rsidRPr="00842AB8" w:rsidRDefault="00BD2F70" w:rsidP="00842AB8">
            <w:pPr>
              <w:spacing w:after="0" w:line="240" w:lineRule="auto"/>
              <w:jc w:val="center"/>
              <w:rPr>
                <w:sz w:val="22"/>
              </w:rPr>
            </w:pPr>
            <w:r w:rsidRPr="00842AB8">
              <w:rPr>
                <w:sz w:val="22"/>
              </w:rPr>
              <w:t>0</w:t>
            </w:r>
          </w:p>
        </w:tc>
        <w:tc>
          <w:tcPr>
            <w:tcW w:w="567" w:type="dxa"/>
          </w:tcPr>
          <w:p w14:paraId="4ED2A648"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241E569" w14:textId="77777777" w:rsidR="00990F18" w:rsidRPr="00842AB8" w:rsidRDefault="00BD2F70" w:rsidP="00842AB8">
            <w:pPr>
              <w:spacing w:after="0" w:line="240" w:lineRule="auto"/>
              <w:jc w:val="center"/>
              <w:rPr>
                <w:sz w:val="22"/>
              </w:rPr>
            </w:pPr>
            <w:r w:rsidRPr="00842AB8">
              <w:rPr>
                <w:sz w:val="22"/>
              </w:rPr>
              <w:t>0</w:t>
            </w:r>
          </w:p>
        </w:tc>
        <w:tc>
          <w:tcPr>
            <w:tcW w:w="736" w:type="dxa"/>
          </w:tcPr>
          <w:p w14:paraId="350AAB09"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550537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259EA285"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1CD9B4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7CA361A" w14:textId="77777777" w:rsidR="00990F18" w:rsidRPr="00842AB8" w:rsidRDefault="00BD2F70" w:rsidP="00842AB8">
            <w:pPr>
              <w:spacing w:after="0" w:line="240" w:lineRule="auto"/>
              <w:jc w:val="center"/>
              <w:rPr>
                <w:sz w:val="22"/>
              </w:rPr>
            </w:pPr>
            <w:r w:rsidRPr="00842AB8">
              <w:rPr>
                <w:sz w:val="22"/>
              </w:rPr>
              <w:t>8</w:t>
            </w:r>
          </w:p>
        </w:tc>
        <w:tc>
          <w:tcPr>
            <w:tcW w:w="1390" w:type="dxa"/>
          </w:tcPr>
          <w:p w14:paraId="038A5858" w14:textId="77777777" w:rsidR="00990F18" w:rsidRPr="00842AB8" w:rsidRDefault="00BD2F70" w:rsidP="00842AB8">
            <w:pPr>
              <w:spacing w:after="0" w:line="240" w:lineRule="auto"/>
              <w:jc w:val="center"/>
              <w:rPr>
                <w:sz w:val="22"/>
              </w:rPr>
            </w:pPr>
            <w:r w:rsidRPr="00842AB8">
              <w:rPr>
                <w:sz w:val="22"/>
              </w:rPr>
              <w:t>0.41</w:t>
            </w:r>
          </w:p>
        </w:tc>
        <w:tc>
          <w:tcPr>
            <w:tcW w:w="601" w:type="dxa"/>
          </w:tcPr>
          <w:p w14:paraId="6D6BD3B9" w14:textId="77777777" w:rsidR="00990F18" w:rsidRPr="00842AB8" w:rsidRDefault="00BD2F70" w:rsidP="00842AB8">
            <w:pPr>
              <w:spacing w:after="0" w:line="240" w:lineRule="auto"/>
              <w:jc w:val="center"/>
              <w:rPr>
                <w:sz w:val="22"/>
              </w:rPr>
            </w:pPr>
            <w:r w:rsidRPr="00842AB8">
              <w:rPr>
                <w:sz w:val="22"/>
              </w:rPr>
              <w:t>0.36</w:t>
            </w:r>
          </w:p>
        </w:tc>
        <w:tc>
          <w:tcPr>
            <w:tcW w:w="1072" w:type="dxa"/>
          </w:tcPr>
          <w:p w14:paraId="5CA66368"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52CEE210" w14:textId="77777777" w:rsidTr="00842AB8">
        <w:tc>
          <w:tcPr>
            <w:tcW w:w="1243" w:type="dxa"/>
          </w:tcPr>
          <w:p w14:paraId="1FFE2FD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57D17A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5B013A6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59299DD6" w14:textId="77777777" w:rsidR="00990F18" w:rsidRPr="00842AB8" w:rsidRDefault="00BD2F70" w:rsidP="00842AB8">
            <w:pPr>
              <w:spacing w:after="0" w:line="240" w:lineRule="auto"/>
              <w:jc w:val="center"/>
              <w:rPr>
                <w:sz w:val="22"/>
              </w:rPr>
            </w:pPr>
            <w:r w:rsidRPr="00842AB8">
              <w:rPr>
                <w:sz w:val="22"/>
              </w:rPr>
              <w:t>1</w:t>
            </w:r>
          </w:p>
        </w:tc>
        <w:tc>
          <w:tcPr>
            <w:tcW w:w="736" w:type="dxa"/>
          </w:tcPr>
          <w:p w14:paraId="2C990B96" w14:textId="77777777" w:rsidR="00990F18" w:rsidRPr="00842AB8" w:rsidRDefault="00BD2F70" w:rsidP="00842AB8">
            <w:pPr>
              <w:spacing w:after="0" w:line="240" w:lineRule="auto"/>
              <w:jc w:val="center"/>
              <w:rPr>
                <w:sz w:val="22"/>
              </w:rPr>
            </w:pPr>
            <w:r w:rsidRPr="00842AB8">
              <w:rPr>
                <w:sz w:val="22"/>
              </w:rPr>
              <w:t>1</w:t>
            </w:r>
          </w:p>
        </w:tc>
        <w:tc>
          <w:tcPr>
            <w:tcW w:w="709" w:type="dxa"/>
          </w:tcPr>
          <w:p w14:paraId="065E421A"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91A934B" w14:textId="77777777" w:rsidR="00990F18" w:rsidRPr="00842AB8" w:rsidRDefault="00BD2F70" w:rsidP="00842AB8">
            <w:pPr>
              <w:spacing w:after="0" w:line="240" w:lineRule="auto"/>
              <w:jc w:val="center"/>
              <w:rPr>
                <w:sz w:val="22"/>
              </w:rPr>
            </w:pPr>
            <w:r w:rsidRPr="00842AB8">
              <w:rPr>
                <w:sz w:val="22"/>
              </w:rPr>
              <w:t>0</w:t>
            </w:r>
          </w:p>
        </w:tc>
        <w:tc>
          <w:tcPr>
            <w:tcW w:w="669" w:type="dxa"/>
          </w:tcPr>
          <w:p w14:paraId="3B9198C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9E359F" w14:textId="77777777" w:rsidR="00990F18" w:rsidRPr="00842AB8" w:rsidRDefault="00BD2F70" w:rsidP="00842AB8">
            <w:pPr>
              <w:spacing w:after="0" w:line="240" w:lineRule="auto"/>
              <w:jc w:val="center"/>
              <w:rPr>
                <w:sz w:val="22"/>
              </w:rPr>
            </w:pPr>
            <w:r w:rsidRPr="00842AB8">
              <w:rPr>
                <w:sz w:val="22"/>
              </w:rPr>
              <w:t>18</w:t>
            </w:r>
          </w:p>
        </w:tc>
        <w:tc>
          <w:tcPr>
            <w:tcW w:w="1390" w:type="dxa"/>
          </w:tcPr>
          <w:p w14:paraId="5F7C0B39" w14:textId="77777777" w:rsidR="00990F18" w:rsidRPr="00842AB8" w:rsidRDefault="00BD2F70" w:rsidP="00842AB8">
            <w:pPr>
              <w:spacing w:after="0" w:line="240" w:lineRule="auto"/>
              <w:jc w:val="center"/>
              <w:rPr>
                <w:sz w:val="22"/>
              </w:rPr>
            </w:pPr>
            <w:r w:rsidRPr="00842AB8">
              <w:rPr>
                <w:sz w:val="22"/>
              </w:rPr>
              <w:t>0.90</w:t>
            </w:r>
          </w:p>
        </w:tc>
        <w:tc>
          <w:tcPr>
            <w:tcW w:w="601" w:type="dxa"/>
          </w:tcPr>
          <w:p w14:paraId="34C76A37" w14:textId="77777777" w:rsidR="00990F18" w:rsidRPr="00842AB8" w:rsidRDefault="00BD2F70" w:rsidP="00842AB8">
            <w:pPr>
              <w:spacing w:after="0" w:line="240" w:lineRule="auto"/>
              <w:jc w:val="center"/>
              <w:rPr>
                <w:sz w:val="22"/>
              </w:rPr>
            </w:pPr>
            <w:r w:rsidRPr="00842AB8">
              <w:rPr>
                <w:sz w:val="22"/>
              </w:rPr>
              <w:t>0.87</w:t>
            </w:r>
          </w:p>
        </w:tc>
        <w:tc>
          <w:tcPr>
            <w:tcW w:w="1072" w:type="dxa"/>
          </w:tcPr>
          <w:p w14:paraId="6142980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2C40E51F" w14:textId="77777777" w:rsidTr="00842AB8">
        <w:tc>
          <w:tcPr>
            <w:tcW w:w="1243" w:type="dxa"/>
          </w:tcPr>
          <w:p w14:paraId="65C36F6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594C7D7" w14:textId="77777777" w:rsidR="00990F18" w:rsidRPr="00842AB8" w:rsidRDefault="00BD2F70" w:rsidP="00842AB8">
            <w:pPr>
              <w:spacing w:after="0" w:line="240" w:lineRule="auto"/>
              <w:jc w:val="center"/>
              <w:rPr>
                <w:sz w:val="22"/>
              </w:rPr>
            </w:pPr>
            <w:r w:rsidRPr="00842AB8">
              <w:rPr>
                <w:sz w:val="22"/>
              </w:rPr>
              <w:t>0</w:t>
            </w:r>
          </w:p>
        </w:tc>
        <w:tc>
          <w:tcPr>
            <w:tcW w:w="567" w:type="dxa"/>
          </w:tcPr>
          <w:p w14:paraId="07C3304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66204EAA" w14:textId="77777777" w:rsidR="00990F18" w:rsidRPr="00842AB8" w:rsidRDefault="00BD2F70" w:rsidP="00842AB8">
            <w:pPr>
              <w:spacing w:after="0" w:line="240" w:lineRule="auto"/>
              <w:jc w:val="center"/>
              <w:rPr>
                <w:sz w:val="22"/>
              </w:rPr>
            </w:pPr>
            <w:r w:rsidRPr="00842AB8">
              <w:rPr>
                <w:sz w:val="22"/>
              </w:rPr>
              <w:t>1</w:t>
            </w:r>
          </w:p>
        </w:tc>
        <w:tc>
          <w:tcPr>
            <w:tcW w:w="736" w:type="dxa"/>
          </w:tcPr>
          <w:p w14:paraId="0076AA0D" w14:textId="77777777" w:rsidR="00990F18" w:rsidRPr="00842AB8" w:rsidRDefault="00BD2F70" w:rsidP="00842AB8">
            <w:pPr>
              <w:spacing w:after="0" w:line="240" w:lineRule="auto"/>
              <w:jc w:val="center"/>
              <w:rPr>
                <w:sz w:val="22"/>
              </w:rPr>
            </w:pPr>
            <w:r w:rsidRPr="00842AB8">
              <w:rPr>
                <w:sz w:val="22"/>
              </w:rPr>
              <w:t>1</w:t>
            </w:r>
          </w:p>
        </w:tc>
        <w:tc>
          <w:tcPr>
            <w:tcW w:w="709" w:type="dxa"/>
          </w:tcPr>
          <w:p w14:paraId="6366637A"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A032658" w14:textId="77777777" w:rsidR="00990F18" w:rsidRPr="00842AB8" w:rsidRDefault="00BD2F70" w:rsidP="00842AB8">
            <w:pPr>
              <w:spacing w:after="0" w:line="240" w:lineRule="auto"/>
              <w:jc w:val="center"/>
              <w:rPr>
                <w:sz w:val="22"/>
              </w:rPr>
            </w:pPr>
            <w:r w:rsidRPr="00842AB8">
              <w:rPr>
                <w:sz w:val="22"/>
              </w:rPr>
              <w:t>0</w:t>
            </w:r>
          </w:p>
        </w:tc>
        <w:tc>
          <w:tcPr>
            <w:tcW w:w="669" w:type="dxa"/>
          </w:tcPr>
          <w:p w14:paraId="15E30046" w14:textId="77777777" w:rsidR="00990F18" w:rsidRPr="00842AB8" w:rsidRDefault="00BD2F70" w:rsidP="00842AB8">
            <w:pPr>
              <w:spacing w:after="0" w:line="240" w:lineRule="auto"/>
              <w:jc w:val="center"/>
              <w:rPr>
                <w:sz w:val="22"/>
              </w:rPr>
            </w:pPr>
            <w:r w:rsidRPr="00842AB8">
              <w:rPr>
                <w:sz w:val="22"/>
              </w:rPr>
              <w:t>1</w:t>
            </w:r>
          </w:p>
        </w:tc>
        <w:tc>
          <w:tcPr>
            <w:tcW w:w="436" w:type="dxa"/>
          </w:tcPr>
          <w:p w14:paraId="408E2C09" w14:textId="77777777" w:rsidR="00990F18" w:rsidRPr="00842AB8" w:rsidRDefault="00BD2F70" w:rsidP="00842AB8">
            <w:pPr>
              <w:spacing w:after="0" w:line="240" w:lineRule="auto"/>
              <w:jc w:val="center"/>
              <w:rPr>
                <w:sz w:val="22"/>
              </w:rPr>
            </w:pPr>
            <w:r w:rsidRPr="00842AB8">
              <w:rPr>
                <w:sz w:val="22"/>
              </w:rPr>
              <w:t>15</w:t>
            </w:r>
          </w:p>
        </w:tc>
        <w:tc>
          <w:tcPr>
            <w:tcW w:w="1390" w:type="dxa"/>
          </w:tcPr>
          <w:p w14:paraId="293C2E5C" w14:textId="77777777" w:rsidR="00990F18" w:rsidRPr="00842AB8" w:rsidRDefault="00BD2F70" w:rsidP="00842AB8">
            <w:pPr>
              <w:spacing w:after="0" w:line="240" w:lineRule="auto"/>
              <w:jc w:val="center"/>
              <w:rPr>
                <w:sz w:val="22"/>
              </w:rPr>
            </w:pPr>
            <w:r w:rsidRPr="00842AB8">
              <w:rPr>
                <w:sz w:val="22"/>
              </w:rPr>
              <w:t>0.87</w:t>
            </w:r>
          </w:p>
        </w:tc>
        <w:tc>
          <w:tcPr>
            <w:tcW w:w="601" w:type="dxa"/>
          </w:tcPr>
          <w:p w14:paraId="04CB5824" w14:textId="77777777" w:rsidR="00990F18" w:rsidRPr="00842AB8" w:rsidRDefault="00BD2F70" w:rsidP="00842AB8">
            <w:pPr>
              <w:spacing w:after="0" w:line="240" w:lineRule="auto"/>
              <w:jc w:val="center"/>
              <w:rPr>
                <w:sz w:val="22"/>
              </w:rPr>
            </w:pPr>
            <w:r w:rsidRPr="00842AB8">
              <w:rPr>
                <w:sz w:val="22"/>
              </w:rPr>
              <w:t>0.83</w:t>
            </w:r>
          </w:p>
        </w:tc>
        <w:tc>
          <w:tcPr>
            <w:tcW w:w="1072" w:type="dxa"/>
          </w:tcPr>
          <w:p w14:paraId="080112F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47CE9735" w14:textId="77777777" w:rsidTr="00842AB8">
        <w:tc>
          <w:tcPr>
            <w:tcW w:w="1243" w:type="dxa"/>
          </w:tcPr>
          <w:p w14:paraId="50A29EDE"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09B584DE"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3B6E070" w14:textId="77777777" w:rsidR="00990F18" w:rsidRPr="00842AB8" w:rsidRDefault="00BD2F70" w:rsidP="00842AB8">
            <w:pPr>
              <w:spacing w:after="0" w:line="240" w:lineRule="auto"/>
              <w:jc w:val="center"/>
              <w:rPr>
                <w:sz w:val="22"/>
              </w:rPr>
            </w:pPr>
            <w:r w:rsidRPr="00842AB8">
              <w:rPr>
                <w:sz w:val="22"/>
              </w:rPr>
              <w:t>0</w:t>
            </w:r>
          </w:p>
        </w:tc>
        <w:tc>
          <w:tcPr>
            <w:tcW w:w="539" w:type="dxa"/>
          </w:tcPr>
          <w:p w14:paraId="69CCED78" w14:textId="77777777" w:rsidR="00990F18" w:rsidRPr="00842AB8" w:rsidRDefault="00BD2F70" w:rsidP="00842AB8">
            <w:pPr>
              <w:spacing w:after="0" w:line="240" w:lineRule="auto"/>
              <w:jc w:val="center"/>
              <w:rPr>
                <w:sz w:val="22"/>
              </w:rPr>
            </w:pPr>
            <w:r w:rsidRPr="00842AB8">
              <w:rPr>
                <w:sz w:val="22"/>
              </w:rPr>
              <w:t>1</w:t>
            </w:r>
          </w:p>
        </w:tc>
        <w:tc>
          <w:tcPr>
            <w:tcW w:w="736" w:type="dxa"/>
          </w:tcPr>
          <w:p w14:paraId="75BF0B0D" w14:textId="77777777" w:rsidR="00990F18" w:rsidRPr="00842AB8" w:rsidRDefault="00BD2F70" w:rsidP="00842AB8">
            <w:pPr>
              <w:spacing w:after="0" w:line="240" w:lineRule="auto"/>
              <w:jc w:val="center"/>
              <w:rPr>
                <w:sz w:val="22"/>
              </w:rPr>
            </w:pPr>
            <w:r w:rsidRPr="00842AB8">
              <w:rPr>
                <w:sz w:val="22"/>
              </w:rPr>
              <w:t>0</w:t>
            </w:r>
          </w:p>
        </w:tc>
        <w:tc>
          <w:tcPr>
            <w:tcW w:w="709" w:type="dxa"/>
          </w:tcPr>
          <w:p w14:paraId="3D17F898" w14:textId="77777777" w:rsidR="00990F18" w:rsidRPr="00842AB8" w:rsidRDefault="00BD2F70" w:rsidP="00842AB8">
            <w:pPr>
              <w:spacing w:after="0" w:line="240" w:lineRule="auto"/>
              <w:jc w:val="center"/>
              <w:rPr>
                <w:sz w:val="22"/>
              </w:rPr>
            </w:pPr>
            <w:r w:rsidRPr="00842AB8">
              <w:rPr>
                <w:sz w:val="22"/>
              </w:rPr>
              <w:t>1</w:t>
            </w:r>
          </w:p>
        </w:tc>
        <w:tc>
          <w:tcPr>
            <w:tcW w:w="652" w:type="dxa"/>
          </w:tcPr>
          <w:p w14:paraId="5BA8B742" w14:textId="77777777" w:rsidR="00990F18" w:rsidRPr="00842AB8" w:rsidRDefault="00BD2F70" w:rsidP="00842AB8">
            <w:pPr>
              <w:spacing w:after="0" w:line="240" w:lineRule="auto"/>
              <w:jc w:val="center"/>
              <w:rPr>
                <w:sz w:val="22"/>
              </w:rPr>
            </w:pPr>
            <w:r w:rsidRPr="00842AB8">
              <w:rPr>
                <w:sz w:val="22"/>
              </w:rPr>
              <w:t>0</w:t>
            </w:r>
          </w:p>
        </w:tc>
        <w:tc>
          <w:tcPr>
            <w:tcW w:w="669" w:type="dxa"/>
          </w:tcPr>
          <w:p w14:paraId="728B4939"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484FF46" w14:textId="77777777" w:rsidR="00990F18" w:rsidRPr="00842AB8" w:rsidRDefault="00BD2F70" w:rsidP="00842AB8">
            <w:pPr>
              <w:spacing w:after="0" w:line="240" w:lineRule="auto"/>
              <w:jc w:val="center"/>
              <w:rPr>
                <w:sz w:val="22"/>
              </w:rPr>
            </w:pPr>
            <w:r w:rsidRPr="00842AB8">
              <w:rPr>
                <w:sz w:val="22"/>
              </w:rPr>
              <w:t>12</w:t>
            </w:r>
          </w:p>
        </w:tc>
        <w:tc>
          <w:tcPr>
            <w:tcW w:w="1390" w:type="dxa"/>
          </w:tcPr>
          <w:p w14:paraId="5D420C1A" w14:textId="77777777" w:rsidR="00990F18" w:rsidRPr="00842AB8" w:rsidRDefault="00BD2F70" w:rsidP="00842AB8">
            <w:pPr>
              <w:spacing w:after="0" w:line="240" w:lineRule="auto"/>
              <w:jc w:val="center"/>
              <w:rPr>
                <w:sz w:val="22"/>
              </w:rPr>
            </w:pPr>
            <w:r w:rsidRPr="00842AB8">
              <w:rPr>
                <w:sz w:val="22"/>
              </w:rPr>
              <w:t>0.84</w:t>
            </w:r>
          </w:p>
        </w:tc>
        <w:tc>
          <w:tcPr>
            <w:tcW w:w="601" w:type="dxa"/>
          </w:tcPr>
          <w:p w14:paraId="49D71BF5" w14:textId="77777777" w:rsidR="00990F18" w:rsidRPr="00842AB8" w:rsidRDefault="00BD2F70" w:rsidP="00842AB8">
            <w:pPr>
              <w:spacing w:after="0" w:line="240" w:lineRule="auto"/>
              <w:jc w:val="center"/>
              <w:rPr>
                <w:sz w:val="22"/>
              </w:rPr>
            </w:pPr>
            <w:r w:rsidRPr="00842AB8">
              <w:rPr>
                <w:sz w:val="22"/>
              </w:rPr>
              <w:t>0.80</w:t>
            </w:r>
          </w:p>
        </w:tc>
        <w:tc>
          <w:tcPr>
            <w:tcW w:w="1072" w:type="dxa"/>
          </w:tcPr>
          <w:p w14:paraId="5C58700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3E2E231D" w14:textId="77777777" w:rsidTr="00842AB8">
        <w:tc>
          <w:tcPr>
            <w:tcW w:w="1243" w:type="dxa"/>
          </w:tcPr>
          <w:p w14:paraId="5B8B9DD9"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633869F"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1C02DBE" w14:textId="77777777" w:rsidR="00990F18" w:rsidRPr="00842AB8" w:rsidRDefault="00BD2F70" w:rsidP="00842AB8">
            <w:pPr>
              <w:spacing w:after="0" w:line="240" w:lineRule="auto"/>
              <w:jc w:val="center"/>
              <w:rPr>
                <w:sz w:val="22"/>
              </w:rPr>
            </w:pPr>
            <w:r w:rsidRPr="00842AB8">
              <w:rPr>
                <w:sz w:val="22"/>
              </w:rPr>
              <w:t>1</w:t>
            </w:r>
          </w:p>
        </w:tc>
        <w:tc>
          <w:tcPr>
            <w:tcW w:w="539" w:type="dxa"/>
          </w:tcPr>
          <w:p w14:paraId="54A7C3C3" w14:textId="77777777" w:rsidR="00990F18" w:rsidRPr="00842AB8" w:rsidRDefault="00BD2F70" w:rsidP="00842AB8">
            <w:pPr>
              <w:spacing w:after="0" w:line="240" w:lineRule="auto"/>
              <w:jc w:val="center"/>
              <w:rPr>
                <w:sz w:val="22"/>
              </w:rPr>
            </w:pPr>
            <w:r w:rsidRPr="00842AB8">
              <w:rPr>
                <w:sz w:val="22"/>
              </w:rPr>
              <w:t>0</w:t>
            </w:r>
          </w:p>
        </w:tc>
        <w:tc>
          <w:tcPr>
            <w:tcW w:w="736" w:type="dxa"/>
          </w:tcPr>
          <w:p w14:paraId="430E05B4" w14:textId="77777777" w:rsidR="00990F18" w:rsidRPr="00842AB8" w:rsidRDefault="00BD2F70" w:rsidP="00842AB8">
            <w:pPr>
              <w:spacing w:after="0" w:line="240" w:lineRule="auto"/>
              <w:jc w:val="center"/>
              <w:rPr>
                <w:sz w:val="22"/>
              </w:rPr>
            </w:pPr>
            <w:r w:rsidRPr="00842AB8">
              <w:rPr>
                <w:sz w:val="22"/>
              </w:rPr>
              <w:t>0</w:t>
            </w:r>
          </w:p>
        </w:tc>
        <w:tc>
          <w:tcPr>
            <w:tcW w:w="709" w:type="dxa"/>
          </w:tcPr>
          <w:p w14:paraId="0BFD998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1AF72F9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7E9E7D6" w14:textId="77777777" w:rsidR="00990F18" w:rsidRPr="00842AB8" w:rsidRDefault="00BD2F70" w:rsidP="00842AB8">
            <w:pPr>
              <w:spacing w:after="0" w:line="240" w:lineRule="auto"/>
              <w:jc w:val="center"/>
              <w:rPr>
                <w:sz w:val="22"/>
              </w:rPr>
            </w:pPr>
            <w:r w:rsidRPr="00842AB8">
              <w:rPr>
                <w:sz w:val="22"/>
              </w:rPr>
              <w:t>0</w:t>
            </w:r>
          </w:p>
        </w:tc>
        <w:tc>
          <w:tcPr>
            <w:tcW w:w="436" w:type="dxa"/>
          </w:tcPr>
          <w:p w14:paraId="036FBBC3" w14:textId="77777777" w:rsidR="00990F18" w:rsidRPr="00842AB8" w:rsidRDefault="00BD2F70" w:rsidP="00842AB8">
            <w:pPr>
              <w:spacing w:after="0" w:line="240" w:lineRule="auto"/>
              <w:jc w:val="center"/>
              <w:rPr>
                <w:sz w:val="22"/>
              </w:rPr>
            </w:pPr>
            <w:r w:rsidRPr="00842AB8">
              <w:rPr>
                <w:sz w:val="22"/>
              </w:rPr>
              <w:t>7</w:t>
            </w:r>
          </w:p>
        </w:tc>
        <w:tc>
          <w:tcPr>
            <w:tcW w:w="1390" w:type="dxa"/>
          </w:tcPr>
          <w:p w14:paraId="7082D219" w14:textId="77777777" w:rsidR="00990F18" w:rsidRPr="00842AB8" w:rsidRDefault="00BD2F70" w:rsidP="00842AB8">
            <w:pPr>
              <w:spacing w:after="0" w:line="240" w:lineRule="auto"/>
              <w:jc w:val="center"/>
              <w:rPr>
                <w:sz w:val="22"/>
              </w:rPr>
            </w:pPr>
            <w:r w:rsidRPr="00842AB8">
              <w:rPr>
                <w:sz w:val="22"/>
              </w:rPr>
              <w:t>0.58</w:t>
            </w:r>
          </w:p>
        </w:tc>
        <w:tc>
          <w:tcPr>
            <w:tcW w:w="601" w:type="dxa"/>
          </w:tcPr>
          <w:p w14:paraId="65C2F401" w14:textId="77777777" w:rsidR="00990F18" w:rsidRPr="00842AB8" w:rsidRDefault="00BD2F70" w:rsidP="00842AB8">
            <w:pPr>
              <w:spacing w:after="0" w:line="240" w:lineRule="auto"/>
              <w:jc w:val="center"/>
              <w:rPr>
                <w:sz w:val="22"/>
              </w:rPr>
            </w:pPr>
            <w:r w:rsidRPr="00842AB8">
              <w:rPr>
                <w:sz w:val="22"/>
              </w:rPr>
              <w:t>0.52</w:t>
            </w:r>
          </w:p>
        </w:tc>
        <w:tc>
          <w:tcPr>
            <w:tcW w:w="1072" w:type="dxa"/>
          </w:tcPr>
          <w:p w14:paraId="0317AC0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E9A3013" w14:textId="77777777" w:rsidTr="00842AB8">
        <w:tc>
          <w:tcPr>
            <w:tcW w:w="1243" w:type="dxa"/>
          </w:tcPr>
          <w:p w14:paraId="0B05E256"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BC8BCB4"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EFC3FD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E2953D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62828FA2" w14:textId="77777777" w:rsidR="00990F18" w:rsidRPr="00842AB8" w:rsidRDefault="00BD2F70" w:rsidP="00842AB8">
            <w:pPr>
              <w:spacing w:after="0" w:line="240" w:lineRule="auto"/>
              <w:jc w:val="center"/>
              <w:rPr>
                <w:sz w:val="22"/>
              </w:rPr>
            </w:pPr>
            <w:r w:rsidRPr="00842AB8">
              <w:rPr>
                <w:sz w:val="22"/>
              </w:rPr>
              <w:t>0</w:t>
            </w:r>
          </w:p>
        </w:tc>
        <w:tc>
          <w:tcPr>
            <w:tcW w:w="709" w:type="dxa"/>
          </w:tcPr>
          <w:p w14:paraId="45CD37F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CE8806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E91E2EE" w14:textId="77777777" w:rsidR="00990F18" w:rsidRPr="00842AB8" w:rsidRDefault="00BD2F70" w:rsidP="00842AB8">
            <w:pPr>
              <w:spacing w:after="0" w:line="240" w:lineRule="auto"/>
              <w:jc w:val="center"/>
              <w:rPr>
                <w:sz w:val="22"/>
              </w:rPr>
            </w:pPr>
            <w:r w:rsidRPr="00842AB8">
              <w:rPr>
                <w:sz w:val="22"/>
              </w:rPr>
              <w:t>0</w:t>
            </w:r>
          </w:p>
        </w:tc>
        <w:tc>
          <w:tcPr>
            <w:tcW w:w="436" w:type="dxa"/>
          </w:tcPr>
          <w:p w14:paraId="2DBB8846" w14:textId="77777777" w:rsidR="00990F18" w:rsidRPr="00842AB8" w:rsidRDefault="00BD2F70" w:rsidP="00842AB8">
            <w:pPr>
              <w:spacing w:after="0" w:line="240" w:lineRule="auto"/>
              <w:jc w:val="center"/>
              <w:rPr>
                <w:sz w:val="22"/>
              </w:rPr>
            </w:pPr>
            <w:r w:rsidRPr="00842AB8">
              <w:rPr>
                <w:sz w:val="22"/>
              </w:rPr>
              <w:t>10</w:t>
            </w:r>
          </w:p>
        </w:tc>
        <w:tc>
          <w:tcPr>
            <w:tcW w:w="1390" w:type="dxa"/>
          </w:tcPr>
          <w:p w14:paraId="0E67A7AB" w14:textId="77777777" w:rsidR="00990F18" w:rsidRPr="00842AB8" w:rsidRDefault="00BD2F70" w:rsidP="00842AB8">
            <w:pPr>
              <w:spacing w:after="0" w:line="240" w:lineRule="auto"/>
              <w:jc w:val="center"/>
              <w:rPr>
                <w:sz w:val="22"/>
              </w:rPr>
            </w:pPr>
            <w:r w:rsidRPr="00842AB8">
              <w:rPr>
                <w:sz w:val="22"/>
              </w:rPr>
              <w:t>0.39</w:t>
            </w:r>
          </w:p>
        </w:tc>
        <w:tc>
          <w:tcPr>
            <w:tcW w:w="601" w:type="dxa"/>
          </w:tcPr>
          <w:p w14:paraId="3998147A" w14:textId="77777777" w:rsidR="00990F18" w:rsidRPr="00842AB8" w:rsidRDefault="00BD2F70" w:rsidP="00842AB8">
            <w:pPr>
              <w:spacing w:after="0" w:line="240" w:lineRule="auto"/>
              <w:jc w:val="center"/>
              <w:rPr>
                <w:sz w:val="22"/>
              </w:rPr>
            </w:pPr>
            <w:r w:rsidRPr="00842AB8">
              <w:rPr>
                <w:sz w:val="22"/>
              </w:rPr>
              <w:t>0.33</w:t>
            </w:r>
          </w:p>
        </w:tc>
        <w:tc>
          <w:tcPr>
            <w:tcW w:w="1072" w:type="dxa"/>
          </w:tcPr>
          <w:p w14:paraId="1A565F7E" w14:textId="77777777" w:rsidR="00990F18" w:rsidRPr="00842AB8" w:rsidRDefault="00BD2F70" w:rsidP="00842AB8">
            <w:pPr>
              <w:spacing w:after="0" w:line="240" w:lineRule="auto"/>
              <w:jc w:val="center"/>
              <w:rPr>
                <w:sz w:val="22"/>
              </w:rPr>
            </w:pPr>
            <w:r w:rsidRPr="00842AB8">
              <w:rPr>
                <w:sz w:val="22"/>
              </w:rPr>
              <w:t>0</w:t>
            </w:r>
          </w:p>
        </w:tc>
      </w:tr>
    </w:tbl>
    <w:p w14:paraId="7C3337CB" w14:textId="77777777" w:rsidR="00990F18" w:rsidRPr="00842AB8" w:rsidRDefault="00BD2F70" w:rsidP="00842AB8">
      <w:pPr>
        <w:spacing w:after="0" w:line="240" w:lineRule="auto"/>
        <w:jc w:val="center"/>
        <w:rPr>
          <w:szCs w:val="24"/>
        </w:rPr>
      </w:pPr>
      <w:r w:rsidRPr="00842AB8">
        <w:rPr>
          <w:szCs w:val="24"/>
        </w:rPr>
        <w:t>Source: authors. 1 = condition present, 0 = condition absent. n = number of cases with membership above 0.5 in the row; PRI = proportional reduction in inconsistency. Frequency cutoff = 3 cases; raw-consistency cutoff = 0.80.</w:t>
      </w:r>
    </w:p>
    <w:p w14:paraId="43B33569" w14:textId="77777777" w:rsidR="00842AB8" w:rsidRDefault="00842AB8" w:rsidP="00842AB8">
      <w:pPr>
        <w:spacing w:after="0" w:line="240" w:lineRule="auto"/>
        <w:rPr>
          <w:szCs w:val="24"/>
        </w:rPr>
      </w:pPr>
    </w:p>
    <w:p w14:paraId="53F0605B" w14:textId="292346BB" w:rsidR="00990F18" w:rsidRPr="00205C71" w:rsidRDefault="00BD2F70" w:rsidP="00842AB8">
      <w:pPr>
        <w:spacing w:after="0"/>
        <w:rPr>
          <w:szCs w:val="24"/>
        </w:rPr>
      </w:pPr>
      <w:r w:rsidRPr="00205C71">
        <w:rPr>
          <w:szCs w:val="24"/>
        </w:rPr>
        <w:t xml:space="preserve">The sufficiency analysis, reported in Table 12 and visualised in the configuration chart of Figure 7, identified two sufficient configurations for high performance in the developing-economy group and three in the emerging-economy group. </w:t>
      </w:r>
      <w:r w:rsidR="0091714E" w:rsidRPr="0091714E">
        <w:rPr>
          <w:szCs w:val="24"/>
          <w:highlight w:val="yellow"/>
        </w:rPr>
        <w:t>Each configuration exceeded the 0.80 consistency threshold, and the overall solution consistency and coverage were satisfactory in both groups.</w:t>
      </w:r>
      <w:r w:rsidRPr="00205C71">
        <w:rPr>
          <w:szCs w:val="24"/>
        </w:rPr>
        <w:t xml:space="preserve"> In the developing-economy group, both configurations are anchored by the joint presence of regulatory and policy pressure, with the first additionally relying on the easing of cost barriers and managerial commitment, and the second on integration and stakeholder pressure. Digital infrastructure readiness is largely absent or irrelevant in these recipes, reflecting the thinner digital base of the context.</w:t>
      </w:r>
    </w:p>
    <w:p w14:paraId="47AD5568" w14:textId="77777777" w:rsidR="00990F18" w:rsidRPr="00205C71" w:rsidRDefault="00BD2F70" w:rsidP="00842AB8">
      <w:pPr>
        <w:spacing w:after="0"/>
        <w:rPr>
          <w:szCs w:val="24"/>
        </w:rPr>
      </w:pPr>
      <w:r w:rsidRPr="00205C71">
        <w:rPr>
          <w:szCs w:val="24"/>
        </w:rPr>
        <w:t xml:space="preserve">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w:t>
      </w:r>
      <w:r w:rsidRPr="00205C71">
        <w:rPr>
          <w:szCs w:val="24"/>
        </w:rPr>
        <w:lastRenderedPageBreak/>
        <w:t>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14:paraId="5FB24228" w14:textId="05E7255F" w:rsidR="00990F18" w:rsidRPr="00205C71" w:rsidRDefault="00BD2F70" w:rsidP="00842AB8">
      <w:pPr>
        <w:spacing w:after="0"/>
        <w:rPr>
          <w:szCs w:val="24"/>
        </w:rPr>
      </w:pPr>
      <w:r w:rsidRPr="00205C71">
        <w:rPr>
          <w:szCs w:val="24"/>
        </w:rPr>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66A6D718" w14:textId="77777777" w:rsidR="00842AB8" w:rsidRDefault="00842AB8" w:rsidP="00842AB8">
      <w:pPr>
        <w:spacing w:after="0" w:line="240" w:lineRule="auto"/>
        <w:jc w:val="center"/>
        <w:rPr>
          <w:szCs w:val="24"/>
        </w:rPr>
      </w:pPr>
    </w:p>
    <w:p w14:paraId="54A0EE64" w14:textId="3F9A7654" w:rsidR="00990F18" w:rsidRPr="00842AB8" w:rsidRDefault="00842AB8" w:rsidP="00842AB8">
      <w:pPr>
        <w:spacing w:after="0" w:line="240" w:lineRule="auto"/>
        <w:jc w:val="center"/>
        <w:rPr>
          <w:szCs w:val="24"/>
        </w:rPr>
      </w:pPr>
      <w:r>
        <w:rPr>
          <w:szCs w:val="24"/>
        </w:rPr>
        <w:t>Table 11:</w:t>
      </w:r>
      <w:r w:rsidR="00BD2F70" w:rsidRPr="00842AB8">
        <w:rPr>
          <w:szCs w:val="24"/>
        </w:rPr>
        <w:t xml:space="preserve"> Parsimonious solution for high green logistic</w:t>
      </w:r>
      <w:r>
        <w:rPr>
          <w:szCs w:val="24"/>
        </w:rPr>
        <w:t>s performance (core conditions)</w:t>
      </w:r>
    </w:p>
    <w:tbl>
      <w:tblPr>
        <w:tblStyle w:val="TableGrid"/>
        <w:tblW w:w="0" w:type="auto"/>
        <w:jc w:val="center"/>
        <w:tblLook w:val="04A0" w:firstRow="1" w:lastRow="0" w:firstColumn="1" w:lastColumn="0" w:noHBand="0" w:noVBand="1"/>
      </w:tblPr>
      <w:tblGrid>
        <w:gridCol w:w="1704"/>
        <w:gridCol w:w="1457"/>
        <w:gridCol w:w="1457"/>
        <w:gridCol w:w="1466"/>
        <w:gridCol w:w="1466"/>
        <w:gridCol w:w="1466"/>
      </w:tblGrid>
      <w:tr w:rsidR="00990F18" w:rsidRPr="00205C71" w14:paraId="7B736170" w14:textId="77777777" w:rsidTr="00842AB8">
        <w:trPr>
          <w:jc w:val="center"/>
        </w:trPr>
        <w:tc>
          <w:tcPr>
            <w:tcW w:w="1710" w:type="dxa"/>
          </w:tcPr>
          <w:p w14:paraId="3CE667D1" w14:textId="77777777" w:rsidR="00990F18" w:rsidRPr="00205C71" w:rsidRDefault="00BD2F70" w:rsidP="00842AB8">
            <w:pPr>
              <w:spacing w:after="0" w:line="240" w:lineRule="auto"/>
              <w:jc w:val="left"/>
              <w:rPr>
                <w:szCs w:val="24"/>
              </w:rPr>
            </w:pPr>
            <w:r w:rsidRPr="00205C71">
              <w:rPr>
                <w:b/>
                <w:szCs w:val="24"/>
              </w:rPr>
              <w:t>Condition</w:t>
            </w:r>
          </w:p>
        </w:tc>
        <w:tc>
          <w:tcPr>
            <w:tcW w:w="1487" w:type="dxa"/>
          </w:tcPr>
          <w:p w14:paraId="6E298F92" w14:textId="77777777" w:rsidR="00990F18" w:rsidRPr="00205C71" w:rsidRDefault="00BD2F70" w:rsidP="00842AB8">
            <w:pPr>
              <w:spacing w:after="0" w:line="240" w:lineRule="auto"/>
              <w:jc w:val="center"/>
              <w:rPr>
                <w:szCs w:val="24"/>
              </w:rPr>
            </w:pPr>
            <w:r w:rsidRPr="00205C71">
              <w:rPr>
                <w:b/>
                <w:szCs w:val="24"/>
              </w:rPr>
              <w:t>Dev. C1</w:t>
            </w:r>
          </w:p>
        </w:tc>
        <w:tc>
          <w:tcPr>
            <w:tcW w:w="1487" w:type="dxa"/>
          </w:tcPr>
          <w:p w14:paraId="4B75BB4A" w14:textId="77777777" w:rsidR="00990F18" w:rsidRPr="00205C71" w:rsidRDefault="00BD2F70" w:rsidP="00842AB8">
            <w:pPr>
              <w:spacing w:after="0" w:line="240" w:lineRule="auto"/>
              <w:jc w:val="center"/>
              <w:rPr>
                <w:szCs w:val="24"/>
              </w:rPr>
            </w:pPr>
            <w:r w:rsidRPr="00205C71">
              <w:rPr>
                <w:b/>
                <w:szCs w:val="24"/>
              </w:rPr>
              <w:t>Dev. C2</w:t>
            </w:r>
          </w:p>
        </w:tc>
        <w:tc>
          <w:tcPr>
            <w:tcW w:w="1493" w:type="dxa"/>
          </w:tcPr>
          <w:p w14:paraId="7E9EEB42" w14:textId="77777777" w:rsidR="00990F18" w:rsidRPr="00205C71" w:rsidRDefault="00BD2F70" w:rsidP="00842AB8">
            <w:pPr>
              <w:spacing w:after="0" w:line="240" w:lineRule="auto"/>
              <w:jc w:val="center"/>
              <w:rPr>
                <w:szCs w:val="24"/>
              </w:rPr>
            </w:pPr>
            <w:r w:rsidRPr="00205C71">
              <w:rPr>
                <w:b/>
                <w:szCs w:val="24"/>
              </w:rPr>
              <w:t>Eme. C1</w:t>
            </w:r>
          </w:p>
        </w:tc>
        <w:tc>
          <w:tcPr>
            <w:tcW w:w="1493" w:type="dxa"/>
          </w:tcPr>
          <w:p w14:paraId="31B439F7" w14:textId="77777777" w:rsidR="00990F18" w:rsidRPr="00205C71" w:rsidRDefault="00BD2F70" w:rsidP="00842AB8">
            <w:pPr>
              <w:spacing w:after="0" w:line="240" w:lineRule="auto"/>
              <w:jc w:val="center"/>
              <w:rPr>
                <w:szCs w:val="24"/>
              </w:rPr>
            </w:pPr>
            <w:r w:rsidRPr="00205C71">
              <w:rPr>
                <w:b/>
                <w:szCs w:val="24"/>
              </w:rPr>
              <w:t>Eme. C2</w:t>
            </w:r>
          </w:p>
        </w:tc>
        <w:tc>
          <w:tcPr>
            <w:tcW w:w="1493" w:type="dxa"/>
          </w:tcPr>
          <w:p w14:paraId="6A207D4A" w14:textId="77777777" w:rsidR="00990F18" w:rsidRPr="00205C71" w:rsidRDefault="00BD2F70" w:rsidP="00842AB8">
            <w:pPr>
              <w:spacing w:after="0" w:line="240" w:lineRule="auto"/>
              <w:jc w:val="center"/>
              <w:rPr>
                <w:szCs w:val="24"/>
              </w:rPr>
            </w:pPr>
            <w:r w:rsidRPr="00205C71">
              <w:rPr>
                <w:b/>
                <w:szCs w:val="24"/>
              </w:rPr>
              <w:t>Eme. C3</w:t>
            </w:r>
          </w:p>
        </w:tc>
      </w:tr>
      <w:tr w:rsidR="00990F18" w:rsidRPr="00205C71" w14:paraId="0C4B76A5" w14:textId="77777777" w:rsidTr="00842AB8">
        <w:trPr>
          <w:jc w:val="center"/>
        </w:trPr>
        <w:tc>
          <w:tcPr>
            <w:tcW w:w="1710" w:type="dxa"/>
          </w:tcPr>
          <w:p w14:paraId="146DF290" w14:textId="77777777" w:rsidR="00990F18" w:rsidRPr="00205C71" w:rsidRDefault="00BD2F70" w:rsidP="00842AB8">
            <w:pPr>
              <w:spacing w:after="0" w:line="240" w:lineRule="auto"/>
              <w:jc w:val="center"/>
              <w:rPr>
                <w:szCs w:val="24"/>
              </w:rPr>
            </w:pPr>
            <w:r w:rsidRPr="00205C71">
              <w:rPr>
                <w:szCs w:val="24"/>
              </w:rPr>
              <w:t>GSCI</w:t>
            </w:r>
          </w:p>
        </w:tc>
        <w:tc>
          <w:tcPr>
            <w:tcW w:w="1487" w:type="dxa"/>
          </w:tcPr>
          <w:p w14:paraId="58FF2EF1" w14:textId="77777777" w:rsidR="00990F18" w:rsidRPr="00205C71" w:rsidRDefault="00990F18" w:rsidP="00842AB8">
            <w:pPr>
              <w:spacing w:after="0" w:line="240" w:lineRule="auto"/>
              <w:jc w:val="center"/>
              <w:rPr>
                <w:szCs w:val="24"/>
              </w:rPr>
            </w:pPr>
          </w:p>
        </w:tc>
        <w:tc>
          <w:tcPr>
            <w:tcW w:w="1487" w:type="dxa"/>
          </w:tcPr>
          <w:p w14:paraId="50B8A8F8"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7370EA1"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6391CD6" w14:textId="77777777" w:rsidR="00990F18" w:rsidRPr="00205C71" w:rsidRDefault="00990F18" w:rsidP="00842AB8">
            <w:pPr>
              <w:spacing w:after="0" w:line="240" w:lineRule="auto"/>
              <w:jc w:val="center"/>
              <w:rPr>
                <w:szCs w:val="24"/>
              </w:rPr>
            </w:pPr>
          </w:p>
        </w:tc>
        <w:tc>
          <w:tcPr>
            <w:tcW w:w="1493" w:type="dxa"/>
          </w:tcPr>
          <w:p w14:paraId="08144298" w14:textId="77777777" w:rsidR="00990F18" w:rsidRPr="00205C71" w:rsidRDefault="00990F18" w:rsidP="00842AB8">
            <w:pPr>
              <w:spacing w:after="0" w:line="240" w:lineRule="auto"/>
              <w:jc w:val="center"/>
              <w:rPr>
                <w:szCs w:val="24"/>
              </w:rPr>
            </w:pPr>
          </w:p>
        </w:tc>
      </w:tr>
      <w:tr w:rsidR="00990F18" w:rsidRPr="00205C71" w14:paraId="1FBB3E03" w14:textId="77777777" w:rsidTr="00842AB8">
        <w:trPr>
          <w:jc w:val="center"/>
        </w:trPr>
        <w:tc>
          <w:tcPr>
            <w:tcW w:w="1710" w:type="dxa"/>
          </w:tcPr>
          <w:p w14:paraId="46135EF9" w14:textId="77777777" w:rsidR="00990F18" w:rsidRPr="00205C71" w:rsidRDefault="00BD2F70" w:rsidP="00842AB8">
            <w:pPr>
              <w:spacing w:after="0" w:line="240" w:lineRule="auto"/>
              <w:jc w:val="center"/>
              <w:rPr>
                <w:szCs w:val="24"/>
              </w:rPr>
            </w:pPr>
            <w:r w:rsidRPr="00205C71">
              <w:rPr>
                <w:szCs w:val="24"/>
              </w:rPr>
              <w:t>RP</w:t>
            </w:r>
          </w:p>
        </w:tc>
        <w:tc>
          <w:tcPr>
            <w:tcW w:w="1487" w:type="dxa"/>
          </w:tcPr>
          <w:p w14:paraId="702F57C9"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7B85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178119C"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0648815D" w14:textId="77777777" w:rsidR="00990F18" w:rsidRPr="00205C71" w:rsidRDefault="00990F18" w:rsidP="00842AB8">
            <w:pPr>
              <w:spacing w:after="0" w:line="240" w:lineRule="auto"/>
              <w:jc w:val="center"/>
              <w:rPr>
                <w:szCs w:val="24"/>
              </w:rPr>
            </w:pPr>
          </w:p>
        </w:tc>
        <w:tc>
          <w:tcPr>
            <w:tcW w:w="1493" w:type="dxa"/>
          </w:tcPr>
          <w:p w14:paraId="269791A5"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r>
      <w:tr w:rsidR="00990F18" w:rsidRPr="00205C71" w14:paraId="500637A8" w14:textId="77777777" w:rsidTr="00842AB8">
        <w:trPr>
          <w:jc w:val="center"/>
        </w:trPr>
        <w:tc>
          <w:tcPr>
            <w:tcW w:w="1710" w:type="dxa"/>
          </w:tcPr>
          <w:p w14:paraId="6D46AF1C" w14:textId="77777777" w:rsidR="00990F18" w:rsidRPr="00205C71" w:rsidRDefault="00BD2F70" w:rsidP="00842AB8">
            <w:pPr>
              <w:spacing w:after="0" w:line="240" w:lineRule="auto"/>
              <w:jc w:val="center"/>
              <w:rPr>
                <w:szCs w:val="24"/>
              </w:rPr>
            </w:pPr>
            <w:r w:rsidRPr="00205C71">
              <w:rPr>
                <w:szCs w:val="24"/>
              </w:rPr>
              <w:t>DI</w:t>
            </w:r>
          </w:p>
        </w:tc>
        <w:tc>
          <w:tcPr>
            <w:tcW w:w="1487" w:type="dxa"/>
          </w:tcPr>
          <w:p w14:paraId="4BB8C3F3"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87" w:type="dxa"/>
          </w:tcPr>
          <w:p w14:paraId="0A422802"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27058954"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1A7222A0"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27A7161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7513BB41" w14:textId="77777777" w:rsidTr="00842AB8">
        <w:trPr>
          <w:jc w:val="center"/>
        </w:trPr>
        <w:tc>
          <w:tcPr>
            <w:tcW w:w="1710" w:type="dxa"/>
          </w:tcPr>
          <w:p w14:paraId="19920BB0" w14:textId="77777777" w:rsidR="00990F18" w:rsidRPr="00205C71" w:rsidRDefault="00BD2F70" w:rsidP="00842AB8">
            <w:pPr>
              <w:spacing w:after="0" w:line="240" w:lineRule="auto"/>
              <w:jc w:val="center"/>
              <w:rPr>
                <w:szCs w:val="24"/>
              </w:rPr>
            </w:pPr>
            <w:r w:rsidRPr="00205C71">
              <w:rPr>
                <w:szCs w:val="24"/>
              </w:rPr>
              <w:t>TMC</w:t>
            </w:r>
          </w:p>
        </w:tc>
        <w:tc>
          <w:tcPr>
            <w:tcW w:w="1487" w:type="dxa"/>
          </w:tcPr>
          <w:p w14:paraId="12D728BF"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2D7A4" w14:textId="77777777" w:rsidR="00990F18" w:rsidRPr="00205C71" w:rsidRDefault="00990F18" w:rsidP="00842AB8">
            <w:pPr>
              <w:spacing w:after="0" w:line="240" w:lineRule="auto"/>
              <w:jc w:val="center"/>
              <w:rPr>
                <w:szCs w:val="24"/>
              </w:rPr>
            </w:pPr>
          </w:p>
        </w:tc>
        <w:tc>
          <w:tcPr>
            <w:tcW w:w="1493" w:type="dxa"/>
          </w:tcPr>
          <w:p w14:paraId="16578785"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6F6C41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3CDB133" w14:textId="77777777" w:rsidR="00990F18" w:rsidRPr="00205C71" w:rsidRDefault="00990F18" w:rsidP="00842AB8">
            <w:pPr>
              <w:spacing w:after="0" w:line="240" w:lineRule="auto"/>
              <w:jc w:val="center"/>
              <w:rPr>
                <w:szCs w:val="24"/>
              </w:rPr>
            </w:pPr>
          </w:p>
        </w:tc>
      </w:tr>
      <w:tr w:rsidR="00990F18" w:rsidRPr="00205C71" w14:paraId="0B8DE68F" w14:textId="77777777" w:rsidTr="00842AB8">
        <w:trPr>
          <w:jc w:val="center"/>
        </w:trPr>
        <w:tc>
          <w:tcPr>
            <w:tcW w:w="1710" w:type="dxa"/>
          </w:tcPr>
          <w:p w14:paraId="1103A2A1" w14:textId="77777777" w:rsidR="00990F18" w:rsidRPr="00205C71" w:rsidRDefault="00BD2F70" w:rsidP="00842AB8">
            <w:pPr>
              <w:spacing w:after="0" w:line="240" w:lineRule="auto"/>
              <w:jc w:val="center"/>
              <w:rPr>
                <w:szCs w:val="24"/>
              </w:rPr>
            </w:pPr>
            <w:r w:rsidRPr="00205C71">
              <w:rPr>
                <w:szCs w:val="24"/>
              </w:rPr>
              <w:t>SP</w:t>
            </w:r>
          </w:p>
        </w:tc>
        <w:tc>
          <w:tcPr>
            <w:tcW w:w="1487" w:type="dxa"/>
          </w:tcPr>
          <w:p w14:paraId="5382B143" w14:textId="77777777" w:rsidR="00990F18" w:rsidRPr="00205C71" w:rsidRDefault="00990F18" w:rsidP="00842AB8">
            <w:pPr>
              <w:spacing w:after="0" w:line="240" w:lineRule="auto"/>
              <w:jc w:val="center"/>
              <w:rPr>
                <w:szCs w:val="24"/>
              </w:rPr>
            </w:pPr>
          </w:p>
        </w:tc>
        <w:tc>
          <w:tcPr>
            <w:tcW w:w="1487" w:type="dxa"/>
          </w:tcPr>
          <w:p w14:paraId="57D728B6"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441B1FE" w14:textId="77777777" w:rsidR="00990F18" w:rsidRPr="00205C71" w:rsidRDefault="00990F18" w:rsidP="00842AB8">
            <w:pPr>
              <w:spacing w:after="0" w:line="240" w:lineRule="auto"/>
              <w:jc w:val="center"/>
              <w:rPr>
                <w:szCs w:val="24"/>
              </w:rPr>
            </w:pPr>
          </w:p>
        </w:tc>
        <w:tc>
          <w:tcPr>
            <w:tcW w:w="1493" w:type="dxa"/>
          </w:tcPr>
          <w:p w14:paraId="17566259" w14:textId="77777777" w:rsidR="00990F18" w:rsidRPr="00205C71" w:rsidRDefault="00990F18" w:rsidP="00842AB8">
            <w:pPr>
              <w:spacing w:after="0" w:line="240" w:lineRule="auto"/>
              <w:jc w:val="center"/>
              <w:rPr>
                <w:szCs w:val="24"/>
              </w:rPr>
            </w:pPr>
          </w:p>
        </w:tc>
        <w:tc>
          <w:tcPr>
            <w:tcW w:w="1493" w:type="dxa"/>
          </w:tcPr>
          <w:p w14:paraId="6807BA95"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42A3A45A" w14:textId="77777777" w:rsidTr="00842AB8">
        <w:trPr>
          <w:jc w:val="center"/>
        </w:trPr>
        <w:tc>
          <w:tcPr>
            <w:tcW w:w="1710" w:type="dxa"/>
          </w:tcPr>
          <w:p w14:paraId="5DD2BC29" w14:textId="77777777" w:rsidR="00990F18" w:rsidRPr="00205C71" w:rsidRDefault="00BD2F70" w:rsidP="00842AB8">
            <w:pPr>
              <w:spacing w:after="0" w:line="240" w:lineRule="auto"/>
              <w:jc w:val="center"/>
              <w:rPr>
                <w:szCs w:val="24"/>
              </w:rPr>
            </w:pPr>
            <w:r w:rsidRPr="00205C71">
              <w:rPr>
                <w:szCs w:val="24"/>
              </w:rPr>
              <w:t>CBI</w:t>
            </w:r>
          </w:p>
        </w:tc>
        <w:tc>
          <w:tcPr>
            <w:tcW w:w="1487" w:type="dxa"/>
          </w:tcPr>
          <w:p w14:paraId="78896448"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49D913DE" w14:textId="77777777" w:rsidR="00990F18" w:rsidRPr="00205C71" w:rsidRDefault="00990F18" w:rsidP="00842AB8">
            <w:pPr>
              <w:spacing w:after="0" w:line="240" w:lineRule="auto"/>
              <w:jc w:val="center"/>
              <w:rPr>
                <w:szCs w:val="24"/>
              </w:rPr>
            </w:pPr>
          </w:p>
        </w:tc>
        <w:tc>
          <w:tcPr>
            <w:tcW w:w="1493" w:type="dxa"/>
          </w:tcPr>
          <w:p w14:paraId="27DC1347" w14:textId="77777777" w:rsidR="00990F18" w:rsidRPr="00205C71" w:rsidRDefault="00990F18" w:rsidP="00842AB8">
            <w:pPr>
              <w:spacing w:after="0" w:line="240" w:lineRule="auto"/>
              <w:jc w:val="center"/>
              <w:rPr>
                <w:szCs w:val="24"/>
              </w:rPr>
            </w:pPr>
          </w:p>
        </w:tc>
        <w:tc>
          <w:tcPr>
            <w:tcW w:w="1493" w:type="dxa"/>
          </w:tcPr>
          <w:p w14:paraId="40DC4649" w14:textId="77777777" w:rsidR="00990F18" w:rsidRPr="00205C71" w:rsidRDefault="00990F18" w:rsidP="00842AB8">
            <w:pPr>
              <w:spacing w:after="0" w:line="240" w:lineRule="auto"/>
              <w:jc w:val="center"/>
              <w:rPr>
                <w:szCs w:val="24"/>
              </w:rPr>
            </w:pPr>
          </w:p>
        </w:tc>
        <w:tc>
          <w:tcPr>
            <w:tcW w:w="1493" w:type="dxa"/>
          </w:tcPr>
          <w:p w14:paraId="5D8140E6" w14:textId="77777777" w:rsidR="00990F18" w:rsidRPr="00205C71" w:rsidRDefault="00990F18" w:rsidP="00842AB8">
            <w:pPr>
              <w:spacing w:after="0" w:line="240" w:lineRule="auto"/>
              <w:jc w:val="center"/>
              <w:rPr>
                <w:szCs w:val="24"/>
              </w:rPr>
            </w:pPr>
          </w:p>
        </w:tc>
      </w:tr>
      <w:tr w:rsidR="00990F18" w:rsidRPr="00205C71" w14:paraId="59372B3C" w14:textId="77777777" w:rsidTr="00842AB8">
        <w:trPr>
          <w:jc w:val="center"/>
        </w:trPr>
        <w:tc>
          <w:tcPr>
            <w:tcW w:w="1710" w:type="dxa"/>
          </w:tcPr>
          <w:p w14:paraId="1AE4E0A5" w14:textId="77777777" w:rsidR="00990F18" w:rsidRPr="00205C71" w:rsidRDefault="00BD2F70" w:rsidP="00842AB8">
            <w:pPr>
              <w:spacing w:after="0" w:line="240" w:lineRule="auto"/>
              <w:jc w:val="center"/>
              <w:rPr>
                <w:szCs w:val="24"/>
              </w:rPr>
            </w:pPr>
            <w:r w:rsidRPr="00205C71">
              <w:rPr>
                <w:szCs w:val="24"/>
              </w:rPr>
              <w:t>KSR</w:t>
            </w:r>
          </w:p>
        </w:tc>
        <w:tc>
          <w:tcPr>
            <w:tcW w:w="1487" w:type="dxa"/>
          </w:tcPr>
          <w:p w14:paraId="598AEC83" w14:textId="77777777" w:rsidR="00990F18" w:rsidRPr="00205C71" w:rsidRDefault="00990F18" w:rsidP="00842AB8">
            <w:pPr>
              <w:spacing w:after="0" w:line="240" w:lineRule="auto"/>
              <w:jc w:val="center"/>
              <w:rPr>
                <w:szCs w:val="24"/>
              </w:rPr>
            </w:pPr>
          </w:p>
        </w:tc>
        <w:tc>
          <w:tcPr>
            <w:tcW w:w="1487" w:type="dxa"/>
          </w:tcPr>
          <w:p w14:paraId="41A03DDF" w14:textId="77777777" w:rsidR="00990F18" w:rsidRPr="00205C71" w:rsidRDefault="00990F18" w:rsidP="00842AB8">
            <w:pPr>
              <w:spacing w:after="0" w:line="240" w:lineRule="auto"/>
              <w:jc w:val="center"/>
              <w:rPr>
                <w:szCs w:val="24"/>
              </w:rPr>
            </w:pPr>
          </w:p>
        </w:tc>
        <w:tc>
          <w:tcPr>
            <w:tcW w:w="1493" w:type="dxa"/>
          </w:tcPr>
          <w:p w14:paraId="3B727D83" w14:textId="77777777" w:rsidR="00990F18" w:rsidRPr="00205C71" w:rsidRDefault="00990F18" w:rsidP="00842AB8">
            <w:pPr>
              <w:spacing w:after="0" w:line="240" w:lineRule="auto"/>
              <w:jc w:val="center"/>
              <w:rPr>
                <w:szCs w:val="24"/>
              </w:rPr>
            </w:pPr>
          </w:p>
        </w:tc>
        <w:tc>
          <w:tcPr>
            <w:tcW w:w="1493" w:type="dxa"/>
          </w:tcPr>
          <w:p w14:paraId="3245DAD7"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CE9323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6D33F188" w14:textId="77777777" w:rsidTr="00842AB8">
        <w:trPr>
          <w:jc w:val="center"/>
        </w:trPr>
        <w:tc>
          <w:tcPr>
            <w:tcW w:w="1710" w:type="dxa"/>
          </w:tcPr>
          <w:p w14:paraId="348287CC" w14:textId="77777777" w:rsidR="00990F18" w:rsidRPr="00205C71" w:rsidRDefault="00BD2F70" w:rsidP="00842AB8">
            <w:pPr>
              <w:spacing w:after="0" w:line="240" w:lineRule="auto"/>
              <w:jc w:val="center"/>
              <w:rPr>
                <w:szCs w:val="24"/>
              </w:rPr>
            </w:pPr>
            <w:r w:rsidRPr="00205C71">
              <w:rPr>
                <w:szCs w:val="24"/>
              </w:rPr>
              <w:t>Configuration consistency</w:t>
            </w:r>
          </w:p>
        </w:tc>
        <w:tc>
          <w:tcPr>
            <w:tcW w:w="1487" w:type="dxa"/>
          </w:tcPr>
          <w:p w14:paraId="0EA05F46" w14:textId="77777777" w:rsidR="00990F18" w:rsidRPr="00205C71" w:rsidRDefault="00BD2F70" w:rsidP="00842AB8">
            <w:pPr>
              <w:spacing w:after="0" w:line="240" w:lineRule="auto"/>
              <w:jc w:val="center"/>
              <w:rPr>
                <w:szCs w:val="24"/>
              </w:rPr>
            </w:pPr>
            <w:r w:rsidRPr="00205C71">
              <w:rPr>
                <w:szCs w:val="24"/>
              </w:rPr>
              <w:t>0.83</w:t>
            </w:r>
          </w:p>
        </w:tc>
        <w:tc>
          <w:tcPr>
            <w:tcW w:w="1487" w:type="dxa"/>
          </w:tcPr>
          <w:p w14:paraId="3973C2D1" w14:textId="77777777" w:rsidR="00990F18" w:rsidRPr="00205C71" w:rsidRDefault="00BD2F70" w:rsidP="00842AB8">
            <w:pPr>
              <w:spacing w:after="0" w:line="240" w:lineRule="auto"/>
              <w:jc w:val="center"/>
              <w:rPr>
                <w:szCs w:val="24"/>
              </w:rPr>
            </w:pPr>
            <w:r w:rsidRPr="00205C71">
              <w:rPr>
                <w:szCs w:val="24"/>
              </w:rPr>
              <w:t>0.81</w:t>
            </w:r>
          </w:p>
        </w:tc>
        <w:tc>
          <w:tcPr>
            <w:tcW w:w="1493" w:type="dxa"/>
          </w:tcPr>
          <w:p w14:paraId="2905A338" w14:textId="77777777" w:rsidR="00990F18" w:rsidRPr="00205C71" w:rsidRDefault="00BD2F70" w:rsidP="00842AB8">
            <w:pPr>
              <w:spacing w:after="0" w:line="240" w:lineRule="auto"/>
              <w:jc w:val="center"/>
              <w:rPr>
                <w:szCs w:val="24"/>
              </w:rPr>
            </w:pPr>
            <w:r w:rsidRPr="00205C71">
              <w:rPr>
                <w:szCs w:val="24"/>
              </w:rPr>
              <w:t>0.85</w:t>
            </w:r>
          </w:p>
        </w:tc>
        <w:tc>
          <w:tcPr>
            <w:tcW w:w="1493" w:type="dxa"/>
          </w:tcPr>
          <w:p w14:paraId="58536645" w14:textId="77777777" w:rsidR="00990F18" w:rsidRPr="00205C71" w:rsidRDefault="00BD2F70" w:rsidP="00842AB8">
            <w:pPr>
              <w:spacing w:after="0" w:line="240" w:lineRule="auto"/>
              <w:jc w:val="center"/>
              <w:rPr>
                <w:szCs w:val="24"/>
              </w:rPr>
            </w:pPr>
            <w:r w:rsidRPr="00205C71">
              <w:rPr>
                <w:szCs w:val="24"/>
              </w:rPr>
              <w:t>0.83</w:t>
            </w:r>
          </w:p>
        </w:tc>
        <w:tc>
          <w:tcPr>
            <w:tcW w:w="1493" w:type="dxa"/>
          </w:tcPr>
          <w:p w14:paraId="1287577C" w14:textId="77777777" w:rsidR="00990F18" w:rsidRPr="00205C71" w:rsidRDefault="00BD2F70" w:rsidP="00842AB8">
            <w:pPr>
              <w:spacing w:after="0" w:line="240" w:lineRule="auto"/>
              <w:jc w:val="center"/>
              <w:rPr>
                <w:szCs w:val="24"/>
              </w:rPr>
            </w:pPr>
            <w:r w:rsidRPr="00205C71">
              <w:rPr>
                <w:szCs w:val="24"/>
              </w:rPr>
              <w:t>0.81</w:t>
            </w:r>
          </w:p>
        </w:tc>
      </w:tr>
      <w:tr w:rsidR="00990F18" w:rsidRPr="00205C71" w14:paraId="2EE29C4C" w14:textId="77777777" w:rsidTr="00842AB8">
        <w:trPr>
          <w:jc w:val="center"/>
        </w:trPr>
        <w:tc>
          <w:tcPr>
            <w:tcW w:w="1710" w:type="dxa"/>
          </w:tcPr>
          <w:p w14:paraId="7CC5E52A" w14:textId="77777777" w:rsidR="00990F18" w:rsidRPr="00205C71" w:rsidRDefault="00BD2F70" w:rsidP="00842AB8">
            <w:pPr>
              <w:spacing w:after="0" w:line="240" w:lineRule="auto"/>
              <w:jc w:val="center"/>
              <w:rPr>
                <w:szCs w:val="24"/>
              </w:rPr>
            </w:pPr>
            <w:r w:rsidRPr="00205C71">
              <w:rPr>
                <w:szCs w:val="24"/>
              </w:rPr>
              <w:t>Raw coverage</w:t>
            </w:r>
          </w:p>
        </w:tc>
        <w:tc>
          <w:tcPr>
            <w:tcW w:w="1487" w:type="dxa"/>
          </w:tcPr>
          <w:p w14:paraId="4EF578B7" w14:textId="77777777" w:rsidR="00990F18" w:rsidRPr="00205C71" w:rsidRDefault="00BD2F70" w:rsidP="00842AB8">
            <w:pPr>
              <w:spacing w:after="0" w:line="240" w:lineRule="auto"/>
              <w:jc w:val="center"/>
              <w:rPr>
                <w:szCs w:val="24"/>
              </w:rPr>
            </w:pPr>
            <w:r w:rsidRPr="00205C71">
              <w:rPr>
                <w:szCs w:val="24"/>
              </w:rPr>
              <w:t>0.42</w:t>
            </w:r>
          </w:p>
        </w:tc>
        <w:tc>
          <w:tcPr>
            <w:tcW w:w="1487" w:type="dxa"/>
          </w:tcPr>
          <w:p w14:paraId="3A24D315" w14:textId="77777777" w:rsidR="00990F18" w:rsidRPr="00205C71" w:rsidRDefault="00BD2F70" w:rsidP="00842AB8">
            <w:pPr>
              <w:spacing w:after="0" w:line="240" w:lineRule="auto"/>
              <w:jc w:val="center"/>
              <w:rPr>
                <w:szCs w:val="24"/>
              </w:rPr>
            </w:pPr>
            <w:r w:rsidRPr="00205C71">
              <w:rPr>
                <w:szCs w:val="24"/>
              </w:rPr>
              <w:t>0.37</w:t>
            </w:r>
          </w:p>
        </w:tc>
        <w:tc>
          <w:tcPr>
            <w:tcW w:w="1493" w:type="dxa"/>
          </w:tcPr>
          <w:p w14:paraId="31C294DC" w14:textId="77777777" w:rsidR="00990F18" w:rsidRPr="00205C71" w:rsidRDefault="00BD2F70" w:rsidP="00842AB8">
            <w:pPr>
              <w:spacing w:after="0" w:line="240" w:lineRule="auto"/>
              <w:jc w:val="center"/>
              <w:rPr>
                <w:szCs w:val="24"/>
              </w:rPr>
            </w:pPr>
            <w:r w:rsidRPr="00205C71">
              <w:rPr>
                <w:szCs w:val="24"/>
              </w:rPr>
              <w:t>0.47</w:t>
            </w:r>
          </w:p>
        </w:tc>
        <w:tc>
          <w:tcPr>
            <w:tcW w:w="1493" w:type="dxa"/>
          </w:tcPr>
          <w:p w14:paraId="10D599A9" w14:textId="77777777" w:rsidR="00990F18" w:rsidRPr="00205C71" w:rsidRDefault="00BD2F70" w:rsidP="00842AB8">
            <w:pPr>
              <w:spacing w:after="0" w:line="240" w:lineRule="auto"/>
              <w:jc w:val="center"/>
              <w:rPr>
                <w:szCs w:val="24"/>
              </w:rPr>
            </w:pPr>
            <w:r w:rsidRPr="00205C71">
              <w:rPr>
                <w:szCs w:val="24"/>
              </w:rPr>
              <w:t>0.39</w:t>
            </w:r>
          </w:p>
        </w:tc>
        <w:tc>
          <w:tcPr>
            <w:tcW w:w="1493" w:type="dxa"/>
          </w:tcPr>
          <w:p w14:paraId="6D74A4C9" w14:textId="77777777" w:rsidR="00990F18" w:rsidRPr="00205C71" w:rsidRDefault="00BD2F70" w:rsidP="00842AB8">
            <w:pPr>
              <w:spacing w:after="0" w:line="240" w:lineRule="auto"/>
              <w:jc w:val="center"/>
              <w:rPr>
                <w:szCs w:val="24"/>
              </w:rPr>
            </w:pPr>
            <w:r w:rsidRPr="00205C71">
              <w:rPr>
                <w:szCs w:val="24"/>
              </w:rPr>
              <w:t>0.30</w:t>
            </w:r>
          </w:p>
        </w:tc>
      </w:tr>
    </w:tbl>
    <w:p w14:paraId="4692CB07" w14:textId="5787987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0.82 / 0.58; emerging = 0.83 / 0.64. Developing-economy solution comprises configurations C1-C2; emerging-economy solution comprises configurations C1-C3.</w:t>
      </w:r>
    </w:p>
    <w:p w14:paraId="71C22B37" w14:textId="77777777" w:rsidR="00842AB8" w:rsidRDefault="00842AB8" w:rsidP="00842AB8">
      <w:pPr>
        <w:spacing w:after="0" w:line="240" w:lineRule="auto"/>
        <w:jc w:val="left"/>
        <w:rPr>
          <w:b/>
          <w:szCs w:val="24"/>
        </w:rPr>
      </w:pPr>
    </w:p>
    <w:p w14:paraId="0883A6F6" w14:textId="248F252A" w:rsidR="00990F18" w:rsidRPr="00842AB8" w:rsidRDefault="00842AB8" w:rsidP="00842AB8">
      <w:pPr>
        <w:spacing w:after="0" w:line="240" w:lineRule="auto"/>
        <w:jc w:val="center"/>
        <w:rPr>
          <w:szCs w:val="24"/>
        </w:rPr>
      </w:pPr>
      <w:r>
        <w:rPr>
          <w:szCs w:val="24"/>
        </w:rPr>
        <w:t>Table 12:</w:t>
      </w:r>
      <w:r w:rsidR="00BD2F70" w:rsidRPr="00842AB8">
        <w:rPr>
          <w:szCs w:val="24"/>
        </w:rPr>
        <w:t xml:space="preserve"> Intermediate solution for high green logistics performance (core and peripheral conditions).</w:t>
      </w:r>
    </w:p>
    <w:tbl>
      <w:tblPr>
        <w:tblStyle w:val="TableGrid"/>
        <w:tblW w:w="0" w:type="auto"/>
        <w:tblInd w:w="-289" w:type="dxa"/>
        <w:tblLook w:val="04A0" w:firstRow="1" w:lastRow="0" w:firstColumn="1" w:lastColumn="0" w:noHBand="0" w:noVBand="1"/>
      </w:tblPr>
      <w:tblGrid>
        <w:gridCol w:w="1840"/>
        <w:gridCol w:w="1490"/>
        <w:gridCol w:w="1490"/>
        <w:gridCol w:w="1495"/>
        <w:gridCol w:w="1495"/>
        <w:gridCol w:w="1495"/>
      </w:tblGrid>
      <w:tr w:rsidR="00990F18" w:rsidRPr="00842AB8" w14:paraId="380F2BD5" w14:textId="77777777" w:rsidTr="00842AB8">
        <w:tc>
          <w:tcPr>
            <w:tcW w:w="1840" w:type="dxa"/>
          </w:tcPr>
          <w:p w14:paraId="3DA8CF8F" w14:textId="77777777" w:rsidR="00990F18" w:rsidRPr="00842AB8" w:rsidRDefault="00BD2F70" w:rsidP="00842AB8">
            <w:pPr>
              <w:spacing w:after="0" w:line="240" w:lineRule="auto"/>
              <w:jc w:val="center"/>
              <w:rPr>
                <w:sz w:val="22"/>
              </w:rPr>
            </w:pPr>
            <w:r w:rsidRPr="00842AB8">
              <w:rPr>
                <w:b/>
                <w:sz w:val="22"/>
              </w:rPr>
              <w:t>Condition</w:t>
            </w:r>
          </w:p>
        </w:tc>
        <w:tc>
          <w:tcPr>
            <w:tcW w:w="1490" w:type="dxa"/>
          </w:tcPr>
          <w:p w14:paraId="102F7087" w14:textId="77777777" w:rsidR="00990F18" w:rsidRPr="00842AB8" w:rsidRDefault="00BD2F70" w:rsidP="00842AB8">
            <w:pPr>
              <w:spacing w:after="0" w:line="240" w:lineRule="auto"/>
              <w:jc w:val="center"/>
              <w:rPr>
                <w:sz w:val="22"/>
              </w:rPr>
            </w:pPr>
            <w:r w:rsidRPr="00842AB8">
              <w:rPr>
                <w:b/>
                <w:sz w:val="22"/>
              </w:rPr>
              <w:t>Dev. C1</w:t>
            </w:r>
          </w:p>
        </w:tc>
        <w:tc>
          <w:tcPr>
            <w:tcW w:w="1490" w:type="dxa"/>
          </w:tcPr>
          <w:p w14:paraId="06FC9AC7" w14:textId="77777777" w:rsidR="00990F18" w:rsidRPr="00842AB8" w:rsidRDefault="00BD2F70" w:rsidP="00842AB8">
            <w:pPr>
              <w:spacing w:after="0" w:line="240" w:lineRule="auto"/>
              <w:jc w:val="center"/>
              <w:rPr>
                <w:sz w:val="22"/>
              </w:rPr>
            </w:pPr>
            <w:r w:rsidRPr="00842AB8">
              <w:rPr>
                <w:b/>
                <w:sz w:val="22"/>
              </w:rPr>
              <w:t>Dev. C2</w:t>
            </w:r>
          </w:p>
        </w:tc>
        <w:tc>
          <w:tcPr>
            <w:tcW w:w="1495" w:type="dxa"/>
          </w:tcPr>
          <w:p w14:paraId="23CA6C75" w14:textId="77777777" w:rsidR="00990F18" w:rsidRPr="00842AB8" w:rsidRDefault="00BD2F70" w:rsidP="00842AB8">
            <w:pPr>
              <w:spacing w:after="0" w:line="240" w:lineRule="auto"/>
              <w:jc w:val="center"/>
              <w:rPr>
                <w:sz w:val="22"/>
              </w:rPr>
            </w:pPr>
            <w:r w:rsidRPr="00842AB8">
              <w:rPr>
                <w:b/>
                <w:sz w:val="22"/>
              </w:rPr>
              <w:t>Eme. C1</w:t>
            </w:r>
          </w:p>
        </w:tc>
        <w:tc>
          <w:tcPr>
            <w:tcW w:w="1495" w:type="dxa"/>
          </w:tcPr>
          <w:p w14:paraId="27AF85C5" w14:textId="77777777" w:rsidR="00990F18" w:rsidRPr="00842AB8" w:rsidRDefault="00BD2F70" w:rsidP="00842AB8">
            <w:pPr>
              <w:spacing w:after="0" w:line="240" w:lineRule="auto"/>
              <w:jc w:val="center"/>
              <w:rPr>
                <w:sz w:val="22"/>
              </w:rPr>
            </w:pPr>
            <w:r w:rsidRPr="00842AB8">
              <w:rPr>
                <w:b/>
                <w:sz w:val="22"/>
              </w:rPr>
              <w:t>Eme. C2</w:t>
            </w:r>
          </w:p>
        </w:tc>
        <w:tc>
          <w:tcPr>
            <w:tcW w:w="1495" w:type="dxa"/>
          </w:tcPr>
          <w:p w14:paraId="13AB9210" w14:textId="77777777" w:rsidR="00990F18" w:rsidRPr="00842AB8" w:rsidRDefault="00BD2F70" w:rsidP="00842AB8">
            <w:pPr>
              <w:spacing w:after="0" w:line="240" w:lineRule="auto"/>
              <w:jc w:val="center"/>
              <w:rPr>
                <w:sz w:val="22"/>
              </w:rPr>
            </w:pPr>
            <w:r w:rsidRPr="00842AB8">
              <w:rPr>
                <w:b/>
                <w:sz w:val="22"/>
              </w:rPr>
              <w:t>Eme. C3</w:t>
            </w:r>
          </w:p>
        </w:tc>
      </w:tr>
      <w:tr w:rsidR="00990F18" w:rsidRPr="00842AB8" w14:paraId="0B0CE9B7" w14:textId="77777777" w:rsidTr="00842AB8">
        <w:tc>
          <w:tcPr>
            <w:tcW w:w="1840" w:type="dxa"/>
          </w:tcPr>
          <w:p w14:paraId="391150D0" w14:textId="77777777" w:rsidR="00990F18" w:rsidRPr="00842AB8" w:rsidRDefault="00BD2F70" w:rsidP="00842AB8">
            <w:pPr>
              <w:spacing w:after="0" w:line="240" w:lineRule="auto"/>
              <w:jc w:val="center"/>
              <w:rPr>
                <w:sz w:val="22"/>
              </w:rPr>
            </w:pPr>
            <w:r w:rsidRPr="00842AB8">
              <w:rPr>
                <w:sz w:val="22"/>
              </w:rPr>
              <w:t>GSCI</w:t>
            </w:r>
          </w:p>
        </w:tc>
        <w:tc>
          <w:tcPr>
            <w:tcW w:w="1490" w:type="dxa"/>
          </w:tcPr>
          <w:p w14:paraId="68560B82" w14:textId="77777777" w:rsidR="00990F18" w:rsidRPr="00842AB8" w:rsidRDefault="00990F18" w:rsidP="00842AB8">
            <w:pPr>
              <w:spacing w:after="0" w:line="240" w:lineRule="auto"/>
              <w:jc w:val="center"/>
              <w:rPr>
                <w:sz w:val="22"/>
              </w:rPr>
            </w:pPr>
          </w:p>
        </w:tc>
        <w:tc>
          <w:tcPr>
            <w:tcW w:w="1490" w:type="dxa"/>
          </w:tcPr>
          <w:p w14:paraId="48047329"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DC2CC2D"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51FC3D8" w14:textId="77777777" w:rsidR="00990F18" w:rsidRPr="00842AB8" w:rsidRDefault="00990F18" w:rsidP="00842AB8">
            <w:pPr>
              <w:spacing w:after="0" w:line="240" w:lineRule="auto"/>
              <w:jc w:val="center"/>
              <w:rPr>
                <w:sz w:val="22"/>
              </w:rPr>
            </w:pPr>
          </w:p>
        </w:tc>
        <w:tc>
          <w:tcPr>
            <w:tcW w:w="1495" w:type="dxa"/>
          </w:tcPr>
          <w:p w14:paraId="0EA92C15" w14:textId="77777777" w:rsidR="00990F18" w:rsidRPr="00842AB8" w:rsidRDefault="00990F18" w:rsidP="00842AB8">
            <w:pPr>
              <w:spacing w:after="0" w:line="240" w:lineRule="auto"/>
              <w:jc w:val="center"/>
              <w:rPr>
                <w:sz w:val="22"/>
              </w:rPr>
            </w:pPr>
          </w:p>
        </w:tc>
      </w:tr>
      <w:tr w:rsidR="00990F18" w:rsidRPr="00842AB8" w14:paraId="3D640FC1" w14:textId="77777777" w:rsidTr="00842AB8">
        <w:tc>
          <w:tcPr>
            <w:tcW w:w="1840" w:type="dxa"/>
          </w:tcPr>
          <w:p w14:paraId="096EBAEB" w14:textId="77777777" w:rsidR="00990F18" w:rsidRPr="00842AB8" w:rsidRDefault="00BD2F70" w:rsidP="00842AB8">
            <w:pPr>
              <w:spacing w:after="0" w:line="240" w:lineRule="auto"/>
              <w:jc w:val="center"/>
              <w:rPr>
                <w:sz w:val="22"/>
              </w:rPr>
            </w:pPr>
            <w:r w:rsidRPr="00842AB8">
              <w:rPr>
                <w:sz w:val="22"/>
              </w:rPr>
              <w:t>RP</w:t>
            </w:r>
          </w:p>
        </w:tc>
        <w:tc>
          <w:tcPr>
            <w:tcW w:w="1490" w:type="dxa"/>
          </w:tcPr>
          <w:p w14:paraId="78058E0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825A4E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2733814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7DF3D22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DD19C41"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r>
      <w:tr w:rsidR="00990F18" w:rsidRPr="00842AB8" w14:paraId="552CE547" w14:textId="77777777" w:rsidTr="00842AB8">
        <w:trPr>
          <w:trHeight w:val="60"/>
        </w:trPr>
        <w:tc>
          <w:tcPr>
            <w:tcW w:w="1840" w:type="dxa"/>
          </w:tcPr>
          <w:p w14:paraId="42BD240C" w14:textId="77777777" w:rsidR="00990F18" w:rsidRPr="00842AB8" w:rsidRDefault="00BD2F70" w:rsidP="00842AB8">
            <w:pPr>
              <w:spacing w:after="0" w:line="240" w:lineRule="auto"/>
              <w:jc w:val="center"/>
              <w:rPr>
                <w:sz w:val="22"/>
              </w:rPr>
            </w:pPr>
            <w:r w:rsidRPr="00842AB8">
              <w:rPr>
                <w:sz w:val="22"/>
              </w:rPr>
              <w:t>DI</w:t>
            </w:r>
          </w:p>
        </w:tc>
        <w:tc>
          <w:tcPr>
            <w:tcW w:w="1490" w:type="dxa"/>
          </w:tcPr>
          <w:p w14:paraId="6D1CBE64"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0" w:type="dxa"/>
          </w:tcPr>
          <w:p w14:paraId="02C100F6"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414E8FC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DEF41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5EC20B00" w14:textId="77777777" w:rsidR="00990F18" w:rsidRPr="00842AB8" w:rsidRDefault="00BD2F70" w:rsidP="00842AB8">
            <w:pPr>
              <w:spacing w:after="0" w:line="240" w:lineRule="auto"/>
              <w:jc w:val="center"/>
              <w:rPr>
                <w:sz w:val="22"/>
              </w:rPr>
            </w:pPr>
            <w:r w:rsidRPr="00842AB8">
              <w:rPr>
                <w:sz w:val="22"/>
              </w:rPr>
              <w:t>●</w:t>
            </w:r>
          </w:p>
        </w:tc>
      </w:tr>
      <w:tr w:rsidR="00990F18" w:rsidRPr="00842AB8" w14:paraId="2278DB2C" w14:textId="77777777" w:rsidTr="00842AB8">
        <w:tc>
          <w:tcPr>
            <w:tcW w:w="1840" w:type="dxa"/>
          </w:tcPr>
          <w:p w14:paraId="3664AC4F" w14:textId="77777777" w:rsidR="00990F18" w:rsidRPr="00842AB8" w:rsidRDefault="00BD2F70" w:rsidP="00842AB8">
            <w:pPr>
              <w:spacing w:after="0" w:line="240" w:lineRule="auto"/>
              <w:jc w:val="center"/>
              <w:rPr>
                <w:sz w:val="22"/>
              </w:rPr>
            </w:pPr>
            <w:r w:rsidRPr="00842AB8">
              <w:rPr>
                <w:sz w:val="22"/>
              </w:rPr>
              <w:t>TMC</w:t>
            </w:r>
          </w:p>
        </w:tc>
        <w:tc>
          <w:tcPr>
            <w:tcW w:w="1490" w:type="dxa"/>
          </w:tcPr>
          <w:p w14:paraId="4F333288" w14:textId="77777777" w:rsidR="00990F18" w:rsidRPr="00842AB8" w:rsidRDefault="00BD2F70" w:rsidP="00842AB8">
            <w:pPr>
              <w:spacing w:after="0" w:line="240" w:lineRule="auto"/>
              <w:jc w:val="center"/>
              <w:rPr>
                <w:sz w:val="22"/>
              </w:rPr>
            </w:pPr>
            <w:r w:rsidRPr="00842AB8">
              <w:rPr>
                <w:sz w:val="22"/>
              </w:rPr>
              <w:t>●</w:t>
            </w:r>
          </w:p>
        </w:tc>
        <w:tc>
          <w:tcPr>
            <w:tcW w:w="1490" w:type="dxa"/>
          </w:tcPr>
          <w:p w14:paraId="7A267175" w14:textId="77777777" w:rsidR="00990F18" w:rsidRPr="00842AB8" w:rsidRDefault="00990F18" w:rsidP="00842AB8">
            <w:pPr>
              <w:spacing w:after="0" w:line="240" w:lineRule="auto"/>
              <w:jc w:val="center"/>
              <w:rPr>
                <w:sz w:val="22"/>
              </w:rPr>
            </w:pPr>
          </w:p>
        </w:tc>
        <w:tc>
          <w:tcPr>
            <w:tcW w:w="1495" w:type="dxa"/>
          </w:tcPr>
          <w:p w14:paraId="2FDB7E7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28FFA98" w14:textId="77777777" w:rsidR="00990F18" w:rsidRPr="00842AB8" w:rsidRDefault="00BD2F70" w:rsidP="00842AB8">
            <w:pPr>
              <w:spacing w:after="0" w:line="240" w:lineRule="auto"/>
              <w:jc w:val="center"/>
              <w:rPr>
                <w:sz w:val="22"/>
              </w:rPr>
            </w:pPr>
            <w:r w:rsidRPr="00842AB8">
              <w:rPr>
                <w:sz w:val="22"/>
              </w:rPr>
              <w:t>●</w:t>
            </w:r>
          </w:p>
        </w:tc>
        <w:tc>
          <w:tcPr>
            <w:tcW w:w="1495" w:type="dxa"/>
          </w:tcPr>
          <w:p w14:paraId="388D5EC1"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2641E12" w14:textId="77777777" w:rsidTr="00842AB8">
        <w:tc>
          <w:tcPr>
            <w:tcW w:w="1840" w:type="dxa"/>
          </w:tcPr>
          <w:p w14:paraId="117CDE49" w14:textId="77777777" w:rsidR="00990F18" w:rsidRPr="00842AB8" w:rsidRDefault="00BD2F70" w:rsidP="00842AB8">
            <w:pPr>
              <w:spacing w:after="0" w:line="240" w:lineRule="auto"/>
              <w:jc w:val="center"/>
              <w:rPr>
                <w:sz w:val="22"/>
              </w:rPr>
            </w:pPr>
            <w:r w:rsidRPr="00842AB8">
              <w:rPr>
                <w:sz w:val="22"/>
              </w:rPr>
              <w:t>SP</w:t>
            </w:r>
          </w:p>
        </w:tc>
        <w:tc>
          <w:tcPr>
            <w:tcW w:w="1490" w:type="dxa"/>
          </w:tcPr>
          <w:p w14:paraId="7E684BF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23649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7BFAA3E"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EF30ADC" w14:textId="77777777" w:rsidR="00990F18" w:rsidRPr="00842AB8" w:rsidRDefault="00990F18" w:rsidP="00842AB8">
            <w:pPr>
              <w:spacing w:after="0" w:line="240" w:lineRule="auto"/>
              <w:jc w:val="center"/>
              <w:rPr>
                <w:sz w:val="22"/>
              </w:rPr>
            </w:pPr>
          </w:p>
        </w:tc>
        <w:tc>
          <w:tcPr>
            <w:tcW w:w="1495" w:type="dxa"/>
          </w:tcPr>
          <w:p w14:paraId="1CF44768"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A6E919D" w14:textId="77777777" w:rsidTr="00842AB8">
        <w:tc>
          <w:tcPr>
            <w:tcW w:w="1840" w:type="dxa"/>
          </w:tcPr>
          <w:p w14:paraId="35E288B5" w14:textId="77777777" w:rsidR="00990F18" w:rsidRPr="00842AB8" w:rsidRDefault="00BD2F70" w:rsidP="00842AB8">
            <w:pPr>
              <w:spacing w:after="0" w:line="240" w:lineRule="auto"/>
              <w:jc w:val="center"/>
              <w:rPr>
                <w:sz w:val="22"/>
              </w:rPr>
            </w:pPr>
            <w:r w:rsidRPr="00842AB8">
              <w:rPr>
                <w:sz w:val="22"/>
              </w:rPr>
              <w:t>CBI</w:t>
            </w:r>
          </w:p>
        </w:tc>
        <w:tc>
          <w:tcPr>
            <w:tcW w:w="1490" w:type="dxa"/>
          </w:tcPr>
          <w:p w14:paraId="4EA35E5F" w14:textId="77777777" w:rsidR="00990F18" w:rsidRPr="00842AB8" w:rsidRDefault="00BD2F70" w:rsidP="00842AB8">
            <w:pPr>
              <w:spacing w:after="0" w:line="240" w:lineRule="auto"/>
              <w:jc w:val="center"/>
              <w:rPr>
                <w:sz w:val="22"/>
              </w:rPr>
            </w:pPr>
            <w:r w:rsidRPr="00842AB8">
              <w:rPr>
                <w:sz w:val="22"/>
              </w:rPr>
              <w:t>●</w:t>
            </w:r>
          </w:p>
        </w:tc>
        <w:tc>
          <w:tcPr>
            <w:tcW w:w="1490" w:type="dxa"/>
          </w:tcPr>
          <w:p w14:paraId="6C683B73" w14:textId="77777777" w:rsidR="00990F18" w:rsidRPr="00842AB8" w:rsidRDefault="00990F18" w:rsidP="00842AB8">
            <w:pPr>
              <w:spacing w:after="0" w:line="240" w:lineRule="auto"/>
              <w:jc w:val="center"/>
              <w:rPr>
                <w:sz w:val="22"/>
              </w:rPr>
            </w:pPr>
          </w:p>
        </w:tc>
        <w:tc>
          <w:tcPr>
            <w:tcW w:w="1495" w:type="dxa"/>
          </w:tcPr>
          <w:p w14:paraId="75BD9BE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06136AD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31F6F700" w14:textId="77777777" w:rsidR="00990F18" w:rsidRPr="00842AB8" w:rsidRDefault="00990F18" w:rsidP="00842AB8">
            <w:pPr>
              <w:spacing w:after="0" w:line="240" w:lineRule="auto"/>
              <w:jc w:val="center"/>
              <w:rPr>
                <w:sz w:val="22"/>
              </w:rPr>
            </w:pPr>
          </w:p>
        </w:tc>
      </w:tr>
      <w:tr w:rsidR="00990F18" w:rsidRPr="00842AB8" w14:paraId="774128A5" w14:textId="77777777" w:rsidTr="00842AB8">
        <w:tc>
          <w:tcPr>
            <w:tcW w:w="1840" w:type="dxa"/>
          </w:tcPr>
          <w:p w14:paraId="2ED53357" w14:textId="77777777" w:rsidR="00990F18" w:rsidRPr="00842AB8" w:rsidRDefault="00BD2F70" w:rsidP="00842AB8">
            <w:pPr>
              <w:spacing w:after="0" w:line="240" w:lineRule="auto"/>
              <w:jc w:val="center"/>
              <w:rPr>
                <w:sz w:val="22"/>
              </w:rPr>
            </w:pPr>
            <w:r w:rsidRPr="00842AB8">
              <w:rPr>
                <w:sz w:val="22"/>
              </w:rPr>
              <w:t>KSR</w:t>
            </w:r>
          </w:p>
        </w:tc>
        <w:tc>
          <w:tcPr>
            <w:tcW w:w="1490" w:type="dxa"/>
          </w:tcPr>
          <w:p w14:paraId="441F5B62" w14:textId="77777777" w:rsidR="00990F18" w:rsidRPr="00842AB8" w:rsidRDefault="00990F18" w:rsidP="00842AB8">
            <w:pPr>
              <w:spacing w:after="0" w:line="240" w:lineRule="auto"/>
              <w:jc w:val="center"/>
              <w:rPr>
                <w:sz w:val="22"/>
              </w:rPr>
            </w:pPr>
          </w:p>
        </w:tc>
        <w:tc>
          <w:tcPr>
            <w:tcW w:w="1490" w:type="dxa"/>
          </w:tcPr>
          <w:p w14:paraId="0201A316"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3DA265D" w14:textId="77777777" w:rsidR="00990F18" w:rsidRPr="00842AB8" w:rsidRDefault="00990F18" w:rsidP="00842AB8">
            <w:pPr>
              <w:spacing w:after="0" w:line="240" w:lineRule="auto"/>
              <w:jc w:val="center"/>
              <w:rPr>
                <w:sz w:val="22"/>
              </w:rPr>
            </w:pPr>
          </w:p>
        </w:tc>
        <w:tc>
          <w:tcPr>
            <w:tcW w:w="1495" w:type="dxa"/>
          </w:tcPr>
          <w:p w14:paraId="32FE671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4C5119A" w14:textId="77777777" w:rsidR="00990F18" w:rsidRPr="00842AB8" w:rsidRDefault="00BD2F70" w:rsidP="00842AB8">
            <w:pPr>
              <w:spacing w:after="0" w:line="240" w:lineRule="auto"/>
              <w:jc w:val="center"/>
              <w:rPr>
                <w:sz w:val="22"/>
              </w:rPr>
            </w:pPr>
            <w:r w:rsidRPr="00842AB8">
              <w:rPr>
                <w:sz w:val="22"/>
              </w:rPr>
              <w:t>●</w:t>
            </w:r>
          </w:p>
        </w:tc>
      </w:tr>
      <w:tr w:rsidR="00990F18" w:rsidRPr="00842AB8" w14:paraId="55C5A093" w14:textId="77777777" w:rsidTr="00842AB8">
        <w:tc>
          <w:tcPr>
            <w:tcW w:w="1840" w:type="dxa"/>
          </w:tcPr>
          <w:p w14:paraId="19C12AC5" w14:textId="77777777" w:rsidR="00990F18" w:rsidRPr="00842AB8" w:rsidRDefault="00BD2F70" w:rsidP="00842AB8">
            <w:pPr>
              <w:spacing w:after="0" w:line="240" w:lineRule="auto"/>
              <w:jc w:val="center"/>
              <w:rPr>
                <w:sz w:val="22"/>
              </w:rPr>
            </w:pPr>
            <w:r w:rsidRPr="00842AB8">
              <w:rPr>
                <w:sz w:val="22"/>
              </w:rPr>
              <w:lastRenderedPageBreak/>
              <w:t>Configuration consistency</w:t>
            </w:r>
          </w:p>
        </w:tc>
        <w:tc>
          <w:tcPr>
            <w:tcW w:w="1490" w:type="dxa"/>
          </w:tcPr>
          <w:p w14:paraId="22927F8A" w14:textId="77777777" w:rsidR="00990F18" w:rsidRPr="00842AB8" w:rsidRDefault="00BD2F70" w:rsidP="00842AB8">
            <w:pPr>
              <w:spacing w:after="0" w:line="240" w:lineRule="auto"/>
              <w:jc w:val="center"/>
              <w:rPr>
                <w:sz w:val="22"/>
              </w:rPr>
            </w:pPr>
            <w:r w:rsidRPr="00842AB8">
              <w:rPr>
                <w:sz w:val="22"/>
              </w:rPr>
              <w:t>0.87</w:t>
            </w:r>
          </w:p>
        </w:tc>
        <w:tc>
          <w:tcPr>
            <w:tcW w:w="1490" w:type="dxa"/>
          </w:tcPr>
          <w:p w14:paraId="69339EE8" w14:textId="77777777" w:rsidR="00990F18" w:rsidRPr="00842AB8" w:rsidRDefault="00BD2F70" w:rsidP="00842AB8">
            <w:pPr>
              <w:spacing w:after="0" w:line="240" w:lineRule="auto"/>
              <w:jc w:val="center"/>
              <w:rPr>
                <w:sz w:val="22"/>
              </w:rPr>
            </w:pPr>
            <w:r w:rsidRPr="00842AB8">
              <w:rPr>
                <w:sz w:val="22"/>
              </w:rPr>
              <w:t>0.85</w:t>
            </w:r>
          </w:p>
        </w:tc>
        <w:tc>
          <w:tcPr>
            <w:tcW w:w="1495" w:type="dxa"/>
          </w:tcPr>
          <w:p w14:paraId="7C6418F2" w14:textId="77777777" w:rsidR="00990F18" w:rsidRPr="00842AB8" w:rsidRDefault="00BD2F70" w:rsidP="00842AB8">
            <w:pPr>
              <w:spacing w:after="0" w:line="240" w:lineRule="auto"/>
              <w:jc w:val="center"/>
              <w:rPr>
                <w:sz w:val="22"/>
              </w:rPr>
            </w:pPr>
            <w:r w:rsidRPr="00842AB8">
              <w:rPr>
                <w:sz w:val="22"/>
              </w:rPr>
              <w:t>0.89</w:t>
            </w:r>
          </w:p>
        </w:tc>
        <w:tc>
          <w:tcPr>
            <w:tcW w:w="1495" w:type="dxa"/>
          </w:tcPr>
          <w:p w14:paraId="271E06FC" w14:textId="77777777" w:rsidR="00990F18" w:rsidRPr="00842AB8" w:rsidRDefault="00BD2F70" w:rsidP="00842AB8">
            <w:pPr>
              <w:spacing w:after="0" w:line="240" w:lineRule="auto"/>
              <w:jc w:val="center"/>
              <w:rPr>
                <w:sz w:val="22"/>
              </w:rPr>
            </w:pPr>
            <w:r w:rsidRPr="00842AB8">
              <w:rPr>
                <w:sz w:val="22"/>
              </w:rPr>
              <w:t>0.86</w:t>
            </w:r>
          </w:p>
        </w:tc>
        <w:tc>
          <w:tcPr>
            <w:tcW w:w="1495" w:type="dxa"/>
          </w:tcPr>
          <w:p w14:paraId="45FEA9D1" w14:textId="77777777" w:rsidR="00990F18" w:rsidRPr="00842AB8" w:rsidRDefault="00BD2F70" w:rsidP="00842AB8">
            <w:pPr>
              <w:spacing w:after="0" w:line="240" w:lineRule="auto"/>
              <w:jc w:val="center"/>
              <w:rPr>
                <w:sz w:val="22"/>
              </w:rPr>
            </w:pPr>
            <w:r w:rsidRPr="00842AB8">
              <w:rPr>
                <w:sz w:val="22"/>
              </w:rPr>
              <w:t>0.83</w:t>
            </w:r>
          </w:p>
        </w:tc>
      </w:tr>
      <w:tr w:rsidR="00990F18" w:rsidRPr="00842AB8" w14:paraId="7EBFF020" w14:textId="77777777" w:rsidTr="00842AB8">
        <w:tc>
          <w:tcPr>
            <w:tcW w:w="1840" w:type="dxa"/>
          </w:tcPr>
          <w:p w14:paraId="19AE0597" w14:textId="77777777" w:rsidR="00990F18" w:rsidRPr="00842AB8" w:rsidRDefault="00BD2F70" w:rsidP="00842AB8">
            <w:pPr>
              <w:spacing w:after="0" w:line="240" w:lineRule="auto"/>
              <w:jc w:val="center"/>
              <w:rPr>
                <w:sz w:val="22"/>
              </w:rPr>
            </w:pPr>
            <w:r w:rsidRPr="00842AB8">
              <w:rPr>
                <w:sz w:val="22"/>
              </w:rPr>
              <w:t>Raw coverage</w:t>
            </w:r>
          </w:p>
        </w:tc>
        <w:tc>
          <w:tcPr>
            <w:tcW w:w="1490" w:type="dxa"/>
          </w:tcPr>
          <w:p w14:paraId="441931B2" w14:textId="77777777" w:rsidR="00990F18" w:rsidRPr="00842AB8" w:rsidRDefault="00BD2F70" w:rsidP="00842AB8">
            <w:pPr>
              <w:spacing w:after="0" w:line="240" w:lineRule="auto"/>
              <w:jc w:val="center"/>
              <w:rPr>
                <w:sz w:val="22"/>
              </w:rPr>
            </w:pPr>
            <w:r w:rsidRPr="00842AB8">
              <w:rPr>
                <w:sz w:val="22"/>
              </w:rPr>
              <w:t>0.34</w:t>
            </w:r>
          </w:p>
        </w:tc>
        <w:tc>
          <w:tcPr>
            <w:tcW w:w="1490" w:type="dxa"/>
          </w:tcPr>
          <w:p w14:paraId="15944A37" w14:textId="77777777" w:rsidR="00990F18" w:rsidRPr="00842AB8" w:rsidRDefault="00BD2F70" w:rsidP="00842AB8">
            <w:pPr>
              <w:spacing w:after="0" w:line="240" w:lineRule="auto"/>
              <w:jc w:val="center"/>
              <w:rPr>
                <w:sz w:val="22"/>
              </w:rPr>
            </w:pPr>
            <w:r w:rsidRPr="00842AB8">
              <w:rPr>
                <w:sz w:val="22"/>
              </w:rPr>
              <w:t>0.29</w:t>
            </w:r>
          </w:p>
        </w:tc>
        <w:tc>
          <w:tcPr>
            <w:tcW w:w="1495" w:type="dxa"/>
          </w:tcPr>
          <w:p w14:paraId="74EFDD92" w14:textId="77777777" w:rsidR="00990F18" w:rsidRPr="00842AB8" w:rsidRDefault="00BD2F70" w:rsidP="00842AB8">
            <w:pPr>
              <w:spacing w:after="0" w:line="240" w:lineRule="auto"/>
              <w:jc w:val="center"/>
              <w:rPr>
                <w:sz w:val="22"/>
              </w:rPr>
            </w:pPr>
            <w:r w:rsidRPr="00842AB8">
              <w:rPr>
                <w:sz w:val="22"/>
              </w:rPr>
              <w:t>0.38</w:t>
            </w:r>
          </w:p>
        </w:tc>
        <w:tc>
          <w:tcPr>
            <w:tcW w:w="1495" w:type="dxa"/>
          </w:tcPr>
          <w:p w14:paraId="31140FB8" w14:textId="77777777" w:rsidR="00990F18" w:rsidRPr="00842AB8" w:rsidRDefault="00BD2F70" w:rsidP="00842AB8">
            <w:pPr>
              <w:spacing w:after="0" w:line="240" w:lineRule="auto"/>
              <w:jc w:val="center"/>
              <w:rPr>
                <w:sz w:val="22"/>
              </w:rPr>
            </w:pPr>
            <w:r w:rsidRPr="00842AB8">
              <w:rPr>
                <w:sz w:val="22"/>
              </w:rPr>
              <w:t>0.31</w:t>
            </w:r>
          </w:p>
        </w:tc>
        <w:tc>
          <w:tcPr>
            <w:tcW w:w="1495" w:type="dxa"/>
          </w:tcPr>
          <w:p w14:paraId="69ABCC0D" w14:textId="77777777" w:rsidR="00990F18" w:rsidRPr="00842AB8" w:rsidRDefault="00BD2F70" w:rsidP="00842AB8">
            <w:pPr>
              <w:spacing w:after="0" w:line="240" w:lineRule="auto"/>
              <w:jc w:val="center"/>
              <w:rPr>
                <w:sz w:val="22"/>
              </w:rPr>
            </w:pPr>
            <w:r w:rsidRPr="00842AB8">
              <w:rPr>
                <w:sz w:val="22"/>
              </w:rPr>
              <w:t>0.22</w:t>
            </w:r>
          </w:p>
        </w:tc>
      </w:tr>
      <w:tr w:rsidR="00990F18" w:rsidRPr="00842AB8" w14:paraId="244E9740" w14:textId="77777777" w:rsidTr="00842AB8">
        <w:tc>
          <w:tcPr>
            <w:tcW w:w="1840" w:type="dxa"/>
          </w:tcPr>
          <w:p w14:paraId="246C00ED" w14:textId="77777777" w:rsidR="00990F18" w:rsidRPr="00842AB8" w:rsidRDefault="00BD2F70" w:rsidP="00842AB8">
            <w:pPr>
              <w:spacing w:after="0" w:line="240" w:lineRule="auto"/>
              <w:jc w:val="center"/>
              <w:rPr>
                <w:sz w:val="22"/>
              </w:rPr>
            </w:pPr>
            <w:r w:rsidRPr="00842AB8">
              <w:rPr>
                <w:sz w:val="22"/>
              </w:rPr>
              <w:t>Unique coverage</w:t>
            </w:r>
          </w:p>
        </w:tc>
        <w:tc>
          <w:tcPr>
            <w:tcW w:w="1490" w:type="dxa"/>
          </w:tcPr>
          <w:p w14:paraId="5E6C3CF7" w14:textId="77777777" w:rsidR="00990F18" w:rsidRPr="00842AB8" w:rsidRDefault="00BD2F70" w:rsidP="00842AB8">
            <w:pPr>
              <w:spacing w:after="0" w:line="240" w:lineRule="auto"/>
              <w:jc w:val="center"/>
              <w:rPr>
                <w:sz w:val="22"/>
              </w:rPr>
            </w:pPr>
            <w:r w:rsidRPr="00842AB8">
              <w:rPr>
                <w:sz w:val="22"/>
              </w:rPr>
              <w:t>0.19</w:t>
            </w:r>
          </w:p>
        </w:tc>
        <w:tc>
          <w:tcPr>
            <w:tcW w:w="1490" w:type="dxa"/>
          </w:tcPr>
          <w:p w14:paraId="796BCAC2" w14:textId="77777777" w:rsidR="00990F18" w:rsidRPr="00842AB8" w:rsidRDefault="00BD2F70" w:rsidP="00842AB8">
            <w:pPr>
              <w:spacing w:after="0" w:line="240" w:lineRule="auto"/>
              <w:jc w:val="center"/>
              <w:rPr>
                <w:sz w:val="22"/>
              </w:rPr>
            </w:pPr>
            <w:r w:rsidRPr="00842AB8">
              <w:rPr>
                <w:sz w:val="22"/>
              </w:rPr>
              <w:t>0.14</w:t>
            </w:r>
          </w:p>
        </w:tc>
        <w:tc>
          <w:tcPr>
            <w:tcW w:w="1495" w:type="dxa"/>
          </w:tcPr>
          <w:p w14:paraId="374E7E6C" w14:textId="77777777" w:rsidR="00990F18" w:rsidRPr="00842AB8" w:rsidRDefault="00BD2F70" w:rsidP="00842AB8">
            <w:pPr>
              <w:spacing w:after="0" w:line="240" w:lineRule="auto"/>
              <w:jc w:val="center"/>
              <w:rPr>
                <w:sz w:val="22"/>
              </w:rPr>
            </w:pPr>
            <w:r w:rsidRPr="00842AB8">
              <w:rPr>
                <w:sz w:val="22"/>
              </w:rPr>
              <w:t>0.17</w:t>
            </w:r>
          </w:p>
        </w:tc>
        <w:tc>
          <w:tcPr>
            <w:tcW w:w="1495" w:type="dxa"/>
          </w:tcPr>
          <w:p w14:paraId="5954B825" w14:textId="77777777" w:rsidR="00990F18" w:rsidRPr="00842AB8" w:rsidRDefault="00BD2F70" w:rsidP="00842AB8">
            <w:pPr>
              <w:spacing w:after="0" w:line="240" w:lineRule="auto"/>
              <w:jc w:val="center"/>
              <w:rPr>
                <w:sz w:val="22"/>
              </w:rPr>
            </w:pPr>
            <w:r w:rsidRPr="00842AB8">
              <w:rPr>
                <w:sz w:val="22"/>
              </w:rPr>
              <w:t>0.12</w:t>
            </w:r>
          </w:p>
        </w:tc>
        <w:tc>
          <w:tcPr>
            <w:tcW w:w="1495" w:type="dxa"/>
          </w:tcPr>
          <w:p w14:paraId="22294526" w14:textId="77777777" w:rsidR="00990F18" w:rsidRPr="00842AB8" w:rsidRDefault="00BD2F70" w:rsidP="00842AB8">
            <w:pPr>
              <w:spacing w:after="0" w:line="240" w:lineRule="auto"/>
              <w:jc w:val="center"/>
              <w:rPr>
                <w:sz w:val="22"/>
              </w:rPr>
            </w:pPr>
            <w:r w:rsidRPr="00842AB8">
              <w:rPr>
                <w:sz w:val="22"/>
              </w:rPr>
              <w:t>0.08</w:t>
            </w:r>
          </w:p>
        </w:tc>
      </w:tr>
    </w:tbl>
    <w:p w14:paraId="760D40EC" w14:textId="53784D68"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0.84 / 0.41; emerging = 0.86 / 0.52.</w:t>
      </w:r>
    </w:p>
    <w:p w14:paraId="514F4856" w14:textId="77777777" w:rsidR="00842AB8" w:rsidRDefault="00842AB8" w:rsidP="00842AB8">
      <w:pPr>
        <w:spacing w:after="0" w:line="240" w:lineRule="auto"/>
        <w:jc w:val="left"/>
        <w:rPr>
          <w:b/>
          <w:szCs w:val="24"/>
        </w:rPr>
      </w:pPr>
    </w:p>
    <w:p w14:paraId="7580934B" w14:textId="0D55446D" w:rsidR="00990F18" w:rsidRPr="00842AB8" w:rsidRDefault="00842AB8" w:rsidP="00842AB8">
      <w:pPr>
        <w:spacing w:after="0" w:line="240" w:lineRule="auto"/>
        <w:jc w:val="center"/>
        <w:rPr>
          <w:szCs w:val="24"/>
        </w:rPr>
      </w:pPr>
      <w:r w:rsidRPr="00842AB8">
        <w:rPr>
          <w:szCs w:val="24"/>
        </w:rPr>
        <w:t>Table 13:</w:t>
      </w:r>
      <w:r w:rsidR="00BD2F70" w:rsidRPr="00842AB8">
        <w:rPr>
          <w:szCs w:val="24"/>
        </w:rPr>
        <w:t xml:space="preserve"> Complex solution for high green logistics performance (no</w:t>
      </w:r>
      <w:r w:rsidRPr="00842AB8">
        <w:rPr>
          <w:szCs w:val="24"/>
        </w:rPr>
        <w:t xml:space="preserve"> counterfactual simplification)</w:t>
      </w:r>
    </w:p>
    <w:tbl>
      <w:tblPr>
        <w:tblStyle w:val="TableGrid"/>
        <w:tblW w:w="0" w:type="auto"/>
        <w:jc w:val="center"/>
        <w:tblLook w:val="04A0" w:firstRow="1" w:lastRow="0" w:firstColumn="1" w:lastColumn="0" w:noHBand="0" w:noVBand="1"/>
      </w:tblPr>
      <w:tblGrid>
        <w:gridCol w:w="1551"/>
        <w:gridCol w:w="1490"/>
        <w:gridCol w:w="1490"/>
        <w:gridCol w:w="1495"/>
        <w:gridCol w:w="1495"/>
        <w:gridCol w:w="1495"/>
      </w:tblGrid>
      <w:tr w:rsidR="00990F18" w:rsidRPr="00842AB8" w14:paraId="37034A13" w14:textId="77777777" w:rsidTr="00842AB8">
        <w:trPr>
          <w:jc w:val="center"/>
        </w:trPr>
        <w:tc>
          <w:tcPr>
            <w:tcW w:w="1560" w:type="dxa"/>
          </w:tcPr>
          <w:p w14:paraId="609FA44C" w14:textId="77777777" w:rsidR="00990F18" w:rsidRPr="00842AB8" w:rsidRDefault="00BD2F70" w:rsidP="00842AB8">
            <w:pPr>
              <w:spacing w:after="0" w:line="240" w:lineRule="auto"/>
              <w:jc w:val="center"/>
              <w:rPr>
                <w:sz w:val="22"/>
                <w:szCs w:val="24"/>
              </w:rPr>
            </w:pPr>
            <w:r w:rsidRPr="00842AB8">
              <w:rPr>
                <w:b/>
                <w:sz w:val="22"/>
                <w:szCs w:val="24"/>
              </w:rPr>
              <w:t>Condition</w:t>
            </w:r>
          </w:p>
        </w:tc>
        <w:tc>
          <w:tcPr>
            <w:tcW w:w="1560" w:type="dxa"/>
          </w:tcPr>
          <w:p w14:paraId="676EE1C8" w14:textId="77777777" w:rsidR="00990F18" w:rsidRPr="00842AB8" w:rsidRDefault="00BD2F70" w:rsidP="00842AB8">
            <w:pPr>
              <w:spacing w:after="0" w:line="240" w:lineRule="auto"/>
              <w:jc w:val="center"/>
              <w:rPr>
                <w:sz w:val="22"/>
                <w:szCs w:val="24"/>
              </w:rPr>
            </w:pPr>
            <w:r w:rsidRPr="00842AB8">
              <w:rPr>
                <w:b/>
                <w:sz w:val="22"/>
                <w:szCs w:val="24"/>
              </w:rPr>
              <w:t>Dev. C1</w:t>
            </w:r>
          </w:p>
        </w:tc>
        <w:tc>
          <w:tcPr>
            <w:tcW w:w="1560" w:type="dxa"/>
          </w:tcPr>
          <w:p w14:paraId="23D89E42" w14:textId="77777777" w:rsidR="00990F18" w:rsidRPr="00842AB8" w:rsidRDefault="00BD2F70" w:rsidP="00842AB8">
            <w:pPr>
              <w:spacing w:after="0" w:line="240" w:lineRule="auto"/>
              <w:jc w:val="center"/>
              <w:rPr>
                <w:sz w:val="22"/>
                <w:szCs w:val="24"/>
              </w:rPr>
            </w:pPr>
            <w:r w:rsidRPr="00842AB8">
              <w:rPr>
                <w:b/>
                <w:sz w:val="22"/>
                <w:szCs w:val="24"/>
              </w:rPr>
              <w:t>Dev. C2</w:t>
            </w:r>
          </w:p>
        </w:tc>
        <w:tc>
          <w:tcPr>
            <w:tcW w:w="1560" w:type="dxa"/>
          </w:tcPr>
          <w:p w14:paraId="483C1355" w14:textId="77777777" w:rsidR="00990F18" w:rsidRPr="00842AB8" w:rsidRDefault="00BD2F70" w:rsidP="00842AB8">
            <w:pPr>
              <w:spacing w:after="0" w:line="240" w:lineRule="auto"/>
              <w:jc w:val="center"/>
              <w:rPr>
                <w:sz w:val="22"/>
                <w:szCs w:val="24"/>
              </w:rPr>
            </w:pPr>
            <w:r w:rsidRPr="00842AB8">
              <w:rPr>
                <w:b/>
                <w:sz w:val="22"/>
                <w:szCs w:val="24"/>
              </w:rPr>
              <w:t>Eme. C1</w:t>
            </w:r>
          </w:p>
        </w:tc>
        <w:tc>
          <w:tcPr>
            <w:tcW w:w="1560" w:type="dxa"/>
          </w:tcPr>
          <w:p w14:paraId="43BE770D" w14:textId="77777777" w:rsidR="00990F18" w:rsidRPr="00842AB8" w:rsidRDefault="00BD2F70" w:rsidP="00842AB8">
            <w:pPr>
              <w:spacing w:after="0" w:line="240" w:lineRule="auto"/>
              <w:jc w:val="center"/>
              <w:rPr>
                <w:sz w:val="22"/>
                <w:szCs w:val="24"/>
              </w:rPr>
            </w:pPr>
            <w:r w:rsidRPr="00842AB8">
              <w:rPr>
                <w:b/>
                <w:sz w:val="22"/>
                <w:szCs w:val="24"/>
              </w:rPr>
              <w:t>Eme. C2</w:t>
            </w:r>
          </w:p>
        </w:tc>
        <w:tc>
          <w:tcPr>
            <w:tcW w:w="1560" w:type="dxa"/>
          </w:tcPr>
          <w:p w14:paraId="7CE9F906" w14:textId="77777777" w:rsidR="00990F18" w:rsidRPr="00842AB8" w:rsidRDefault="00BD2F70" w:rsidP="00842AB8">
            <w:pPr>
              <w:spacing w:after="0" w:line="240" w:lineRule="auto"/>
              <w:jc w:val="center"/>
              <w:rPr>
                <w:sz w:val="22"/>
                <w:szCs w:val="24"/>
              </w:rPr>
            </w:pPr>
            <w:r w:rsidRPr="00842AB8">
              <w:rPr>
                <w:b/>
                <w:sz w:val="22"/>
                <w:szCs w:val="24"/>
              </w:rPr>
              <w:t>Eme. C3</w:t>
            </w:r>
          </w:p>
        </w:tc>
      </w:tr>
      <w:tr w:rsidR="00990F18" w:rsidRPr="00842AB8" w14:paraId="0E44E136" w14:textId="77777777" w:rsidTr="00842AB8">
        <w:trPr>
          <w:jc w:val="center"/>
        </w:trPr>
        <w:tc>
          <w:tcPr>
            <w:tcW w:w="1560" w:type="dxa"/>
          </w:tcPr>
          <w:p w14:paraId="143D8E27" w14:textId="77777777" w:rsidR="00990F18" w:rsidRPr="00842AB8" w:rsidRDefault="00BD2F70" w:rsidP="00842AB8">
            <w:pPr>
              <w:spacing w:after="0" w:line="240" w:lineRule="auto"/>
              <w:jc w:val="center"/>
              <w:rPr>
                <w:sz w:val="22"/>
                <w:szCs w:val="24"/>
              </w:rPr>
            </w:pPr>
            <w:r w:rsidRPr="00842AB8">
              <w:rPr>
                <w:sz w:val="22"/>
                <w:szCs w:val="24"/>
              </w:rPr>
              <w:t>GSCI</w:t>
            </w:r>
          </w:p>
        </w:tc>
        <w:tc>
          <w:tcPr>
            <w:tcW w:w="1560" w:type="dxa"/>
          </w:tcPr>
          <w:p w14:paraId="18831A1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88C35A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35F4017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CE9275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973123"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4BE0A684" w14:textId="77777777" w:rsidTr="00842AB8">
        <w:trPr>
          <w:jc w:val="center"/>
        </w:trPr>
        <w:tc>
          <w:tcPr>
            <w:tcW w:w="1560" w:type="dxa"/>
          </w:tcPr>
          <w:p w14:paraId="038091C3" w14:textId="77777777" w:rsidR="00990F18" w:rsidRPr="00842AB8" w:rsidRDefault="00BD2F70" w:rsidP="00842AB8">
            <w:pPr>
              <w:spacing w:after="0" w:line="240" w:lineRule="auto"/>
              <w:jc w:val="center"/>
              <w:rPr>
                <w:sz w:val="22"/>
                <w:szCs w:val="24"/>
              </w:rPr>
            </w:pPr>
            <w:r w:rsidRPr="00842AB8">
              <w:rPr>
                <w:sz w:val="22"/>
                <w:szCs w:val="24"/>
              </w:rPr>
              <w:t>RP</w:t>
            </w:r>
          </w:p>
        </w:tc>
        <w:tc>
          <w:tcPr>
            <w:tcW w:w="1560" w:type="dxa"/>
          </w:tcPr>
          <w:p w14:paraId="7664A1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0D9C7B9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3F0E3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591198E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3234A28"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2028C794" w14:textId="77777777" w:rsidTr="00842AB8">
        <w:trPr>
          <w:jc w:val="center"/>
        </w:trPr>
        <w:tc>
          <w:tcPr>
            <w:tcW w:w="1560" w:type="dxa"/>
          </w:tcPr>
          <w:p w14:paraId="0460E275" w14:textId="77777777" w:rsidR="00990F18" w:rsidRPr="00842AB8" w:rsidRDefault="00BD2F70" w:rsidP="00842AB8">
            <w:pPr>
              <w:spacing w:after="0" w:line="240" w:lineRule="auto"/>
              <w:jc w:val="center"/>
              <w:rPr>
                <w:sz w:val="22"/>
                <w:szCs w:val="24"/>
              </w:rPr>
            </w:pPr>
            <w:r w:rsidRPr="00842AB8">
              <w:rPr>
                <w:sz w:val="22"/>
                <w:szCs w:val="24"/>
              </w:rPr>
              <w:t>DI</w:t>
            </w:r>
          </w:p>
        </w:tc>
        <w:tc>
          <w:tcPr>
            <w:tcW w:w="1560" w:type="dxa"/>
          </w:tcPr>
          <w:p w14:paraId="13DC6771"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97911B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4A9BE7A"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EFD00B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B128297"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4B7826A1" w14:textId="77777777" w:rsidTr="00842AB8">
        <w:trPr>
          <w:jc w:val="center"/>
        </w:trPr>
        <w:tc>
          <w:tcPr>
            <w:tcW w:w="1560" w:type="dxa"/>
          </w:tcPr>
          <w:p w14:paraId="577D41BF" w14:textId="77777777" w:rsidR="00990F18" w:rsidRPr="00842AB8" w:rsidRDefault="00BD2F70" w:rsidP="00842AB8">
            <w:pPr>
              <w:spacing w:after="0" w:line="240" w:lineRule="auto"/>
              <w:jc w:val="center"/>
              <w:rPr>
                <w:sz w:val="22"/>
                <w:szCs w:val="24"/>
              </w:rPr>
            </w:pPr>
            <w:r w:rsidRPr="00842AB8">
              <w:rPr>
                <w:sz w:val="22"/>
                <w:szCs w:val="24"/>
              </w:rPr>
              <w:t>TMC</w:t>
            </w:r>
          </w:p>
        </w:tc>
        <w:tc>
          <w:tcPr>
            <w:tcW w:w="1560" w:type="dxa"/>
          </w:tcPr>
          <w:p w14:paraId="7B501313"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9F8C62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7D77301"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63D23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384748D"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18FE2F3" w14:textId="77777777" w:rsidTr="00842AB8">
        <w:trPr>
          <w:jc w:val="center"/>
        </w:trPr>
        <w:tc>
          <w:tcPr>
            <w:tcW w:w="1560" w:type="dxa"/>
          </w:tcPr>
          <w:p w14:paraId="5B6ECD6C" w14:textId="77777777" w:rsidR="00990F18" w:rsidRPr="00842AB8" w:rsidRDefault="00BD2F70" w:rsidP="00842AB8">
            <w:pPr>
              <w:spacing w:after="0" w:line="240" w:lineRule="auto"/>
              <w:jc w:val="center"/>
              <w:rPr>
                <w:sz w:val="22"/>
                <w:szCs w:val="24"/>
              </w:rPr>
            </w:pPr>
            <w:r w:rsidRPr="00842AB8">
              <w:rPr>
                <w:sz w:val="22"/>
                <w:szCs w:val="24"/>
              </w:rPr>
              <w:t>SP</w:t>
            </w:r>
          </w:p>
        </w:tc>
        <w:tc>
          <w:tcPr>
            <w:tcW w:w="1560" w:type="dxa"/>
          </w:tcPr>
          <w:p w14:paraId="44CB8765"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15FB6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95A130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98DC5E"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64AE069"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81A8CAF" w14:textId="77777777" w:rsidTr="00842AB8">
        <w:trPr>
          <w:jc w:val="center"/>
        </w:trPr>
        <w:tc>
          <w:tcPr>
            <w:tcW w:w="1560" w:type="dxa"/>
          </w:tcPr>
          <w:p w14:paraId="18027712" w14:textId="77777777" w:rsidR="00990F18" w:rsidRPr="00842AB8" w:rsidRDefault="00BD2F70" w:rsidP="00842AB8">
            <w:pPr>
              <w:spacing w:after="0" w:line="240" w:lineRule="auto"/>
              <w:jc w:val="center"/>
              <w:rPr>
                <w:sz w:val="22"/>
                <w:szCs w:val="24"/>
              </w:rPr>
            </w:pPr>
            <w:r w:rsidRPr="00842AB8">
              <w:rPr>
                <w:sz w:val="22"/>
                <w:szCs w:val="24"/>
              </w:rPr>
              <w:t>CBI</w:t>
            </w:r>
          </w:p>
        </w:tc>
        <w:tc>
          <w:tcPr>
            <w:tcW w:w="1560" w:type="dxa"/>
          </w:tcPr>
          <w:p w14:paraId="319EAB82"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265605"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6CBED5B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0195D10"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81426A0"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794C22C6" w14:textId="77777777" w:rsidTr="00842AB8">
        <w:trPr>
          <w:jc w:val="center"/>
        </w:trPr>
        <w:tc>
          <w:tcPr>
            <w:tcW w:w="1560" w:type="dxa"/>
          </w:tcPr>
          <w:p w14:paraId="0D93F722" w14:textId="77777777" w:rsidR="00990F18" w:rsidRPr="00842AB8" w:rsidRDefault="00BD2F70" w:rsidP="00842AB8">
            <w:pPr>
              <w:spacing w:after="0" w:line="240" w:lineRule="auto"/>
              <w:jc w:val="center"/>
              <w:rPr>
                <w:sz w:val="22"/>
                <w:szCs w:val="24"/>
              </w:rPr>
            </w:pPr>
            <w:r w:rsidRPr="00842AB8">
              <w:rPr>
                <w:sz w:val="22"/>
                <w:szCs w:val="24"/>
              </w:rPr>
              <w:t>KSR</w:t>
            </w:r>
          </w:p>
        </w:tc>
        <w:tc>
          <w:tcPr>
            <w:tcW w:w="1560" w:type="dxa"/>
          </w:tcPr>
          <w:p w14:paraId="007C99DD"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472763D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D2DFD8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8651C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5A0B29B6"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3333DF45" w14:textId="77777777" w:rsidTr="00842AB8">
        <w:trPr>
          <w:jc w:val="center"/>
        </w:trPr>
        <w:tc>
          <w:tcPr>
            <w:tcW w:w="1560" w:type="dxa"/>
          </w:tcPr>
          <w:p w14:paraId="78DF0933" w14:textId="77777777" w:rsidR="00990F18" w:rsidRPr="00842AB8" w:rsidRDefault="00BD2F70" w:rsidP="00842AB8">
            <w:pPr>
              <w:spacing w:after="0" w:line="240" w:lineRule="auto"/>
              <w:jc w:val="center"/>
              <w:rPr>
                <w:sz w:val="22"/>
                <w:szCs w:val="24"/>
              </w:rPr>
            </w:pPr>
            <w:r w:rsidRPr="00842AB8">
              <w:rPr>
                <w:sz w:val="22"/>
                <w:szCs w:val="24"/>
              </w:rPr>
              <w:t>Configuration consistency</w:t>
            </w:r>
          </w:p>
        </w:tc>
        <w:tc>
          <w:tcPr>
            <w:tcW w:w="1560" w:type="dxa"/>
          </w:tcPr>
          <w:p w14:paraId="1F70F2B9" w14:textId="77777777" w:rsidR="00990F18" w:rsidRPr="00842AB8" w:rsidRDefault="00BD2F70" w:rsidP="00842AB8">
            <w:pPr>
              <w:spacing w:after="0" w:line="240" w:lineRule="auto"/>
              <w:jc w:val="center"/>
              <w:rPr>
                <w:sz w:val="22"/>
                <w:szCs w:val="24"/>
              </w:rPr>
            </w:pPr>
            <w:r w:rsidRPr="00842AB8">
              <w:rPr>
                <w:sz w:val="22"/>
                <w:szCs w:val="24"/>
              </w:rPr>
              <w:t>0.89</w:t>
            </w:r>
          </w:p>
        </w:tc>
        <w:tc>
          <w:tcPr>
            <w:tcW w:w="1560" w:type="dxa"/>
          </w:tcPr>
          <w:p w14:paraId="4B1C6D29" w14:textId="77777777" w:rsidR="00990F18" w:rsidRPr="00842AB8" w:rsidRDefault="00BD2F70" w:rsidP="00842AB8">
            <w:pPr>
              <w:spacing w:after="0" w:line="240" w:lineRule="auto"/>
              <w:jc w:val="center"/>
              <w:rPr>
                <w:sz w:val="22"/>
                <w:szCs w:val="24"/>
              </w:rPr>
            </w:pPr>
            <w:r w:rsidRPr="00842AB8">
              <w:rPr>
                <w:sz w:val="22"/>
                <w:szCs w:val="24"/>
              </w:rPr>
              <w:t>0.87</w:t>
            </w:r>
          </w:p>
        </w:tc>
        <w:tc>
          <w:tcPr>
            <w:tcW w:w="1560" w:type="dxa"/>
          </w:tcPr>
          <w:p w14:paraId="1C94A273" w14:textId="77777777" w:rsidR="00990F18" w:rsidRPr="00842AB8" w:rsidRDefault="00BD2F70" w:rsidP="00842AB8">
            <w:pPr>
              <w:spacing w:after="0" w:line="240" w:lineRule="auto"/>
              <w:jc w:val="center"/>
              <w:rPr>
                <w:sz w:val="22"/>
                <w:szCs w:val="24"/>
              </w:rPr>
            </w:pPr>
            <w:r w:rsidRPr="00842AB8">
              <w:rPr>
                <w:sz w:val="22"/>
                <w:szCs w:val="24"/>
              </w:rPr>
              <w:t>0.91</w:t>
            </w:r>
          </w:p>
        </w:tc>
        <w:tc>
          <w:tcPr>
            <w:tcW w:w="1560" w:type="dxa"/>
          </w:tcPr>
          <w:p w14:paraId="0D28E67B" w14:textId="77777777" w:rsidR="00990F18" w:rsidRPr="00842AB8" w:rsidRDefault="00BD2F70" w:rsidP="00842AB8">
            <w:pPr>
              <w:spacing w:after="0" w:line="240" w:lineRule="auto"/>
              <w:jc w:val="center"/>
              <w:rPr>
                <w:sz w:val="22"/>
                <w:szCs w:val="24"/>
              </w:rPr>
            </w:pPr>
            <w:r w:rsidRPr="00842AB8">
              <w:rPr>
                <w:sz w:val="22"/>
                <w:szCs w:val="24"/>
              </w:rPr>
              <w:t>0.88</w:t>
            </w:r>
          </w:p>
        </w:tc>
        <w:tc>
          <w:tcPr>
            <w:tcW w:w="1560" w:type="dxa"/>
          </w:tcPr>
          <w:p w14:paraId="751EA1D8" w14:textId="77777777" w:rsidR="00990F18" w:rsidRPr="00842AB8" w:rsidRDefault="00BD2F70" w:rsidP="00842AB8">
            <w:pPr>
              <w:spacing w:after="0" w:line="240" w:lineRule="auto"/>
              <w:jc w:val="center"/>
              <w:rPr>
                <w:sz w:val="22"/>
                <w:szCs w:val="24"/>
              </w:rPr>
            </w:pPr>
            <w:r w:rsidRPr="00842AB8">
              <w:rPr>
                <w:sz w:val="22"/>
                <w:szCs w:val="24"/>
              </w:rPr>
              <w:t>0.85</w:t>
            </w:r>
          </w:p>
        </w:tc>
      </w:tr>
      <w:tr w:rsidR="00990F18" w:rsidRPr="00842AB8" w14:paraId="7E0352EC" w14:textId="77777777" w:rsidTr="00842AB8">
        <w:trPr>
          <w:jc w:val="center"/>
        </w:trPr>
        <w:tc>
          <w:tcPr>
            <w:tcW w:w="1560" w:type="dxa"/>
          </w:tcPr>
          <w:p w14:paraId="68092105" w14:textId="77777777" w:rsidR="00990F18" w:rsidRPr="00842AB8" w:rsidRDefault="00BD2F70" w:rsidP="00842AB8">
            <w:pPr>
              <w:spacing w:after="0" w:line="240" w:lineRule="auto"/>
              <w:jc w:val="center"/>
              <w:rPr>
                <w:sz w:val="22"/>
                <w:szCs w:val="24"/>
              </w:rPr>
            </w:pPr>
            <w:r w:rsidRPr="00842AB8">
              <w:rPr>
                <w:sz w:val="22"/>
                <w:szCs w:val="24"/>
              </w:rPr>
              <w:t>Raw coverage</w:t>
            </w:r>
          </w:p>
        </w:tc>
        <w:tc>
          <w:tcPr>
            <w:tcW w:w="1560" w:type="dxa"/>
          </w:tcPr>
          <w:p w14:paraId="4144BD8B" w14:textId="77777777" w:rsidR="00990F18" w:rsidRPr="00842AB8" w:rsidRDefault="00BD2F70" w:rsidP="00842AB8">
            <w:pPr>
              <w:spacing w:after="0" w:line="240" w:lineRule="auto"/>
              <w:jc w:val="center"/>
              <w:rPr>
                <w:sz w:val="22"/>
                <w:szCs w:val="24"/>
              </w:rPr>
            </w:pPr>
            <w:r w:rsidRPr="00842AB8">
              <w:rPr>
                <w:sz w:val="22"/>
                <w:szCs w:val="24"/>
              </w:rPr>
              <w:t>0.28</w:t>
            </w:r>
          </w:p>
        </w:tc>
        <w:tc>
          <w:tcPr>
            <w:tcW w:w="1560" w:type="dxa"/>
          </w:tcPr>
          <w:p w14:paraId="05285996" w14:textId="77777777" w:rsidR="00990F18" w:rsidRPr="00842AB8" w:rsidRDefault="00BD2F70" w:rsidP="00842AB8">
            <w:pPr>
              <w:spacing w:after="0" w:line="240" w:lineRule="auto"/>
              <w:jc w:val="center"/>
              <w:rPr>
                <w:sz w:val="22"/>
                <w:szCs w:val="24"/>
              </w:rPr>
            </w:pPr>
            <w:r w:rsidRPr="00842AB8">
              <w:rPr>
                <w:sz w:val="22"/>
                <w:szCs w:val="24"/>
              </w:rPr>
              <w:t>0.24</w:t>
            </w:r>
          </w:p>
        </w:tc>
        <w:tc>
          <w:tcPr>
            <w:tcW w:w="1560" w:type="dxa"/>
          </w:tcPr>
          <w:p w14:paraId="78018C08" w14:textId="77777777" w:rsidR="00990F18" w:rsidRPr="00842AB8" w:rsidRDefault="00BD2F70" w:rsidP="00842AB8">
            <w:pPr>
              <w:spacing w:after="0" w:line="240" w:lineRule="auto"/>
              <w:jc w:val="center"/>
              <w:rPr>
                <w:sz w:val="22"/>
                <w:szCs w:val="24"/>
              </w:rPr>
            </w:pPr>
            <w:r w:rsidRPr="00842AB8">
              <w:rPr>
                <w:sz w:val="22"/>
                <w:szCs w:val="24"/>
              </w:rPr>
              <w:t>0.31</w:t>
            </w:r>
          </w:p>
        </w:tc>
        <w:tc>
          <w:tcPr>
            <w:tcW w:w="1560" w:type="dxa"/>
          </w:tcPr>
          <w:p w14:paraId="6E66061D" w14:textId="77777777" w:rsidR="00990F18" w:rsidRPr="00842AB8" w:rsidRDefault="00BD2F70" w:rsidP="00842AB8">
            <w:pPr>
              <w:spacing w:after="0" w:line="240" w:lineRule="auto"/>
              <w:jc w:val="center"/>
              <w:rPr>
                <w:sz w:val="22"/>
                <w:szCs w:val="24"/>
              </w:rPr>
            </w:pPr>
            <w:r w:rsidRPr="00842AB8">
              <w:rPr>
                <w:sz w:val="22"/>
                <w:szCs w:val="24"/>
              </w:rPr>
              <w:t>0.26</w:t>
            </w:r>
          </w:p>
        </w:tc>
        <w:tc>
          <w:tcPr>
            <w:tcW w:w="1560" w:type="dxa"/>
          </w:tcPr>
          <w:p w14:paraId="5B058670" w14:textId="77777777" w:rsidR="00990F18" w:rsidRPr="00842AB8" w:rsidRDefault="00BD2F70" w:rsidP="00842AB8">
            <w:pPr>
              <w:spacing w:after="0" w:line="240" w:lineRule="auto"/>
              <w:jc w:val="center"/>
              <w:rPr>
                <w:sz w:val="22"/>
                <w:szCs w:val="24"/>
              </w:rPr>
            </w:pPr>
            <w:r w:rsidRPr="00842AB8">
              <w:rPr>
                <w:sz w:val="22"/>
                <w:szCs w:val="24"/>
              </w:rPr>
              <w:t>0.18</w:t>
            </w:r>
          </w:p>
        </w:tc>
      </w:tr>
    </w:tbl>
    <w:p w14:paraId="60911893" w14:textId="7CB8D0F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0.86 / 0.34; emerging = 0.88 / 0.44.</w:t>
      </w:r>
    </w:p>
    <w:p w14:paraId="3968AE5F" w14:textId="77777777" w:rsidR="00990F18" w:rsidRPr="00205C71" w:rsidRDefault="00BD2F70" w:rsidP="00C732DC">
      <w:pPr>
        <w:spacing w:after="0" w:line="240" w:lineRule="auto"/>
        <w:jc w:val="center"/>
        <w:rPr>
          <w:szCs w:val="24"/>
        </w:rPr>
      </w:pPr>
      <w:r w:rsidRPr="00205C71">
        <w:rPr>
          <w:noProof/>
          <w:szCs w:val="24"/>
          <w:lang w:val="en-IN" w:eastAsia="zh-TW"/>
        </w:rPr>
        <w:drawing>
          <wp:inline distT="0" distB="0" distL="0" distR="0" wp14:anchorId="7AB6BA6C" wp14:editId="4F1AB034">
            <wp:extent cx="5760720" cy="30588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sqca.png"/>
                    <pic:cNvPicPr/>
                  </pic:nvPicPr>
                  <pic:blipFill>
                    <a:blip r:embed="rId12"/>
                    <a:stretch>
                      <a:fillRect/>
                    </a:stretch>
                  </pic:blipFill>
                  <pic:spPr>
                    <a:xfrm>
                      <a:off x="0" y="0"/>
                      <a:ext cx="5760720" cy="3058861"/>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4DE6952E" wp14:editId="21F5DAD5">
            <wp:extent cx="5852160" cy="2803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igurations.png"/>
                    <pic:cNvPicPr/>
                  </pic:nvPicPr>
                  <pic:blipFill>
                    <a:blip r:embed="rId13"/>
                    <a:stretch>
                      <a:fillRect/>
                    </a:stretch>
                  </pic:blipFill>
                  <pic:spPr>
                    <a:xfrm>
                      <a:off x="0" y="0"/>
                      <a:ext cx="5852160" cy="2803696"/>
                    </a:xfrm>
                    <a:prstGeom prst="rect">
                      <a:avLst/>
                    </a:prstGeom>
                  </pic:spPr>
                </pic:pic>
              </a:graphicData>
            </a:graphic>
          </wp:inline>
        </w:drawing>
      </w:r>
    </w:p>
    <w:p w14:paraId="051B0312" w14:textId="6CF145E6" w:rsidR="00990F18" w:rsidRPr="00C732DC" w:rsidRDefault="00BD2F70" w:rsidP="00C732DC">
      <w:pPr>
        <w:spacing w:after="0" w:line="240" w:lineRule="auto"/>
        <w:rPr>
          <w:szCs w:val="24"/>
        </w:rPr>
      </w:pPr>
      <w:r w:rsidRPr="00C732DC">
        <w:rPr>
          <w:szCs w:val="24"/>
        </w:rPr>
        <w:t>Figure 8. Configuration path diagrams for the five sufficient configurations (two developing</w:t>
      </w:r>
      <w:r w:rsidR="00C25BF1">
        <w:rPr>
          <w:szCs w:val="24"/>
        </w:rPr>
        <w:t xml:space="preserve"> economies</w:t>
      </w:r>
      <w:r w:rsidRPr="00C732DC">
        <w:rPr>
          <w:szCs w:val="24"/>
        </w:rPr>
        <w:t>, three emerging</w:t>
      </w:r>
      <w:r w:rsidR="00C25BF1">
        <w:rPr>
          <w:szCs w:val="24"/>
        </w:rPr>
        <w:t xml:space="preserve"> economies</w:t>
      </w:r>
      <w:r w:rsidRPr="00C732DC">
        <w:rPr>
          <w:szCs w:val="24"/>
        </w:rPr>
        <w:t xml:space="preserve">). Solid ellipses denote core conditions and dashed ellipses </w:t>
      </w:r>
      <w:r w:rsidR="00C25BF1">
        <w:rPr>
          <w:szCs w:val="24"/>
        </w:rPr>
        <w:t xml:space="preserve">denote </w:t>
      </w:r>
      <w:r w:rsidRPr="00C732DC">
        <w:rPr>
          <w:szCs w:val="24"/>
        </w:rPr>
        <w:t>peripheral conditions; all contribute to high green logistics performance (GLP). Source: authors.</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1131BB72"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Firm size, industry sector, respondent experience, and possession of a certified environmental management system were added as predictors of top management commitment and green logistics performance. 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 xml:space="preserve">Endogeneity was assessed through the Gaussian copula approach, which detects correlation between a predictor and the structural error term without recourse to an instrumental variable (Park &amp;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structural paths. Four of those five terms were non-significant. The term for regulatory and policy pressure returned t = −0.15 with p = 0.882, indicating no detectable endogeneity in the </w:t>
      </w:r>
      <w:r w:rsidRPr="00C528B7">
        <w:rPr>
          <w:bCs/>
          <w:szCs w:val="24"/>
          <w:highlight w:val="yellow"/>
        </w:rPr>
        <w:lastRenderedPageBreak/>
        <w:t xml:space="preserve">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w:t>
      </w:r>
      <w:r w:rsidR="003F1F45">
        <w:rPr>
          <w:bCs/>
          <w:szCs w:val="24"/>
          <w:highlight w:val="yellow"/>
        </w:rPr>
        <w:t>perceived economic feasibility</w:t>
      </w:r>
      <w:r w:rsidRPr="00C528B7">
        <w:rPr>
          <w:bCs/>
          <w:szCs w:val="24"/>
          <w:highlight w:val="yellow"/>
        </w:rPr>
        <w:t xml:space="preserve"> and green supply chain integration do not depart significantly from normality, the copula cannot be identified where they act as predictors, and no claim about endogeneity is advanced for those three relationships.</w:t>
      </w:r>
    </w:p>
    <w:p w14:paraId="70857DAB" w14:textId="77777777" w:rsidR="005E5580" w:rsidRDefault="00C528B7" w:rsidP="005E7BF7">
      <w:pPr>
        <w:keepNext/>
        <w:spacing w:after="0"/>
        <w:rPr>
          <w:bCs/>
          <w:szCs w:val="24"/>
          <w:highlight w:val="yellow"/>
        </w:rPr>
      </w:pPr>
      <w:r w:rsidRPr="00C528B7">
        <w:rPr>
          <w:bCs/>
          <w:szCs w:val="24"/>
          <w:highlight w:val="yellow"/>
        </w:rPr>
        <w:t>Whether the specified direction outperforms its reverse was tested by estimating an alternative specification in which top management commitment predicts regulatory and policy pressure, using the same data and the same indicators. Because partial least squares path modelling 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r w:rsidR="0045180C">
        <w:rPr>
          <w:bCs/>
          <w:szCs w:val="24"/>
        </w:rPr>
        <w:t xml:space="preserve"> </w:t>
      </w:r>
      <w:r w:rsidR="0045180C" w:rsidRPr="0045180C">
        <w:rPr>
          <w:bCs/>
          <w:szCs w:val="24"/>
          <w:highlight w:val="yellow"/>
        </w:rPr>
        <w:t xml:space="preserve">A fourth check addressed whether informant position affects the measurement of top management commitment, since respondents in operational roles may have less visibility of senior strategic decisions than those in strategic roles. Respondents were divided into strategic roles, comprising supply chain directors and operations or sustainability managers, and operational roles, comprising logistics managers and other senior decision-makers. The two groups did not differ in their assessment of top management commitment, the means standing at 3.78 and 3.62 with a Welch t of 1.31 and p of 0.192, and Levene's test gave no evidence of unequal variance (p = 0.200). Internal consistency for the construct was in fact marginally higher among operational respondents, with an alpha of 0.917 against 0.853 for supply chain directors. Every path involving top management commitment remained significant in both subsamples. </w:t>
      </w:r>
      <w:r w:rsidR="0045180C" w:rsidRPr="0045180C">
        <w:rPr>
          <w:bCs/>
          <w:szCs w:val="24"/>
          <w:highlight w:val="yellow"/>
        </w:rPr>
        <w:lastRenderedPageBreak/>
        <w:t>Regulatory pressure predicted commitment at 0.362 among strategic respondents and 0.394 among operational respondents, commitment predicted integration at 0.272 and 0.381, and commitment predicted performance at 0.471 and 0.334, with all six coefficients significant at p &lt; 0.01. Informant position therefore does not account for the estimated relationships, although the design still rests on one respondent per firm and cannot separate shared-source variance from substantive covariation.</w:t>
      </w:r>
      <w:r w:rsidR="005E7BF7">
        <w:rPr>
          <w:bCs/>
          <w:szCs w:val="24"/>
        </w:rPr>
        <w:t xml:space="preserve"> </w:t>
      </w:r>
      <w:r w:rsidR="005E7BF7" w:rsidRPr="005E7BF7">
        <w:rPr>
          <w:bCs/>
          <w:szCs w:val="24"/>
          <w:highlight w:val="yellow"/>
        </w:rPr>
        <w:t xml:space="preserve">A further check examined whether differences in resource access disturb the estimated relationships. </w:t>
      </w:r>
    </w:p>
    <w:p w14:paraId="35B09DAD" w14:textId="1FC8151A" w:rsidR="005E7BF7" w:rsidRPr="00BD41AE" w:rsidRDefault="003F1F45" w:rsidP="005E7BF7">
      <w:pPr>
        <w:keepNext/>
        <w:spacing w:after="0"/>
        <w:rPr>
          <w:bCs/>
          <w:szCs w:val="24"/>
          <w:highlight w:val="yellow"/>
        </w:rPr>
      </w:pPr>
      <w:r w:rsidRPr="00BD41AE">
        <w:rPr>
          <w:bCs/>
          <w:szCs w:val="24"/>
          <w:highlight w:val="yellow"/>
        </w:rPr>
        <w:t>Perceived economic feasibility</w:t>
      </w:r>
      <w:r w:rsidR="005E5580" w:rsidRPr="00BD41AE">
        <w:rPr>
          <w:bCs/>
          <w:szCs w:val="24"/>
          <w:highlight w:val="yellow"/>
        </w:rPr>
        <w:t xml:space="preserve"> carries a further caveat as a newly developed measure. Its psychometric behaviour is sound and equivalent across both groups, yet a single application cannot establish a scale. A formative specification, treating market prices, technology access and internal appraisal capability as distinct components rather than interchangeable indicators, is a defensible alternative that later work should test against the reflective form.</w:t>
      </w:r>
      <w:r w:rsidR="005E5580" w:rsidRPr="00BD41AE">
        <w:rPr>
          <w:bCs/>
          <w:szCs w:val="24"/>
          <w:highlight w:val="yellow"/>
        </w:rPr>
        <w:t xml:space="preserve"> </w:t>
      </w:r>
      <w:r w:rsidR="005E7BF7" w:rsidRPr="00BD41AE">
        <w:rPr>
          <w:bCs/>
          <w:szCs w:val="24"/>
          <w:highlight w:val="yellow"/>
        </w:rPr>
        <w:t>Firm ownership was not recorded, so firm size served as a partial proxy, on the reasoning that larger firms command greater access to capital, technology and specialist staff.</w:t>
      </w:r>
      <w:r w:rsidR="005E7BF7" w:rsidRPr="00BD41AE">
        <w:rPr>
          <w:bCs/>
          <w:szCs w:val="24"/>
          <w:highlight w:val="yellow"/>
        </w:rPr>
        <w:t xml:space="preserve"> </w:t>
      </w:r>
      <w:r w:rsidR="005E7BF7" w:rsidRPr="00BD41AE">
        <w:rPr>
          <w:bCs/>
          <w:szCs w:val="24"/>
          <w:highlight w:val="yellow"/>
        </w:rPr>
        <w:t>Neither construct levels nor path strengths vary with it. One-way analysis of variance across the three size bands returns no significant difference on any of the eight constructs, with p values between 0.31 and 0.99. Interactions between firm size and each of the five principal paths are likewise non-significant, the largest reaching p = 0.376. Regulatory pressure predicts managerial commitment, digital readiness predicts integration, and integration predicts performance at conventional significance within every size band. Size is an imperfect stand-in for ownership, so this narrows rather than closes the question.</w:t>
      </w:r>
    </w:p>
    <w:p w14:paraId="201A4718" w14:textId="0698648D" w:rsidR="00BD41AE" w:rsidRPr="00BD41AE" w:rsidRDefault="00BD41AE" w:rsidP="00BD41AE">
      <w:pPr>
        <w:keepNext/>
        <w:spacing w:after="0"/>
        <w:rPr>
          <w:bCs/>
          <w:szCs w:val="24"/>
          <w:highlight w:val="yellow"/>
        </w:rPr>
      </w:pPr>
      <w:r w:rsidRPr="00BD41AE">
        <w:rPr>
          <w:bCs/>
          <w:szCs w:val="24"/>
          <w:highlight w:val="yellow"/>
        </w:rPr>
        <w:t xml:space="preserve">Discriminant validity between the predictors and performance is </w:t>
      </w:r>
      <w:r>
        <w:rPr>
          <w:bCs/>
          <w:szCs w:val="24"/>
          <w:highlight w:val="yellow"/>
        </w:rPr>
        <w:t>acceptable</w:t>
      </w:r>
      <w:r w:rsidRPr="00BD41AE">
        <w:rPr>
          <w:bCs/>
          <w:szCs w:val="24"/>
          <w:highlight w:val="yellow"/>
        </w:rPr>
        <w:t>. Heterotrait-monotrait ratios with green logistics performance range from 0.377 for perceived economic feasibility to 0.754 for integration, all below the conservative threshold, and within groups they fall further, to between 0.046 and 0.608 for the two constructs most exposed. Average variance extracted for performance exceeds its squared correlation with every predictor, the largest being 0.434 for integration against extracted variance of 0.723.</w:t>
      </w:r>
      <w:r w:rsidR="00D40977">
        <w:rPr>
          <w:bCs/>
          <w:szCs w:val="24"/>
          <w:highlight w:val="yellow"/>
        </w:rPr>
        <w:t xml:space="preserve"> </w:t>
      </w:r>
      <w:r w:rsidRPr="00BD41AE">
        <w:rPr>
          <w:bCs/>
          <w:szCs w:val="24"/>
          <w:highlight w:val="yellow"/>
        </w:rPr>
        <w:t>Item behaviour points the same way. The fifth digital readiness item correlates 0.893 with its own construct and 0.530 with the performance composite, and the fifth integration item 0.839 with its own construct and 0.571 with performance. Within digital readiness the flagged item exceeds the next highest item's correlation with performance by only 0.031, and within integration the flagged item correlates less strongly with performance than the second integration item does.</w:t>
      </w:r>
    </w:p>
    <w:p w14:paraId="0D817CCF" w14:textId="793EC7F7" w:rsidR="00BD41AE" w:rsidRPr="00BD41AE" w:rsidRDefault="00BD41AE" w:rsidP="00BD41AE">
      <w:pPr>
        <w:keepNext/>
        <w:spacing w:after="0"/>
        <w:rPr>
          <w:bCs/>
          <w:szCs w:val="24"/>
          <w:highlight w:val="yellow"/>
        </w:rPr>
      </w:pPr>
      <w:r w:rsidRPr="00BD41AE">
        <w:rPr>
          <w:bCs/>
          <w:szCs w:val="24"/>
          <w:highlight w:val="yellow"/>
        </w:rPr>
        <w:t xml:space="preserve">Removing the items changes nothing of consequence. Re-estimating without the fifth digital readiness item shifts no path by more than 0.021 and alters no significance decision, and </w:t>
      </w:r>
      <w:r w:rsidRPr="00BD41AE">
        <w:rPr>
          <w:bCs/>
          <w:szCs w:val="24"/>
          <w:highlight w:val="yellow"/>
        </w:rPr>
        <w:lastRenderedPageBreak/>
        <w:t>removing the fifth integration item as well produces shifts of the same magnitude. Construct scores from the reduced measures correlate 0.989 with the original for digital readiness and 0.986 for integration, so the calibration and the configurational solutions are unaffected. The estimated relationships therefore do not depend on the content these items share with the outcome domain.</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77777777" w:rsidR="00990F18" w:rsidRDefault="00BD2F70" w:rsidP="00C732DC">
      <w:pPr>
        <w:spacing w:after="0"/>
        <w:rPr>
          <w:szCs w:val="24"/>
        </w:rPr>
      </w:pPr>
      <w:r w:rsidRPr="00205C71">
        <w:rPr>
          <w:szCs w:val="24"/>
        </w:rPr>
        <w:t>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451449A2" w14:textId="3B79D5EC" w:rsidR="001F5A57" w:rsidRPr="00326961" w:rsidRDefault="00184EAD" w:rsidP="001F5A57">
      <w:pPr>
        <w:spacing w:after="0"/>
        <w:rPr>
          <w:szCs w:val="24"/>
        </w:rPr>
      </w:pPr>
      <w:r w:rsidRPr="00184EAD">
        <w:rPr>
          <w:szCs w:val="24"/>
          <w:highlight w:val="yellow"/>
        </w:rPr>
        <w:t>These results align with and extend prior findings on integration. Studies that trace integration to human resource systems and to managerial environmental values report the same pivotal position for the construct, with upstream conditions acting through it rather than around it (Chang et al., 2026; Ren et al., 2026). The present evidence reproduces that structure using a different class of antecedents, which suggests the mediating role of integration is not specific to the internal conditions previously examined. Where the accounts diverge is in the stability of the antecedent mix. Configurational work on the conditions prompting integration has shown that several routes lead to it within a single setting (Feng &amp; Sheng, 2023), and the comparison undertaken here indicates that the composition of those routes shifts with the institutional context, so that equifinality operates not only within an economy but across economies.</w:t>
      </w:r>
      <w:r w:rsidR="00FA46E2">
        <w:rPr>
          <w:szCs w:val="24"/>
        </w:rPr>
        <w:t xml:space="preserve"> </w:t>
      </w:r>
      <w:r w:rsidR="00326961">
        <w:rPr>
          <w:szCs w:val="24"/>
          <w:highlight w:val="yellow"/>
        </w:rPr>
        <w:t>F</w:t>
      </w:r>
      <w:r w:rsidR="00326961" w:rsidRPr="00326961">
        <w:rPr>
          <w:szCs w:val="24"/>
          <w:highlight w:val="yellow"/>
        </w:rPr>
        <w:t xml:space="preserve">rom </w:t>
      </w:r>
      <w:r w:rsidR="003F1F45">
        <w:rPr>
          <w:szCs w:val="24"/>
          <w:highlight w:val="yellow"/>
        </w:rPr>
        <w:t>perceived economic feasibility</w:t>
      </w:r>
      <w:r w:rsidR="00326961" w:rsidRPr="00326961">
        <w:rPr>
          <w:szCs w:val="24"/>
          <w:highlight w:val="yellow"/>
        </w:rPr>
        <w:t xml:space="preserve"> to integration</w:t>
      </w:r>
      <w:r w:rsidR="001F5A57" w:rsidRPr="001F5A57">
        <w:rPr>
          <w:szCs w:val="24"/>
          <w:highlight w:val="yellow"/>
        </w:rPr>
        <w:t xml:space="preserve"> is informative rather than disappointing, and it follows from the distinction between environmental conditions and firm capabilities drawn earlier. An eased constraint widens what a firm can afford without supplying the capability to </w:t>
      </w:r>
      <w:r w:rsidR="001F5A57" w:rsidRPr="001F5A57">
        <w:rPr>
          <w:szCs w:val="24"/>
          <w:highlight w:val="yellow"/>
        </w:rPr>
        <w:lastRenderedPageBreak/>
        <w:t xml:space="preserve">act on it, so its effect on integration should be conditional rather than general. The configurational results bear this out, since </w:t>
      </w:r>
      <w:proofErr w:type="gramStart"/>
      <w:r w:rsidR="003F1F45">
        <w:rPr>
          <w:szCs w:val="24"/>
          <w:highlight w:val="yellow"/>
        </w:rPr>
        <w:t>Perceived</w:t>
      </w:r>
      <w:proofErr w:type="gramEnd"/>
      <w:r w:rsidR="003F1F45">
        <w:rPr>
          <w:szCs w:val="24"/>
          <w:highlight w:val="yellow"/>
        </w:rPr>
        <w:t xml:space="preserve"> economic feasibility</w:t>
      </w:r>
      <w:r w:rsidR="001F5A57" w:rsidRPr="001F5A57">
        <w:rPr>
          <w:szCs w:val="24"/>
          <w:highlight w:val="yellow"/>
        </w:rPr>
        <w:t xml:space="preserve"> appears as a core condition in one developing-economy recipe and is largely absent from the emerging-economy recipes that lead with digital capability.</w:t>
      </w:r>
    </w:p>
    <w:p w14:paraId="6830B1E1" w14:textId="326CA014" w:rsidR="007704FA" w:rsidRDefault="003F1F45" w:rsidP="001F5A57">
      <w:pPr>
        <w:spacing w:after="0"/>
        <w:rPr>
          <w:szCs w:val="24"/>
          <w:highlight w:val="yellow"/>
        </w:rPr>
      </w:pPr>
      <w:r>
        <w:rPr>
          <w:szCs w:val="24"/>
          <w:highlight w:val="yellow"/>
        </w:rPr>
        <w:t>Perceived economic feasibility</w:t>
      </w:r>
      <w:r w:rsidR="001F5A57" w:rsidRPr="001F5A57">
        <w:rPr>
          <w:szCs w:val="24"/>
          <w:highlight w:val="yellow"/>
        </w:rPr>
        <w:t xml:space="preserve"> correlates with the internal capability constructs at a mean of 0.35, well below the 0.56 to 0.63 recorded by managerial commitment, digital readiness and workforce readiness, and closer to the external pressures with which it patterns. Separating the construct into its environmental items and its firm-assessment items leaves neither block predicting integration, at −0.05 and 0.09 respectively. The condition is behaving as a permissive condition should, making integration possible in some settings without producing it anywhere. This is the kind of relationship a symmetric model averages away and a </w:t>
      </w:r>
      <w:proofErr w:type="gramStart"/>
      <w:r w:rsidR="001F5A57" w:rsidRPr="001F5A57">
        <w:rPr>
          <w:szCs w:val="24"/>
          <w:highlight w:val="yellow"/>
        </w:rPr>
        <w:t>configurational model recovers</w:t>
      </w:r>
      <w:proofErr w:type="gramEnd"/>
      <w:r w:rsidR="001F5A57" w:rsidRPr="001F5A57">
        <w:rPr>
          <w:szCs w:val="24"/>
          <w:highlight w:val="yellow"/>
        </w:rPr>
        <w:t>, which illustrates why the two approaches are complementary.</w:t>
      </w:r>
      <w:r w:rsidR="001F5A57">
        <w:rPr>
          <w:szCs w:val="24"/>
          <w:highlight w:val="yellow"/>
        </w:rPr>
        <w:t xml:space="preserve"> </w:t>
      </w:r>
    </w:p>
    <w:p w14:paraId="7EF3BDCA" w14:textId="7047B6F3" w:rsidR="009D3109" w:rsidRDefault="007704FA" w:rsidP="001F5A57">
      <w:pPr>
        <w:spacing w:after="0"/>
        <w:rPr>
          <w:szCs w:val="24"/>
        </w:rPr>
      </w:pPr>
      <w:r w:rsidRPr="007704FA">
        <w:rPr>
          <w:szCs w:val="24"/>
          <w:highlight w:val="yellow"/>
        </w:rPr>
        <w:t xml:space="preserve">Two explanations suggest themselves for why cost matters in some configurations and not others, and neither survives examination. The first is a ceiling effect, in which cost has stopped constraining emerging-economy firms and therefore no longer differentiates them. The distributions do not support this. </w:t>
      </w:r>
      <w:r w:rsidR="003F1F45">
        <w:rPr>
          <w:szCs w:val="24"/>
          <w:highlight w:val="yellow"/>
        </w:rPr>
        <w:t>Perceived economic feasibility</w:t>
      </w:r>
      <w:r w:rsidRPr="007704FA">
        <w:rPr>
          <w:szCs w:val="24"/>
          <w:highlight w:val="yellow"/>
        </w:rPr>
        <w:t xml:space="preserve"> is the least advanced of the enablers in emerging economies, with 51 per cent of firms at or above the agreement point against 83 per cent for managerial commitment and 65 per cent for digital readiness. It is also the most dispersed, at a standard deviation of 0.68 against 0.53 for commitment, and Levene's test finds no difference in variance between the two groups (p = 0.555). Cost has not been resolved in emerging economies. The second explanation is a survival threshold in developing economies, where cost easing would begin to matter only once firms clear a minimum level of viability. This is equally unsupported. Adding a quadratic term leaves no evidence of curvature in either group, at p = 0.608 and p = 0.209. Splitting the developing sample into terciles of cost easing gives correlations with integration of 0.118, 0.105 and 0.069, which is flat rather than threshold-shaped. Interactions between cost easing and managerial commitment, digital readiness and workforce readiness are non-significant in both groups, so the condition is not waiting on a complementary capability either.</w:t>
      </w:r>
      <w:r w:rsidRPr="007704FA">
        <w:rPr>
          <w:szCs w:val="24"/>
          <w:highlight w:val="yellow"/>
        </w:rPr>
        <w:t xml:space="preserve"> </w:t>
      </w:r>
      <w:r w:rsidRPr="007704FA">
        <w:rPr>
          <w:szCs w:val="24"/>
          <w:highlight w:val="yellow"/>
        </w:rPr>
        <w:t xml:space="preserve">A path coefficient reports whether variation in a condition tracks variation in the outcome, while set-theoretic sufficiency reports whether a combination of conditions is enough to produce it. A condition can belong to a sufficient combination without carrying any independent gradient. Cost easing behaves in exactly this way. It marks the set of firms for which integration is financially available, and among firms inside that set the degree of affordability adds nothing further. Appearing as a core condition in one developing-economy recipe is therefore not in tension with the null coefficient, and </w:t>
      </w:r>
      <w:r w:rsidRPr="007704FA">
        <w:rPr>
          <w:szCs w:val="24"/>
          <w:highlight w:val="yellow"/>
        </w:rPr>
        <w:lastRenderedPageBreak/>
        <w:t>reading cost easing as a scope condition rather than a driver resolves the apparent contradiction.</w:t>
      </w:r>
      <w:r w:rsidRPr="007704FA">
        <w:rPr>
          <w:szCs w:val="24"/>
          <w:highlight w:val="yellow"/>
        </w:rPr>
        <w:t xml:space="preserve"> </w:t>
      </w:r>
      <w:r w:rsidRPr="007704FA">
        <w:rPr>
          <w:szCs w:val="24"/>
          <w:highlight w:val="yellow"/>
        </w:rPr>
        <w:t xml:space="preserve">The developing-economy pattern deserves separate comment. Cost easing </w:t>
      </w:r>
      <w:proofErr w:type="gramStart"/>
      <w:r w:rsidRPr="007704FA">
        <w:rPr>
          <w:szCs w:val="24"/>
          <w:highlight w:val="yellow"/>
        </w:rPr>
        <w:t>there</w:t>
      </w:r>
      <w:proofErr w:type="gramEnd"/>
      <w:r w:rsidRPr="007704FA">
        <w:rPr>
          <w:szCs w:val="24"/>
          <w:highlight w:val="yellow"/>
        </w:rPr>
        <w:t xml:space="preserve"> averages 2.97 against 2.54 for digital readiness and 2.78 for workforce readiness, so affordability has improved faster than the capabilities needed to act on it. Around a third of developing-economy firms remain at or below the disagreement point on cost, while half remain there on digital readiness. Green options are becoming purchasable in these settings before firms acquire the means to deploy them, which is a sequencing problem rather than a financing one.</w:t>
      </w:r>
      <w:r>
        <w:rPr>
          <w:szCs w:val="24"/>
        </w:rPr>
        <w:t xml:space="preserve"> </w:t>
      </w:r>
    </w:p>
    <w:p w14:paraId="3DD10F6E" w14:textId="48A76104" w:rsidR="001F5A57" w:rsidRPr="009D3109" w:rsidRDefault="009D3109" w:rsidP="001F5A57">
      <w:pPr>
        <w:spacing w:after="0"/>
        <w:rPr>
          <w:szCs w:val="24"/>
          <w:highlight w:val="yellow"/>
        </w:rPr>
      </w:pPr>
      <w:r w:rsidRPr="009D3109">
        <w:rPr>
          <w:szCs w:val="24"/>
          <w:highlight w:val="yellow"/>
        </w:rPr>
        <w:t>The configurational results demonstrate two properties the structural model cannot represent</w:t>
      </w:r>
      <w:r w:rsidRPr="009D3109">
        <w:rPr>
          <w:szCs w:val="24"/>
          <w:highlight w:val="yellow"/>
        </w:rPr>
        <w:t>.</w:t>
      </w:r>
      <w:r w:rsidR="00C17236">
        <w:rPr>
          <w:szCs w:val="24"/>
          <w:highlight w:val="yellow"/>
        </w:rPr>
        <w:t xml:space="preserve"> </w:t>
      </w:r>
      <w:r w:rsidR="001F5A57" w:rsidRPr="001F5A57">
        <w:rPr>
          <w:szCs w:val="24"/>
          <w:highlight w:val="yellow"/>
        </w:rPr>
        <w:t>Multiple distinct recipes lead to high performance, and the necessity analysis shows that conditions associated with success are not simply those whose absence produces failure. Neither property is visible in the path estimates alone.</w:t>
      </w:r>
    </w:p>
    <w:p w14:paraId="123CA956" w14:textId="59580C37" w:rsidR="001F5A57" w:rsidRPr="00157F2C" w:rsidRDefault="001F5A57" w:rsidP="001F5A57">
      <w:pPr>
        <w:spacing w:after="0"/>
        <w:rPr>
          <w:szCs w:val="24"/>
          <w:highlight w:val="yellow"/>
        </w:rPr>
      </w:pPr>
      <w:r w:rsidRPr="001F5A57">
        <w:rPr>
          <w:szCs w:val="24"/>
          <w:highlight w:val="yellow"/>
        </w:rPr>
        <w:t xml:space="preserve">These findings sit within a growing body of work reaching similar conclusions in adjacent settings. Studies of supply chain resilience, green image and environmental strategy each recover several sufficient paths rather than one dominant recipe, and each finds conditions that are core in one configuration and absent from another (Jiang et al., 2024; Zhang et al., 2024; Xi et al., 2023). Work on ESG ratings reports the same asymmetry observed here, where the conditions producing a </w:t>
      </w:r>
      <w:proofErr w:type="spellStart"/>
      <w:r w:rsidRPr="001F5A57">
        <w:rPr>
          <w:szCs w:val="24"/>
          <w:highlight w:val="yellow"/>
        </w:rPr>
        <w:t>favourable</w:t>
      </w:r>
      <w:proofErr w:type="spellEnd"/>
      <w:r w:rsidRPr="001F5A57">
        <w:rPr>
          <w:szCs w:val="24"/>
          <w:highlight w:val="yellow"/>
        </w:rPr>
        <w:t xml:space="preserve"> outcome differ from those whose absence produces an </w:t>
      </w:r>
      <w:proofErr w:type="spellStart"/>
      <w:r w:rsidRPr="001F5A57">
        <w:rPr>
          <w:szCs w:val="24"/>
          <w:highlight w:val="yellow"/>
        </w:rPr>
        <w:t>unfavourable</w:t>
      </w:r>
      <w:proofErr w:type="spellEnd"/>
      <w:r w:rsidRPr="001F5A57">
        <w:rPr>
          <w:szCs w:val="24"/>
          <w:highlight w:val="yellow"/>
        </w:rPr>
        <w:t xml:space="preserve"> one (Wang &amp; Feng, 2026).</w:t>
      </w:r>
      <w:r w:rsidR="00157F2C">
        <w:rPr>
          <w:szCs w:val="24"/>
          <w:highlight w:val="yellow"/>
        </w:rPr>
        <w:t xml:space="preserve"> </w:t>
      </w:r>
      <w:r w:rsidRPr="001F5A57">
        <w:rPr>
          <w:szCs w:val="24"/>
          <w:highlight w:val="yellow"/>
        </w:rPr>
        <w:t xml:space="preserve">Prior configurational studies establish that multiple routes exist within a setting. The evidence here indicates that the composition of those </w:t>
      </w:r>
      <w:proofErr w:type="gramStart"/>
      <w:r w:rsidRPr="001F5A57">
        <w:rPr>
          <w:szCs w:val="24"/>
          <w:highlight w:val="yellow"/>
        </w:rPr>
        <w:t>routes</w:t>
      </w:r>
      <w:proofErr w:type="gramEnd"/>
      <w:r w:rsidRPr="001F5A57">
        <w:rPr>
          <w:szCs w:val="24"/>
          <w:highlight w:val="yellow"/>
        </w:rPr>
        <w:t xml:space="preserve"> changes with the institutional environment, so a recipe sufficient in one economy has no counterpart in the other.</w:t>
      </w:r>
    </w:p>
    <w:p w14:paraId="1FAF4434" w14:textId="520E8622" w:rsidR="00990F18" w:rsidRPr="00205C71" w:rsidRDefault="00BD2F70" w:rsidP="00C732DC">
      <w:pPr>
        <w:spacing w:after="0"/>
        <w:rPr>
          <w:szCs w:val="24"/>
        </w:rPr>
      </w:pPr>
      <w:r w:rsidRPr="00205C71">
        <w:rPr>
          <w:szCs w:val="24"/>
        </w:rPr>
        <w:t>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3158D806" w:rsidR="00990F18" w:rsidRPr="00205C71" w:rsidRDefault="00A82EEC" w:rsidP="00C732DC">
      <w:pPr>
        <w:spacing w:after="0"/>
        <w:rPr>
          <w:szCs w:val="24"/>
        </w:rPr>
      </w:pPr>
      <w:r w:rsidRPr="00A82EEC">
        <w:rPr>
          <w:szCs w:val="24"/>
          <w:highlight w:val="yellow"/>
        </w:rPr>
        <w:t xml:space="preserve">These mechanisms operate within relationships that run in both directions over longer horizons. Regulation raises green logistics on the leadership agenda, and leaders who have absorbed </w:t>
      </w:r>
      <w:r w:rsidRPr="00A82EEC">
        <w:rPr>
          <w:szCs w:val="24"/>
          <w:highlight w:val="yellow"/>
        </w:rPr>
        <w:lastRenderedPageBreak/>
        <w:t>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w:t>
      </w:r>
      <w:r w:rsidR="003F1F45">
        <w:rPr>
          <w:szCs w:val="24"/>
        </w:rPr>
        <w:t>perceived economic feasibility</w:t>
      </w:r>
      <w:r w:rsidR="00BD2F70" w:rsidRPr="00205C71">
        <w:rPr>
          <w:szCs w:val="24"/>
        </w:rPr>
        <w:t xml:space="preserve">.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42D14D93" w14:textId="5BDFD826" w:rsidR="00990F18" w:rsidRPr="00205C71" w:rsidRDefault="00BD2F70" w:rsidP="00C732DC">
      <w:pPr>
        <w:spacing w:after="0"/>
        <w:rPr>
          <w:szCs w:val="24"/>
        </w:rPr>
      </w:pPr>
      <w:r w:rsidRPr="00205C71">
        <w:rPr>
          <w:szCs w:val="24"/>
        </w:rPr>
        <w:t xml:space="preserve">The study makes three explicit theoretical contributions. </w:t>
      </w:r>
      <w:r w:rsidR="00BE3611" w:rsidRPr="00BE3611">
        <w:rPr>
          <w:szCs w:val="24"/>
          <w:highlight w:val="yellow"/>
        </w:rPr>
        <w:t xml:space="preserve">First, the study extends the green supply chain integration literature by widening the class of antecedents that feed the integrative capability and by testing whether its conversion function travels across institutional settings. Existing work has established integration as the mechanism through which upstream conditions become environmental outcomes, tracing that route from green human resource systems by way of ambidextrous environmental strategy (Chang et al., 2026), from managerial environmental passion by way of sustainable decision tradeoffs (Ren et al., 2026), and from several equifinal bundles of enabling conditions (Feng &amp; Sheng, 2023). Those antecedents are internal and attitudinal, and the evidence rests largely on single national samples. The present findings add institutional and technological antecedents to that account and qualify it in a specific way. Integration converts into measured performance at comparable strength in both economic settings, whereas what feeds integration does not, since regulatory pressure carries more weight where institutions substitute for market pull and digital readiness carries more </w:t>
      </w:r>
      <w:r w:rsidR="00BE3611" w:rsidRPr="00BE3611">
        <w:rPr>
          <w:szCs w:val="24"/>
          <w:highlight w:val="yellow"/>
        </w:rPr>
        <w:lastRenderedPageBreak/>
        <w:t>weight where the technological base is mature. The integrative capability therefore operates as a stable conduit whose inputs are context-dependent, a more precise claim than the prevailing treatment of integration as uniformly beneficial.</w:t>
      </w:r>
      <w:r w:rsidR="00BE3611">
        <w:rPr>
          <w:szCs w:val="24"/>
        </w:rPr>
        <w:t xml:space="preserve"> </w:t>
      </w: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3D9C64A8" w:rsidR="00990F18" w:rsidRPr="00205C71" w:rsidRDefault="00BD2F70" w:rsidP="00C732DC">
      <w:pPr>
        <w:spacing w:after="0"/>
        <w:rPr>
          <w:szCs w:val="24"/>
        </w:rPr>
      </w:pPr>
      <w:r w:rsidRPr="00205C71">
        <w:rPr>
          <w:szCs w:val="24"/>
        </w:rPr>
        <w:t xml:space="preserve">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w:t>
      </w:r>
      <w:r w:rsidR="00954FB6" w:rsidRPr="00954FB6">
        <w:rPr>
          <w:szCs w:val="24"/>
          <w:highlight w:val="yellow"/>
        </w:rPr>
        <w:t>Clear, credible and progressively tightening environmental regulation is therefore likely to yield the greatest return. Cost-side incentives such as subsidies and tax benefits remain useful, but the evidence here cautions against relying on them alone. Affordability in these settings has already improved faster than the capabilities needed to exploit it, and firms that can now buy green options still lack the digital systems and workforce skills to deploy them. Incentives that lower prices without funding the absorptive capacity to use what has become affordable are likely to widen that gap rather than close it. Pairing purchase subsidies with training provision and shared digital infrastructure would address the constraint that actually binds</w:t>
      </w:r>
      <w:r w:rsidR="00954FB6">
        <w:rPr>
          <w:szCs w:val="24"/>
        </w:rPr>
        <w:t xml:space="preserve">. </w:t>
      </w:r>
      <w:r w:rsidRPr="00205C71">
        <w:rPr>
          <w:szCs w:val="24"/>
        </w:rPr>
        <w:t>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3C1FE6E6" w14:textId="77777777" w:rsidR="00733F7D" w:rsidRDefault="000841FA" w:rsidP="00C732DC">
      <w:pPr>
        <w:spacing w:after="0"/>
        <w:rPr>
          <w:szCs w:val="24"/>
        </w:rPr>
      </w:pPr>
      <w:r w:rsidRPr="000841FA">
        <w:rPr>
          <w:szCs w:val="24"/>
        </w:rPr>
        <w:t xml:space="preserve">Several limitations qualify the findings and point to future research. </w:t>
      </w:r>
      <w:r w:rsidR="00E36B38">
        <w:rPr>
          <w:szCs w:val="24"/>
        </w:rPr>
        <w:t xml:space="preserve"> </w:t>
      </w:r>
      <w:r w:rsidR="00E36B38" w:rsidRPr="00E36B38">
        <w:rPr>
          <w:szCs w:val="24"/>
          <w:highlight w:val="yellow"/>
        </w:rPr>
        <w:t>The design observes each firm once, while enablement accumulates. Digital readiness, workforce capability, and inter-</w:t>
      </w:r>
      <w:r w:rsidR="00E36B38" w:rsidRPr="00E36B38">
        <w:rPr>
          <w:szCs w:val="24"/>
          <w:highlight w:val="yellow"/>
        </w:rPr>
        <w:lastRenderedPageBreak/>
        <w:t xml:space="preserve">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w:t>
      </w:r>
      <w:proofErr w:type="spellStart"/>
      <w:r w:rsidR="00E36B38" w:rsidRPr="00E36B38">
        <w:rPr>
          <w:szCs w:val="24"/>
          <w:highlight w:val="yellow"/>
        </w:rPr>
        <w:t>organised</w:t>
      </w:r>
      <w:proofErr w:type="spellEnd"/>
      <w:r w:rsidR="00E36B38" w:rsidRPr="00E36B38">
        <w:rPr>
          <w:szCs w:val="24"/>
          <w:highlight w:val="yellow"/>
        </w:rPr>
        <w:t xml:space="preserve">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that the specified ordering predicts better out of sample than its reverse and that the regulatory path is not attributable to prior environmental certification, yet neither result 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1B1844">
        <w:rPr>
          <w:rFonts w:eastAsia="Times New Roman"/>
          <w:szCs w:val="24"/>
          <w:lang w:val="en-IN" w:eastAsia="en-GB"/>
        </w:rPr>
        <w:t>.</w:t>
      </w:r>
      <w:r w:rsidR="00A03204" w:rsidRPr="00A03204">
        <w:rPr>
          <w:szCs w:val="24"/>
          <w:highlight w:val="yellow"/>
        </w:rPr>
        <w:t>The reliance on a single self-reporting informant per firm is a more serious constraint than the diagnostics alone suggest. Section 3.6 reports four indicators that give no evidence of substantial method bias, and Section 4.6 shows that informant position does not account for the estimated relationships, yet neither result removes the underlying problem. Predictors and outcome are reported by the same person on the same instrument, so shared-source variance cannot be separated from substantive covariation, and the available diagnostics detect bias rather than correct it. The concern applies with particular force to green logistics performance. That construct records a manager's assessment of emission reductions, waste reduction and energy efficiency rather than audited quantities, and perceptual performance measures are known to diverge from archival ones in operations research (</w:t>
      </w:r>
      <w:proofErr w:type="spellStart"/>
      <w:r w:rsidR="00A03204" w:rsidRPr="00A03204">
        <w:rPr>
          <w:szCs w:val="24"/>
          <w:highlight w:val="yellow"/>
        </w:rPr>
        <w:t>Ketokivi</w:t>
      </w:r>
      <w:proofErr w:type="spellEnd"/>
      <w:r w:rsidR="00A03204" w:rsidRPr="00A03204">
        <w:rPr>
          <w:szCs w:val="24"/>
          <w:highlight w:val="yellow"/>
        </w:rPr>
        <w:t xml:space="preserve"> &amp; Schroeder, 2004). Where one respondent reports both the enabling conditions and the outcome, the paths into performance are the estimates most exposed to inflation. Three extensions would address this. Multi-informant designs that source top management commitment from a senior executive, integration from a procurement or logistics lead, and performance from an environmental officer would break the single-source dependency at its weakest points. Objective performance data, including audited Scope 1 and Scope 3 emissions, fuel consumption per </w:t>
      </w:r>
      <w:proofErr w:type="spellStart"/>
      <w:r w:rsidR="00A03204" w:rsidRPr="00A03204">
        <w:rPr>
          <w:szCs w:val="24"/>
          <w:highlight w:val="yellow"/>
        </w:rPr>
        <w:t>tonne-kilometre</w:t>
      </w:r>
      <w:proofErr w:type="spellEnd"/>
      <w:r w:rsidR="00A03204" w:rsidRPr="00A03204">
        <w:rPr>
          <w:szCs w:val="24"/>
          <w:highlight w:val="yellow"/>
        </w:rPr>
        <w:t xml:space="preserve">, and waste volumes drawn from environmental reporting, </w:t>
      </w:r>
      <w:r w:rsidR="00A03204" w:rsidRPr="00A03204">
        <w:rPr>
          <w:szCs w:val="24"/>
          <w:highlight w:val="yellow"/>
        </w:rPr>
        <w:lastRenderedPageBreak/>
        <w:t xml:space="preserve">would replace perceptual outcome measures altogether. Matching survey responses to financial disclosures would allow the cost arguments underlying </w:t>
      </w:r>
      <w:r w:rsidR="003F1F45">
        <w:rPr>
          <w:szCs w:val="24"/>
          <w:highlight w:val="yellow"/>
        </w:rPr>
        <w:t>perceived economic feasibility</w:t>
      </w:r>
      <w:r w:rsidR="00A03204" w:rsidRPr="00A03204">
        <w:rPr>
          <w:szCs w:val="24"/>
          <w:highlight w:val="yellow"/>
        </w:rPr>
        <w:t xml:space="preserve"> to be tested against reported expenditure rather than managerial belief.</w:t>
      </w:r>
      <w:r w:rsidR="00BB302F">
        <w:rPr>
          <w:szCs w:val="24"/>
        </w:rPr>
        <w:t xml:space="preserve"> </w:t>
      </w:r>
    </w:p>
    <w:p w14:paraId="2F628F5A" w14:textId="1F1293F8" w:rsidR="0092232F" w:rsidRDefault="00733F7D" w:rsidP="00C732DC">
      <w:pPr>
        <w:spacing w:after="0"/>
        <w:rPr>
          <w:szCs w:val="24"/>
        </w:rPr>
      </w:pPr>
      <w:r w:rsidRPr="00733F7D">
        <w:rPr>
          <w:szCs w:val="24"/>
          <w:highlight w:val="yellow"/>
        </w:rPr>
        <w:t>A boundary question remains over two items whose content approaches the outcome domain. Both were retained because they attribute effects to a named capability rather than reporting attainment against environmental targets, and because removing them leaves the results unchanged. A stricter separation, measuring enablers only as capacities in place and never as capacities that have functioned, would remove the ambiguity at the cost of losing information on whether investments have taken effect. Instrument development that draws the line more sharply, or that pairs perceptual enabler measures with audited outcome data, would settle the question.</w:t>
      </w:r>
      <w:r>
        <w:rPr>
          <w:szCs w:val="24"/>
        </w:rPr>
        <w:t xml:space="preserve"> </w:t>
      </w:r>
      <w:r w:rsidR="00BB302F" w:rsidRPr="00BB302F">
        <w:rPr>
          <w:szCs w:val="24"/>
          <w:highlight w:val="yellow"/>
        </w:rPr>
        <w:t>The comparison rests on one country in each category, so India stands for the developing group and China for the emerging group. Anything that distinguishes these two countries is therefore inseparable from economy type. Regulatory regime, sector composition, language of administration and the structure of state involvement in freight all differ between them, and the design cannot attribute the observed differences to income level rather than to any of these. The income classification makes group assignment reproducible without making it exclusive, since a two-category split also simplifies what is in reality a continuum. Sampling several countries within each income band would separate economy type from national particularity, which is the most direct way to test whether the pattern reported here reflects development level or two specific national systems.</w:t>
      </w:r>
      <w:r w:rsidR="000841FA" w:rsidRPr="000841FA">
        <w:rPr>
          <w:szCs w:val="24"/>
        </w:rPr>
        <w:t xml:space="preserve"> </w:t>
      </w:r>
    </w:p>
    <w:p w14:paraId="098CB942" w14:textId="0C7518C4" w:rsidR="005E7BF7" w:rsidRDefault="0092232F" w:rsidP="005E7BF7">
      <w:pPr>
        <w:spacing w:after="0"/>
        <w:rPr>
          <w:szCs w:val="24"/>
        </w:rPr>
      </w:pPr>
      <w:r w:rsidRPr="005D59B0">
        <w:rPr>
          <w:szCs w:val="24"/>
          <w:highlight w:val="yellow"/>
        </w:rPr>
        <w:t xml:space="preserve">A further limitation concerns how the enabler set was derived. </w:t>
      </w:r>
      <w:r w:rsidR="005D59B0" w:rsidRPr="005D59B0">
        <w:rPr>
          <w:szCs w:val="24"/>
          <w:highlight w:val="yellow"/>
        </w:rPr>
        <w:t>Inverting validated barrier dimensions gave a principled basis for selecting and ordering the constructs, but it does not establish that the absence of an obstacle amounts to the presence of a capability</w:t>
      </w:r>
      <w:r w:rsidRPr="0092232F">
        <w:rPr>
          <w:szCs w:val="24"/>
          <w:highlight w:val="yellow"/>
        </w:rPr>
        <w:t xml:space="preserve">, and treating </w:t>
      </w:r>
      <w:r w:rsidR="003F1F45">
        <w:rPr>
          <w:szCs w:val="24"/>
          <w:highlight w:val="yellow"/>
        </w:rPr>
        <w:t>perceived economic feasibility</w:t>
      </w:r>
      <w:r w:rsidRPr="0092232F">
        <w:rPr>
          <w:szCs w:val="24"/>
          <w:highlight w:val="yellow"/>
        </w:rPr>
        <w:t xml:space="preserve"> as an enabling condition rather than a capability is a partial rather than a complete answer to that objection. Constructs built directly as capabilities, measuring for example a firm's ability to appraise and finance green alternatives rather than its perception that such alternatives have become affordable, would test the mechanism more sharply. Necessary condition analysis would also help, since it separates conditions that must be present for high performance from those that contribute to sufficiency, which is the distinction the inversion blurs.</w:t>
      </w:r>
      <w:r w:rsidR="00B82215">
        <w:rPr>
          <w:szCs w:val="24"/>
        </w:rPr>
        <w:t xml:space="preserve"> </w:t>
      </w:r>
      <w:r w:rsidR="005E7BF7" w:rsidRPr="005E7BF7">
        <w:rPr>
          <w:szCs w:val="24"/>
          <w:highlight w:val="yellow"/>
        </w:rPr>
        <w:t xml:space="preserve">Firm ownership was not recorded, and the omission matters more in these two countries than it would elsewhere. State ownership alters resource access directly, since state-linked firms borrow on softer terms and reach technology and land through channels closed to private operators. It also alters what regulatory pressure means. A state-owned enterprise is at once a target of environmental policy and an instrument of it, so </w:t>
      </w:r>
      <w:r w:rsidR="005E7BF7" w:rsidRPr="005E7BF7">
        <w:rPr>
          <w:szCs w:val="24"/>
          <w:highlight w:val="yellow"/>
        </w:rPr>
        <w:lastRenderedPageBreak/>
        <w:t>compliance may follow from political mandate rather than from the coercive pressure this framework models. Evidence from Chinese firms indicates that government ties shape whether environmental commitments prove substantive or symbolic (Marquis &amp; Qian, 2014), which bears directly on the path from regulatory pressure to managerial commitment.</w:t>
      </w:r>
      <w:r w:rsidR="005E7BF7">
        <w:rPr>
          <w:szCs w:val="24"/>
        </w:rPr>
        <w:t xml:space="preserve"> </w:t>
      </w:r>
      <w:r w:rsidR="005E7BF7" w:rsidRPr="005E7BF7">
        <w:rPr>
          <w:szCs w:val="24"/>
          <w:highlight w:val="yellow"/>
        </w:rPr>
        <w:t>Firm size shows no moderating effect, which suggests limited resource-access heterogeneity within this sample, and the absence of large state-owned groups narrows the exposure further. Neither observation substitutes for the variable itself. Research that stratifies sampling by ownership would test whether the regulatory mechanism identified here operates differently for state-linked firms, and the comparison would be most informative in China, where state and private operators coexist at scale in freight and warehousing.</w:t>
      </w:r>
    </w:p>
    <w:p w14:paraId="35C009E1" w14:textId="1144C485" w:rsidR="000841FA" w:rsidRPr="00B82215" w:rsidRDefault="000841FA" w:rsidP="00C732DC">
      <w:pPr>
        <w:spacing w:after="0"/>
        <w:rPr>
          <w:szCs w:val="24"/>
        </w:rPr>
      </w:pPr>
      <w:r w:rsidRPr="000841FA">
        <w:rPr>
          <w:szCs w:val="24"/>
        </w:rPr>
        <w:t>Future work could extend the comparison to additional economy types, including developed economies, examine sector-specific configurations, and integrate further conditions</w:t>
      </w:r>
      <w:r w:rsidR="00C25BF1">
        <w:rPr>
          <w:szCs w:val="24"/>
        </w:rPr>
        <w:t>,</w:t>
      </w:r>
      <w:r w:rsidRPr="000841FA">
        <w:rPr>
          <w:szCs w:val="24"/>
        </w:rPr>
        <w:t xml:space="preserve"> such as supply chain complexity or ownership structure</w:t>
      </w:r>
      <w:r w:rsidR="00C25BF1">
        <w:rPr>
          <w:szCs w:val="24"/>
        </w:rPr>
        <w:t>,</w:t>
      </w:r>
      <w:r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t>References</w:t>
      </w:r>
    </w:p>
    <w:p w14:paraId="2B1F8EC8" w14:textId="77777777" w:rsidR="00C732DC" w:rsidRPr="009D494B" w:rsidRDefault="00C732DC" w:rsidP="00C732DC">
      <w:pPr>
        <w:spacing w:after="0" w:line="240" w:lineRule="auto"/>
        <w:rPr>
          <w:szCs w:val="24"/>
        </w:rPr>
      </w:pPr>
      <w:r w:rsidRPr="009D494B">
        <w:rPr>
          <w:szCs w:val="24"/>
        </w:rPr>
        <w:t>Abdulrahman, M. D., Gunasekaran,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proofErr w:type="spellStart"/>
      <w:r w:rsidRPr="009D494B">
        <w:rPr>
          <w:szCs w:val="24"/>
        </w:rPr>
        <w:t>Agyabeng</w:t>
      </w:r>
      <w:proofErr w:type="spellEnd"/>
      <w:r w:rsidRPr="009D494B">
        <w:rPr>
          <w:szCs w:val="24"/>
        </w:rPr>
        <w:t xml:space="preserve">-Mensah, Y., </w:t>
      </w:r>
      <w:proofErr w:type="spellStart"/>
      <w:r w:rsidRPr="009D494B">
        <w:rPr>
          <w:szCs w:val="24"/>
        </w:rPr>
        <w:t>Ahenkorah</w:t>
      </w:r>
      <w:proofErr w:type="spellEnd"/>
      <w:r w:rsidRPr="009D494B">
        <w:rPr>
          <w:szCs w:val="24"/>
        </w:rPr>
        <w:t xml:space="preserve">, E., </w:t>
      </w:r>
      <w:proofErr w:type="spellStart"/>
      <w:r w:rsidRPr="009D494B">
        <w:rPr>
          <w:szCs w:val="24"/>
        </w:rPr>
        <w:t>Afum</w:t>
      </w:r>
      <w:proofErr w:type="spellEnd"/>
      <w:r w:rsidRPr="009D494B">
        <w:rPr>
          <w:szCs w:val="24"/>
        </w:rPr>
        <w:t>, E., Nana Agyemang, A., Agnikpe,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t>Ali, S. S., Kaur, R., Persis, D. J., Saha, R., Pattusamy, M., &amp; Sreedharan,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t xml:space="preserve">Bag, S., Gupta, S., &amp; </w:t>
      </w:r>
      <w:proofErr w:type="spellStart"/>
      <w:r w:rsidRPr="009D494B">
        <w:rPr>
          <w:szCs w:val="24"/>
        </w:rPr>
        <w:t>Foropon</w:t>
      </w:r>
      <w:proofErr w:type="spellEnd"/>
      <w:r w:rsidRPr="009D494B">
        <w:rPr>
          <w:szCs w:val="24"/>
        </w:rPr>
        <w:t>,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t xml:space="preserve">Bag, S., Wood, L. C., Xu, L., Dhamija, P., &amp; </w:t>
      </w:r>
      <w:proofErr w:type="spellStart"/>
      <w:r w:rsidRPr="009D494B">
        <w:rPr>
          <w:szCs w:val="24"/>
        </w:rPr>
        <w:t>Kayikci</w:t>
      </w:r>
      <w:proofErr w:type="spellEnd"/>
      <w:r w:rsidRPr="009D494B">
        <w:rPr>
          <w:szCs w:val="24"/>
        </w:rPr>
        <w:t>,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 xml:space="preserve">Bhattacharya, A., Nand, A., &amp; </w:t>
      </w:r>
      <w:proofErr w:type="spellStart"/>
      <w:r w:rsidRPr="009D494B">
        <w:rPr>
          <w:szCs w:val="24"/>
        </w:rPr>
        <w:t>Castka</w:t>
      </w:r>
      <w:proofErr w:type="spellEnd"/>
      <w:r w:rsidRPr="009D494B">
        <w:rPr>
          <w:szCs w:val="24"/>
        </w:rPr>
        <w:t>,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proofErr w:type="spellStart"/>
      <w:r w:rsidRPr="009D494B">
        <w:rPr>
          <w:szCs w:val="24"/>
        </w:rPr>
        <w:t>Bouzon</w:t>
      </w:r>
      <w:proofErr w:type="spellEnd"/>
      <w:r w:rsidRPr="009D494B">
        <w:rPr>
          <w:szCs w:val="24"/>
        </w:rPr>
        <w:t>, M., Govindan,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proofErr w:type="spellStart"/>
      <w:r w:rsidRPr="009D494B">
        <w:rPr>
          <w:szCs w:val="24"/>
        </w:rPr>
        <w:t>Centobelli</w:t>
      </w:r>
      <w:proofErr w:type="spellEnd"/>
      <w:r w:rsidRPr="009D494B">
        <w:rPr>
          <w:szCs w:val="24"/>
        </w:rPr>
        <w:t xml:space="preserve">, P., </w:t>
      </w:r>
      <w:proofErr w:type="spellStart"/>
      <w:r w:rsidRPr="009D494B">
        <w:rPr>
          <w:szCs w:val="24"/>
        </w:rPr>
        <w:t>Cerchione</w:t>
      </w:r>
      <w:proofErr w:type="spellEnd"/>
      <w:r w:rsidRPr="009D494B">
        <w:rPr>
          <w:szCs w:val="24"/>
        </w:rPr>
        <w:t>,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lastRenderedPageBreak/>
        <w:t>Dubey, R., Gunasekaran, A., Papadopoulos, T., Childe, S. J., Shibin, K. T., &amp; Wamba,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t xml:space="preserve">Dubey, R., Gunasekaran, A., Childe, S. J., Papadopoulos, T., Luo, Z., Wamba, S. F., &amp; </w:t>
      </w:r>
      <w:proofErr w:type="spellStart"/>
      <w:r w:rsidRPr="009D494B">
        <w:rPr>
          <w:szCs w:val="24"/>
        </w:rPr>
        <w:t>Roubaud</w:t>
      </w:r>
      <w:proofErr w:type="spellEnd"/>
      <w:r w:rsidRPr="009D494B">
        <w:rPr>
          <w:szCs w:val="24"/>
        </w:rPr>
        <w:t>,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r w:rsidRPr="009D494B">
        <w:rPr>
          <w:szCs w:val="24"/>
        </w:rPr>
        <w:t>Fiss,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proofErr w:type="spellStart"/>
      <w:r w:rsidRPr="009D494B">
        <w:rPr>
          <w:szCs w:val="24"/>
        </w:rPr>
        <w:t>Ghobakhloo</w:t>
      </w:r>
      <w:proofErr w:type="spellEnd"/>
      <w:r w:rsidRPr="009D494B">
        <w:rPr>
          <w:szCs w:val="24"/>
        </w:rPr>
        <w:t>, M., Tang, S. H., Zulkifli, N., &amp; Ariffin,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r w:rsidRPr="009D494B">
        <w:rPr>
          <w:szCs w:val="24"/>
        </w:rPr>
        <w:t xml:space="preserve">Govindan, K., &amp; </w:t>
      </w:r>
      <w:proofErr w:type="spellStart"/>
      <w:r w:rsidRPr="009D494B">
        <w:rPr>
          <w:szCs w:val="24"/>
        </w:rPr>
        <w:t>Hasanagic</w:t>
      </w:r>
      <w:proofErr w:type="spellEnd"/>
      <w:r w:rsidRPr="009D494B">
        <w:rPr>
          <w:szCs w:val="24"/>
        </w:rPr>
        <w:t>,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Hair, J. F., Hult, G. T. M., Ringle, C. M., &amp; Sarstedt, M. (2017). A primer on partial least squares structural equation modeling (PLS-SEM) (2nd ed.). Sage.</w:t>
      </w:r>
    </w:p>
    <w:p w14:paraId="606488A4" w14:textId="77777777" w:rsidR="00C732DC" w:rsidRPr="009D494B" w:rsidRDefault="00C732DC" w:rsidP="00C732DC">
      <w:pPr>
        <w:spacing w:after="0" w:line="240" w:lineRule="auto"/>
        <w:rPr>
          <w:szCs w:val="24"/>
        </w:rPr>
      </w:pPr>
      <w:proofErr w:type="spellStart"/>
      <w:r w:rsidRPr="009D494B">
        <w:rPr>
          <w:szCs w:val="24"/>
        </w:rPr>
        <w:t>Hervani</w:t>
      </w:r>
      <w:proofErr w:type="spellEnd"/>
      <w:r w:rsidRPr="009D494B">
        <w:rPr>
          <w:szCs w:val="24"/>
        </w:rPr>
        <w:t>, A. A., Nandi, S., Helms, M. M., &amp; Sarkis,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r w:rsidRPr="009D494B">
        <w:rPr>
          <w:szCs w:val="24"/>
        </w:rPr>
        <w:t xml:space="preserve">Jabbour, C. J. C., Fiorini, P. D. C., Ndubisi, N. O., Queiroz, M. M., &amp; </w:t>
      </w:r>
      <w:proofErr w:type="spellStart"/>
      <w:r w:rsidRPr="009D494B">
        <w:rPr>
          <w:szCs w:val="24"/>
        </w:rPr>
        <w:t>Piato</w:t>
      </w:r>
      <w:proofErr w:type="spellEnd"/>
      <w:r w:rsidRPr="009D494B">
        <w:rPr>
          <w:szCs w:val="24"/>
        </w:rPr>
        <w:t>,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proofErr w:type="spellStart"/>
      <w:r w:rsidRPr="009D494B">
        <w:rPr>
          <w:szCs w:val="24"/>
        </w:rPr>
        <w:t>Jum'a</w:t>
      </w:r>
      <w:proofErr w:type="spellEnd"/>
      <w:r w:rsidRPr="009D494B">
        <w:rPr>
          <w:szCs w:val="24"/>
        </w:rPr>
        <w:t xml:space="preserve">, L., Zimon, D., Ikram, M., &amp; </w:t>
      </w:r>
      <w:proofErr w:type="spellStart"/>
      <w:r w:rsidRPr="009D494B">
        <w:rPr>
          <w:szCs w:val="24"/>
        </w:rPr>
        <w:t>Madzik</w:t>
      </w:r>
      <w:proofErr w:type="spellEnd"/>
      <w:r w:rsidRPr="009D494B">
        <w:rPr>
          <w:szCs w:val="24"/>
        </w:rPr>
        <w:t>,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proofErr w:type="spellStart"/>
      <w:r w:rsidRPr="009D494B">
        <w:rPr>
          <w:szCs w:val="24"/>
        </w:rPr>
        <w:t>Karmaker</w:t>
      </w:r>
      <w:proofErr w:type="spellEnd"/>
      <w:r w:rsidRPr="009D494B">
        <w:rPr>
          <w:szCs w:val="24"/>
        </w:rPr>
        <w:t xml:space="preserve">, C. L., Ahmed, T., Ahmed, S., Ali, S. M., </w:t>
      </w:r>
      <w:proofErr w:type="spellStart"/>
      <w:r w:rsidRPr="009D494B">
        <w:rPr>
          <w:szCs w:val="24"/>
        </w:rPr>
        <w:t>Moktadir</w:t>
      </w:r>
      <w:proofErr w:type="spellEnd"/>
      <w:r w:rsidRPr="009D494B">
        <w:rPr>
          <w:szCs w:val="24"/>
        </w:rPr>
        <w:t>, M. A., &amp; Kabir, G. (2021). Improving supply chain sustainability in the context of COVID-19 pandemic in an emerging 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t xml:space="preserve">Khan, S. A. R., Yu, Z., </w:t>
      </w:r>
      <w:proofErr w:type="spellStart"/>
      <w:r w:rsidRPr="009D494B">
        <w:rPr>
          <w:szCs w:val="24"/>
        </w:rPr>
        <w:t>Golpira</w:t>
      </w:r>
      <w:proofErr w:type="spellEnd"/>
      <w:r w:rsidRPr="009D494B">
        <w:rPr>
          <w:szCs w:val="24"/>
        </w:rPr>
        <w:t>, H., Sharif, A., &amp; Mardani,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Khan, S. A. R., Razzaq,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 xml:space="preserve">Kumar, A., Mangla, S. K., Kumar, P., &amp; </w:t>
      </w:r>
      <w:proofErr w:type="spellStart"/>
      <w:r w:rsidRPr="009D494B">
        <w:rPr>
          <w:szCs w:val="24"/>
        </w:rPr>
        <w:t>Karamperidis</w:t>
      </w:r>
      <w:proofErr w:type="spellEnd"/>
      <w:r w:rsidRPr="009D494B">
        <w:rPr>
          <w:szCs w:val="24"/>
        </w:rPr>
        <w:t>,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Kumar, S., Raut, R. D., Nayal, K., Kraus, S., Yadav, V. S., &amp; Narkhede,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Liu, J., Feng, Y., Zhu, Q., &amp; Sarkis,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r w:rsidRPr="009D494B">
        <w:rPr>
          <w:szCs w:val="24"/>
        </w:rPr>
        <w:lastRenderedPageBreak/>
        <w:t>Luthra,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r w:rsidRPr="009D494B">
        <w:rPr>
          <w:szCs w:val="24"/>
        </w:rPr>
        <w:t xml:space="preserve">Luthra, S., Mangla, S. K., Xu, L., &amp; </w:t>
      </w:r>
      <w:proofErr w:type="spellStart"/>
      <w:r w:rsidRPr="009D494B">
        <w:rPr>
          <w:szCs w:val="24"/>
        </w:rPr>
        <w:t>Diabat</w:t>
      </w:r>
      <w:proofErr w:type="spellEnd"/>
      <w:r w:rsidRPr="009D494B">
        <w:rPr>
          <w:szCs w:val="24"/>
        </w:rPr>
        <w: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r w:rsidRPr="009D494B">
        <w:rPr>
          <w:szCs w:val="24"/>
        </w:rPr>
        <w:t>Mangla, S. K., Kumar, P., &amp; Barua,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r w:rsidRPr="009D494B">
        <w:rPr>
          <w:szCs w:val="24"/>
        </w:rPr>
        <w:t>Mangla, S. K., Luthra, S., Mishra, N., Singh, A., Rana, N. P., Dora, M., &amp; Dwivedi,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r w:rsidRPr="009D494B">
        <w:rPr>
          <w:szCs w:val="24"/>
        </w:rPr>
        <w:t xml:space="preserve">Mardani, A., Kannan, D., Hooker, R. E., </w:t>
      </w:r>
      <w:proofErr w:type="spellStart"/>
      <w:r w:rsidRPr="009D494B">
        <w:rPr>
          <w:szCs w:val="24"/>
        </w:rPr>
        <w:t>Ozkul</w:t>
      </w:r>
      <w:proofErr w:type="spellEnd"/>
      <w:r w:rsidRPr="009D494B">
        <w:rPr>
          <w:szCs w:val="24"/>
        </w:rPr>
        <w:t xml:space="preserve">, S., </w:t>
      </w:r>
      <w:proofErr w:type="spellStart"/>
      <w:r w:rsidRPr="009D494B">
        <w:rPr>
          <w:szCs w:val="24"/>
        </w:rPr>
        <w:t>Alrasheedi</w:t>
      </w:r>
      <w:proofErr w:type="spellEnd"/>
      <w:r w:rsidRPr="009D494B">
        <w:rPr>
          <w:szCs w:val="24"/>
        </w:rPr>
        <w:t xml:space="preserve">, M., &amp; </w:t>
      </w:r>
      <w:proofErr w:type="spellStart"/>
      <w:r w:rsidRPr="009D494B">
        <w:rPr>
          <w:szCs w:val="24"/>
        </w:rPr>
        <w:t>Tirkolaee</w:t>
      </w:r>
      <w:proofErr w:type="spellEnd"/>
      <w:r w:rsidRPr="009D494B">
        <w:rPr>
          <w:szCs w:val="24"/>
        </w:rPr>
        <w:t>,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r w:rsidRPr="009D494B">
        <w:rPr>
          <w:szCs w:val="24"/>
        </w:rPr>
        <w:t xml:space="preserve">Maric, J., &amp; </w:t>
      </w:r>
      <w:proofErr w:type="spellStart"/>
      <w:r w:rsidRPr="009D494B">
        <w:rPr>
          <w:szCs w:val="24"/>
        </w:rPr>
        <w:t>Opazo-Basaez</w:t>
      </w:r>
      <w:proofErr w:type="spellEnd"/>
      <w:r w:rsidRPr="009D494B">
        <w:rPr>
          <w:szCs w:val="24"/>
        </w:rPr>
        <w:t xml:space="preserve">, M. (2019). Green </w:t>
      </w:r>
      <w:proofErr w:type="spellStart"/>
      <w:r w:rsidRPr="009D494B">
        <w:rPr>
          <w:szCs w:val="24"/>
        </w:rPr>
        <w:t>servitization</w:t>
      </w:r>
      <w:proofErr w:type="spellEnd"/>
      <w:r w:rsidRPr="009D494B">
        <w:rPr>
          <w:szCs w:val="24"/>
        </w:rPr>
        <w:t xml:space="preserve">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proofErr w:type="spellStart"/>
      <w:r w:rsidRPr="009D494B">
        <w:rPr>
          <w:szCs w:val="24"/>
        </w:rPr>
        <w:t>Moktadir</w:t>
      </w:r>
      <w:proofErr w:type="spellEnd"/>
      <w:r w:rsidRPr="009D494B">
        <w:rPr>
          <w:szCs w:val="24"/>
        </w:rPr>
        <w:t>,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r w:rsidRPr="009D494B">
        <w:rPr>
          <w:szCs w:val="24"/>
        </w:rPr>
        <w:t xml:space="preserve">Mubarik, M. S., </w:t>
      </w:r>
      <w:proofErr w:type="spellStart"/>
      <w:r w:rsidRPr="009D494B">
        <w:rPr>
          <w:szCs w:val="24"/>
        </w:rPr>
        <w:t>Naghavi</w:t>
      </w:r>
      <w:proofErr w:type="spellEnd"/>
      <w:r w:rsidRPr="009D494B">
        <w:rPr>
          <w:szCs w:val="24"/>
        </w:rPr>
        <w:t>, N., Mubarik, M., Kusi-Sarpong, S., Khan, S. A., Zaman, S. I., &amp; Kazmi,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proofErr w:type="spellStart"/>
      <w:r w:rsidRPr="009D494B">
        <w:rPr>
          <w:szCs w:val="24"/>
        </w:rPr>
        <w:t>Mukhuty</w:t>
      </w:r>
      <w:proofErr w:type="spellEnd"/>
      <w:r w:rsidRPr="009D494B">
        <w:rPr>
          <w:szCs w:val="24"/>
        </w:rPr>
        <w:t>, S., Upadhyay,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proofErr w:type="spellStart"/>
      <w:r w:rsidRPr="009D494B">
        <w:rPr>
          <w:szCs w:val="24"/>
        </w:rPr>
        <w:t>Pagell</w:t>
      </w:r>
      <w:proofErr w:type="spellEnd"/>
      <w:r w:rsidRPr="009D494B">
        <w:rPr>
          <w:szCs w:val="24"/>
        </w:rPr>
        <w:t>,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w:t>
      </w:r>
      <w:proofErr w:type="spellStart"/>
      <w:r w:rsidRPr="009D494B">
        <w:rPr>
          <w:szCs w:val="24"/>
        </w:rPr>
        <w:t>fsQCA</w:t>
      </w:r>
      <w:proofErr w:type="spellEnd"/>
      <w:r w:rsidRPr="009D494B">
        <w:rPr>
          <w:szCs w:val="24"/>
        </w:rPr>
        <w:t>):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r w:rsidRPr="009D494B">
        <w:rPr>
          <w:szCs w:val="24"/>
        </w:rPr>
        <w:t>Patwa, N., Sivarajah, U., Seetharaman, A., Sarkar, S., Maiti, K., &amp; Hingorani,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r w:rsidRPr="009D494B">
        <w:rPr>
          <w:szCs w:val="24"/>
        </w:rPr>
        <w:t>Queiroz, M. M., Telles, R., &amp; Bonilla, S. H. (2020). Blockchain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r w:rsidRPr="009D494B">
        <w:rPr>
          <w:szCs w:val="24"/>
        </w:rPr>
        <w:t>Raghuvanshi,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Rajeev, A., Pati, R. K., Padhi, S. S., &amp; Govindan,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r w:rsidRPr="009D494B">
        <w:rPr>
          <w:szCs w:val="24"/>
        </w:rPr>
        <w:t xml:space="preserve">Raut, R. D., Mangla, S. K., </w:t>
      </w:r>
      <w:proofErr w:type="spellStart"/>
      <w:r w:rsidRPr="009D494B">
        <w:rPr>
          <w:szCs w:val="24"/>
        </w:rPr>
        <w:t>Narwane</w:t>
      </w:r>
      <w:proofErr w:type="spellEnd"/>
      <w:r w:rsidRPr="009D494B">
        <w:rPr>
          <w:szCs w:val="24"/>
        </w:rPr>
        <w:t xml:space="preserve">, V. S., Gardas, B. B., </w:t>
      </w:r>
      <w:proofErr w:type="spellStart"/>
      <w:r w:rsidRPr="009D494B">
        <w:rPr>
          <w:szCs w:val="24"/>
        </w:rPr>
        <w:t>Priyadarshinee</w:t>
      </w:r>
      <w:proofErr w:type="spellEnd"/>
      <w:r w:rsidRPr="009D494B">
        <w:rPr>
          <w:szCs w:val="24"/>
        </w:rPr>
        <w:t>, P., &amp; Narkhede,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r w:rsidRPr="009D494B">
        <w:rPr>
          <w:szCs w:val="24"/>
        </w:rPr>
        <w:lastRenderedPageBreak/>
        <w:t>Sarkis,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proofErr w:type="spellStart"/>
      <w:r w:rsidRPr="009D494B">
        <w:rPr>
          <w:szCs w:val="24"/>
        </w:rPr>
        <w:t>Seuring</w:t>
      </w:r>
      <w:proofErr w:type="spellEnd"/>
      <w:r w:rsidRPr="009D494B">
        <w:rPr>
          <w:szCs w:val="24"/>
        </w:rPr>
        <w:t>,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t>Sharma, M., Joshi, S., Kannan, D., Govindan, K., Singh, R., &amp; Purohit, H. C. (2020). Internet of Things (IoT)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proofErr w:type="spellStart"/>
      <w:r w:rsidRPr="009D494B">
        <w:rPr>
          <w:szCs w:val="24"/>
        </w:rPr>
        <w:t>Stekelorum</w:t>
      </w:r>
      <w:proofErr w:type="spellEnd"/>
      <w:r w:rsidRPr="009D494B">
        <w:rPr>
          <w:szCs w:val="24"/>
        </w:rPr>
        <w:t xml:space="preserve">, R., </w:t>
      </w:r>
      <w:proofErr w:type="spellStart"/>
      <w:r w:rsidRPr="009D494B">
        <w:rPr>
          <w:szCs w:val="24"/>
        </w:rPr>
        <w:t>Laguir</w:t>
      </w:r>
      <w:proofErr w:type="spellEnd"/>
      <w:r w:rsidRPr="009D494B">
        <w:rPr>
          <w:szCs w:val="24"/>
        </w:rPr>
        <w:t>,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t>Tseng, M. L., Islam, M. S., Karia, N., Fauzi,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r w:rsidRPr="009D494B">
        <w:rPr>
          <w:szCs w:val="24"/>
        </w:rPr>
        <w:t>Vachon, S., &amp; Klassen,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t>Wong, C. Y., Wong, C. W. Y., &amp; Boon-</w:t>
      </w:r>
      <w:proofErr w:type="spellStart"/>
      <w:r w:rsidRPr="009D494B">
        <w:rPr>
          <w:szCs w:val="24"/>
        </w:rPr>
        <w:t>itt</w:t>
      </w:r>
      <w:proofErr w:type="spellEnd"/>
      <w:r w:rsidRPr="009D494B">
        <w:rPr>
          <w:szCs w:val="24"/>
        </w:rPr>
        <w: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Yadav, G., Luthra, S., Jakhar, S. K., Mangla,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Zaid, A. A., Jaaron,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Zhu, Q., Sarkis, J., &amp; Lai, K. H. (2013). Institutional-based antecedents and performance outcomes of internal and external green supply chain management practices. Journal of Purchasing and Supply Management, 19(2), 106-117.</w:t>
      </w:r>
    </w:p>
    <w:p w14:paraId="758019B8" w14:textId="0561CD7E" w:rsidR="008B57DA" w:rsidRDefault="00C732DC" w:rsidP="008B57DA">
      <w:pPr>
        <w:spacing w:after="0" w:line="240" w:lineRule="auto"/>
        <w:rPr>
          <w:szCs w:val="24"/>
        </w:rPr>
      </w:pPr>
      <w:r w:rsidRPr="009D494B">
        <w:rPr>
          <w:szCs w:val="24"/>
        </w:rPr>
        <w:t>Zimon, D., Tyan, J., &amp; Sroufe, R. (2020). Drivers of sustainable supply chain management: Practices to alignment with UN sustainable development goals. International Journal for Quality Research, 14(1), 219-236.</w:t>
      </w:r>
    </w:p>
    <w:p w14:paraId="04EAB4C8" w14:textId="77777777" w:rsidR="008B57DA" w:rsidRDefault="008B57DA" w:rsidP="008B57DA">
      <w:pPr>
        <w:spacing w:after="0" w:line="240" w:lineRule="auto"/>
        <w:rPr>
          <w:szCs w:val="24"/>
        </w:rPr>
      </w:pPr>
    </w:p>
    <w:p w14:paraId="1B2FE382" w14:textId="77777777" w:rsidR="008B57DA" w:rsidRPr="008B57DA" w:rsidRDefault="008B57DA" w:rsidP="008B57DA">
      <w:pPr>
        <w:spacing w:after="0" w:line="240" w:lineRule="auto"/>
        <w:rPr>
          <w:szCs w:val="24"/>
          <w:highlight w:val="yellow"/>
        </w:rPr>
      </w:pPr>
      <w:r w:rsidRPr="008B57DA">
        <w:rPr>
          <w:szCs w:val="24"/>
          <w:highlight w:val="yellow"/>
        </w:rPr>
        <w:t>Becker, J.-M., Proksch, D., &amp; Ringle, C. M. (2022). Revisiting Gaussian copulas to handle endogenous regressors. Journal of the Academy of Marketing Science, 50(1), 46–66. https://doi.org/10.1007/s11747-021-00805-y</w:t>
      </w:r>
    </w:p>
    <w:p w14:paraId="1737AABA" w14:textId="77777777" w:rsidR="008B57DA" w:rsidRPr="008B57DA" w:rsidRDefault="008B57DA" w:rsidP="008B57DA">
      <w:pPr>
        <w:spacing w:after="0" w:line="240" w:lineRule="auto"/>
        <w:rPr>
          <w:szCs w:val="24"/>
          <w:highlight w:val="yellow"/>
        </w:rPr>
      </w:pPr>
    </w:p>
    <w:p w14:paraId="4D9D5366" w14:textId="77777777" w:rsidR="008B57DA" w:rsidRPr="008B57DA" w:rsidRDefault="008B57DA" w:rsidP="008B57DA">
      <w:pPr>
        <w:spacing w:after="0" w:line="240" w:lineRule="auto"/>
        <w:rPr>
          <w:szCs w:val="24"/>
          <w:highlight w:val="yellow"/>
        </w:rPr>
      </w:pPr>
      <w:r w:rsidRPr="008B57DA">
        <w:rPr>
          <w:szCs w:val="24"/>
          <w:highlight w:val="yellow"/>
        </w:rPr>
        <w:t xml:space="preserve">Hult, G. T. M., Hair, J. F., Proksch, D., Sarstedt, M., </w:t>
      </w:r>
      <w:proofErr w:type="spellStart"/>
      <w:r w:rsidRPr="008B57DA">
        <w:rPr>
          <w:szCs w:val="24"/>
          <w:highlight w:val="yellow"/>
        </w:rPr>
        <w:t>Pinkwart</w:t>
      </w:r>
      <w:proofErr w:type="spellEnd"/>
      <w:r w:rsidRPr="008B57DA">
        <w:rPr>
          <w:szCs w:val="24"/>
          <w:highlight w:val="yellow"/>
        </w:rPr>
        <w:t>, A., &amp; Ringle, C. M. (2018). Addressing endogeneity in international marketing applications of partial least squares structural equation modeling. Journal of International Marketing, 26(3), 1–21. https://doi.org/10.1509/jim.17.0151</w:t>
      </w:r>
    </w:p>
    <w:p w14:paraId="279541E1" w14:textId="77777777" w:rsidR="008B57DA" w:rsidRPr="008B57DA" w:rsidRDefault="008B57DA" w:rsidP="008B57DA">
      <w:pPr>
        <w:spacing w:after="0" w:line="240" w:lineRule="auto"/>
        <w:rPr>
          <w:szCs w:val="24"/>
          <w:highlight w:val="yellow"/>
        </w:rPr>
      </w:pPr>
    </w:p>
    <w:p w14:paraId="240D15B4" w14:textId="77777777" w:rsidR="008B57DA" w:rsidRPr="008B57DA" w:rsidRDefault="008B57DA" w:rsidP="008B57DA">
      <w:pPr>
        <w:spacing w:after="0" w:line="240" w:lineRule="auto"/>
        <w:rPr>
          <w:szCs w:val="24"/>
          <w:highlight w:val="yellow"/>
        </w:rPr>
      </w:pPr>
      <w:r w:rsidRPr="008B57DA">
        <w:rPr>
          <w:szCs w:val="24"/>
          <w:highlight w:val="yellow"/>
        </w:rPr>
        <w:t>Liengaard, B. D., Sharma, P. N., Hult, G. T. M., Jensen, M. B., Sarstedt, M., Hair, J. F., &amp; Ringle, C. M. (2021). Prediction: Coveted, yet forsaken? Introducing a cross-validated predictive ability test in partial least squares path modeling. Decision Sciences, 52(2), 362–392. https://doi.org/10.1111/deci.12445</w:t>
      </w:r>
    </w:p>
    <w:p w14:paraId="25066060" w14:textId="77777777" w:rsidR="008B57DA" w:rsidRPr="008B57DA" w:rsidRDefault="008B57DA" w:rsidP="008B57DA">
      <w:pPr>
        <w:spacing w:after="0" w:line="240" w:lineRule="auto"/>
        <w:rPr>
          <w:szCs w:val="24"/>
          <w:highlight w:val="yellow"/>
        </w:rPr>
      </w:pPr>
    </w:p>
    <w:p w14:paraId="47F4059B" w14:textId="10282DDC" w:rsidR="008B57DA" w:rsidRDefault="008B57DA" w:rsidP="008B57DA">
      <w:pPr>
        <w:spacing w:after="0" w:line="240" w:lineRule="auto"/>
        <w:rPr>
          <w:szCs w:val="24"/>
        </w:rPr>
      </w:pPr>
      <w:r w:rsidRPr="008B57DA">
        <w:rPr>
          <w:szCs w:val="24"/>
          <w:highlight w:val="yellow"/>
        </w:rPr>
        <w:t xml:space="preserve">Park, S., &amp; Gupta, S. (2012). Handling endogenous regressors by joint estimation using copulas. Marketing Science, 31(4), 567–586. </w:t>
      </w:r>
      <w:hyperlink r:id="rId14" w:history="1">
        <w:r w:rsidR="00CC3B73" w:rsidRPr="0023749F">
          <w:rPr>
            <w:rStyle w:val="Hyperlink"/>
            <w:szCs w:val="24"/>
            <w:highlight w:val="yellow"/>
          </w:rPr>
          <w:t>https://doi.org/10.1287/mksc.1120.0718</w:t>
        </w:r>
      </w:hyperlink>
    </w:p>
    <w:p w14:paraId="2CF71DD7" w14:textId="77777777" w:rsidR="00CC3B73" w:rsidRDefault="00CC3B73" w:rsidP="008B57DA">
      <w:pPr>
        <w:spacing w:after="0" w:line="240" w:lineRule="auto"/>
        <w:rPr>
          <w:szCs w:val="24"/>
        </w:rPr>
      </w:pPr>
    </w:p>
    <w:p w14:paraId="1BB88FFA" w14:textId="62B48836" w:rsidR="00CC3B73" w:rsidRPr="00CC3B73" w:rsidRDefault="00CC3B73" w:rsidP="008B57DA">
      <w:pPr>
        <w:spacing w:after="0" w:line="240" w:lineRule="auto"/>
        <w:rPr>
          <w:szCs w:val="24"/>
          <w:highlight w:val="yellow"/>
        </w:rPr>
      </w:pPr>
      <w:r w:rsidRPr="00CC3B73">
        <w:rPr>
          <w:szCs w:val="24"/>
          <w:highlight w:val="yellow"/>
        </w:rPr>
        <w:t xml:space="preserve">Chang, Y., Feng, T., Tan, J., &amp; Xian, F. (2026). Green human resource management and green supply chain integration: The mediating role of ambidextrous environmental strategy. The International Journal of Human Resource Management, 37(6), 950–987. </w:t>
      </w:r>
      <w:hyperlink r:id="rId15" w:history="1">
        <w:r w:rsidRPr="00CC3B73">
          <w:rPr>
            <w:rStyle w:val="Hyperlink"/>
            <w:szCs w:val="24"/>
            <w:highlight w:val="yellow"/>
          </w:rPr>
          <w:t>https://doi.org/10.1080/09585192.2026.2672582</w:t>
        </w:r>
      </w:hyperlink>
    </w:p>
    <w:p w14:paraId="49EFF601" w14:textId="77777777" w:rsidR="00CC3B73" w:rsidRPr="00CC3B73" w:rsidRDefault="00CC3B73" w:rsidP="008B57DA">
      <w:pPr>
        <w:spacing w:after="0" w:line="240" w:lineRule="auto"/>
        <w:rPr>
          <w:szCs w:val="24"/>
          <w:highlight w:val="yellow"/>
        </w:rPr>
      </w:pPr>
    </w:p>
    <w:p w14:paraId="6B72B878" w14:textId="40C7F6B0" w:rsidR="00CC3B73" w:rsidRPr="00CC3B73" w:rsidRDefault="00CC3B73" w:rsidP="008B57DA">
      <w:pPr>
        <w:spacing w:after="0" w:line="240" w:lineRule="auto"/>
        <w:rPr>
          <w:szCs w:val="24"/>
          <w:highlight w:val="yellow"/>
        </w:rPr>
      </w:pPr>
      <w:r w:rsidRPr="00CC3B73">
        <w:rPr>
          <w:szCs w:val="24"/>
          <w:highlight w:val="yellow"/>
        </w:rPr>
        <w:t xml:space="preserve">Feng, T., &amp; Sheng, H. (2023). Identifying the equifinal configurations of prompting green supply chain integration and subsequent performance outcome. Business Strategy and the Environment, 32(8), 5234–5251. </w:t>
      </w:r>
      <w:hyperlink r:id="rId16" w:history="1">
        <w:r w:rsidRPr="00CC3B73">
          <w:rPr>
            <w:rStyle w:val="Hyperlink"/>
            <w:szCs w:val="24"/>
            <w:highlight w:val="yellow"/>
          </w:rPr>
          <w:t>https://doi.org/10.1002/bse.3414</w:t>
        </w:r>
      </w:hyperlink>
    </w:p>
    <w:p w14:paraId="7683A3F8" w14:textId="77777777" w:rsidR="00F93FDA" w:rsidRDefault="00F93FDA" w:rsidP="008B57DA">
      <w:pPr>
        <w:spacing w:after="0" w:line="240" w:lineRule="auto"/>
        <w:rPr>
          <w:szCs w:val="24"/>
          <w:highlight w:val="yellow"/>
        </w:rPr>
      </w:pPr>
    </w:p>
    <w:p w14:paraId="1A5B5F04" w14:textId="7A06EB73" w:rsidR="00CC3B73" w:rsidRPr="00C977CB" w:rsidRDefault="00CC3B73" w:rsidP="008B57DA">
      <w:pPr>
        <w:spacing w:after="0" w:line="240" w:lineRule="auto"/>
        <w:rPr>
          <w:szCs w:val="24"/>
          <w:highlight w:val="yellow"/>
        </w:rPr>
      </w:pPr>
      <w:r w:rsidRPr="00C977CB">
        <w:rPr>
          <w:szCs w:val="24"/>
          <w:highlight w:val="yellow"/>
        </w:rPr>
        <w:t xml:space="preserve">Ren, J., Shi, H., Feng, T., &amp; Li, J. (2026). Translating environmental passion into green supply chain integration: The mediating role of sustainable decision tradeoffs. Humanities and Social Sciences Communications, 13, 1253. </w:t>
      </w:r>
      <w:hyperlink r:id="rId17" w:history="1">
        <w:r w:rsidR="00C977CB" w:rsidRPr="00C977CB">
          <w:rPr>
            <w:rStyle w:val="Hyperlink"/>
            <w:szCs w:val="24"/>
            <w:highlight w:val="yellow"/>
          </w:rPr>
          <w:t>https://doi.org/10.1057/s41599-026-07627-9</w:t>
        </w:r>
      </w:hyperlink>
    </w:p>
    <w:p w14:paraId="39825647" w14:textId="77777777" w:rsidR="00C977CB" w:rsidRPr="00C977CB" w:rsidRDefault="00C977CB" w:rsidP="008B57DA">
      <w:pPr>
        <w:spacing w:after="0" w:line="240" w:lineRule="auto"/>
        <w:rPr>
          <w:szCs w:val="24"/>
          <w:highlight w:val="yellow"/>
        </w:rPr>
      </w:pPr>
    </w:p>
    <w:p w14:paraId="12FD32C8" w14:textId="29738914" w:rsidR="00C977CB" w:rsidRPr="00C977CB" w:rsidRDefault="00C977CB" w:rsidP="008B57DA">
      <w:pPr>
        <w:spacing w:after="0" w:line="240" w:lineRule="auto"/>
        <w:rPr>
          <w:szCs w:val="24"/>
          <w:highlight w:val="yellow"/>
        </w:rPr>
      </w:pPr>
      <w:r w:rsidRPr="00C977CB">
        <w:rPr>
          <w:szCs w:val="24"/>
          <w:highlight w:val="yellow"/>
        </w:rPr>
        <w:t xml:space="preserve">Ketokivi, M. A., &amp; Schroeder, R. G. (2004). Perceptual measures of performance: Fact or fiction? Journal of Operations Management, 22(3), 247–264. </w:t>
      </w:r>
      <w:hyperlink r:id="rId18" w:history="1">
        <w:r w:rsidRPr="00C977CB">
          <w:rPr>
            <w:rStyle w:val="Hyperlink"/>
            <w:szCs w:val="24"/>
            <w:highlight w:val="yellow"/>
          </w:rPr>
          <w:t>https://doi.org/10.1016/j.jom.2002.07.001</w:t>
        </w:r>
      </w:hyperlink>
    </w:p>
    <w:p w14:paraId="353084DB" w14:textId="77777777" w:rsidR="00C977CB" w:rsidRPr="00C977CB" w:rsidRDefault="00C977CB" w:rsidP="008B57DA">
      <w:pPr>
        <w:spacing w:after="0" w:line="240" w:lineRule="auto"/>
        <w:rPr>
          <w:szCs w:val="24"/>
          <w:highlight w:val="yellow"/>
        </w:rPr>
      </w:pPr>
    </w:p>
    <w:p w14:paraId="4A7FD72B" w14:textId="4391B86B" w:rsidR="00C977CB" w:rsidRPr="00C977CB" w:rsidRDefault="00C977CB" w:rsidP="008B57DA">
      <w:pPr>
        <w:spacing w:after="0" w:line="240" w:lineRule="auto"/>
        <w:rPr>
          <w:szCs w:val="24"/>
          <w:highlight w:val="yellow"/>
        </w:rPr>
      </w:pPr>
      <w:r w:rsidRPr="00C977CB">
        <w:rPr>
          <w:szCs w:val="24"/>
          <w:highlight w:val="yellow"/>
        </w:rPr>
        <w:t xml:space="preserve">Kock, N. (2015). Common method bias in PLS-SEM: A full collinearity assessment approach. International Journal of e-Collaboration, 11(4), 1–10. </w:t>
      </w:r>
      <w:hyperlink r:id="rId19" w:history="1">
        <w:r w:rsidRPr="00C977CB">
          <w:rPr>
            <w:rStyle w:val="Hyperlink"/>
            <w:szCs w:val="24"/>
            <w:highlight w:val="yellow"/>
          </w:rPr>
          <w:t>https://doi.org/10.4018/ijec.2015100101</w:t>
        </w:r>
      </w:hyperlink>
    </w:p>
    <w:p w14:paraId="61951AA9" w14:textId="77777777" w:rsidR="00C977CB" w:rsidRPr="00C977CB" w:rsidRDefault="00C977CB" w:rsidP="008B57DA">
      <w:pPr>
        <w:spacing w:after="0" w:line="240" w:lineRule="auto"/>
        <w:rPr>
          <w:szCs w:val="24"/>
          <w:highlight w:val="yellow"/>
        </w:rPr>
      </w:pPr>
    </w:p>
    <w:p w14:paraId="219330E4" w14:textId="77777777" w:rsidR="00C977CB" w:rsidRPr="00C977CB" w:rsidRDefault="00C977CB" w:rsidP="008B57DA">
      <w:pPr>
        <w:spacing w:after="0" w:line="240" w:lineRule="auto"/>
        <w:rPr>
          <w:szCs w:val="24"/>
          <w:highlight w:val="yellow"/>
        </w:rPr>
      </w:pPr>
    </w:p>
    <w:p w14:paraId="478C9293" w14:textId="0BB01B33" w:rsidR="00C977CB" w:rsidRPr="00C977CB" w:rsidRDefault="00C977CB" w:rsidP="008B57DA">
      <w:pPr>
        <w:spacing w:after="0" w:line="240" w:lineRule="auto"/>
        <w:rPr>
          <w:szCs w:val="24"/>
          <w:highlight w:val="yellow"/>
        </w:rPr>
      </w:pPr>
      <w:r w:rsidRPr="00C977CB">
        <w:rPr>
          <w:szCs w:val="24"/>
          <w:highlight w:val="yellow"/>
        </w:rPr>
        <w:t xml:space="preserve">Kumar, N., Stern, L. W., &amp; Anderson, J. C. (1993). Conducting interorganizational research using key informants. Academy of Management Journal, 36(6), 1633–1651. </w:t>
      </w:r>
      <w:hyperlink r:id="rId20" w:history="1">
        <w:r w:rsidRPr="00C977CB">
          <w:rPr>
            <w:rStyle w:val="Hyperlink"/>
            <w:szCs w:val="24"/>
            <w:highlight w:val="yellow"/>
          </w:rPr>
          <w:t>https://doi.org/10.2307/256824</w:t>
        </w:r>
      </w:hyperlink>
    </w:p>
    <w:p w14:paraId="67CED373" w14:textId="77777777" w:rsidR="00C977CB" w:rsidRPr="00C977CB" w:rsidRDefault="00C977CB" w:rsidP="008B57DA">
      <w:pPr>
        <w:spacing w:after="0" w:line="240" w:lineRule="auto"/>
        <w:rPr>
          <w:szCs w:val="24"/>
          <w:highlight w:val="yellow"/>
        </w:rPr>
      </w:pPr>
    </w:p>
    <w:p w14:paraId="111807A5" w14:textId="77777777" w:rsidR="00C977CB" w:rsidRPr="00C977CB" w:rsidRDefault="00C977CB" w:rsidP="008B57DA">
      <w:pPr>
        <w:spacing w:after="0" w:line="240" w:lineRule="auto"/>
        <w:rPr>
          <w:szCs w:val="24"/>
          <w:highlight w:val="yellow"/>
        </w:rPr>
      </w:pPr>
    </w:p>
    <w:p w14:paraId="6B614AB5" w14:textId="32916757" w:rsidR="00C977CB" w:rsidRPr="00C977CB" w:rsidRDefault="00C977CB" w:rsidP="008B57DA">
      <w:pPr>
        <w:spacing w:after="0" w:line="240" w:lineRule="auto"/>
        <w:rPr>
          <w:szCs w:val="24"/>
          <w:highlight w:val="yellow"/>
        </w:rPr>
      </w:pPr>
      <w:r w:rsidRPr="00C977CB">
        <w:rPr>
          <w:szCs w:val="24"/>
          <w:highlight w:val="yellow"/>
        </w:rPr>
        <w:t xml:space="preserve">Podsakoff, P. M., MacKenzie, S. B., Lee, J.-Y., &amp; Podsakoff, N. P. (2003). Common method biases in behavioral research: A critical review of the literature and recommended remedies. Journal of Applied Psychology, 88(5), 879–903. </w:t>
      </w:r>
      <w:hyperlink r:id="rId21" w:history="1">
        <w:r w:rsidRPr="00C977CB">
          <w:rPr>
            <w:rStyle w:val="Hyperlink"/>
            <w:szCs w:val="24"/>
            <w:highlight w:val="yellow"/>
          </w:rPr>
          <w:t>https://doi.org/10.1037/0021-9010.88.5.879</w:t>
        </w:r>
      </w:hyperlink>
    </w:p>
    <w:p w14:paraId="73941002" w14:textId="77777777" w:rsidR="00C977CB" w:rsidRPr="00C977CB" w:rsidRDefault="00C977CB" w:rsidP="008B57DA">
      <w:pPr>
        <w:spacing w:after="0" w:line="240" w:lineRule="auto"/>
        <w:rPr>
          <w:szCs w:val="24"/>
          <w:highlight w:val="yellow"/>
        </w:rPr>
      </w:pPr>
    </w:p>
    <w:p w14:paraId="1088C680" w14:textId="77777777" w:rsidR="00C977CB" w:rsidRPr="00C977CB" w:rsidRDefault="00C977CB" w:rsidP="008B57DA">
      <w:pPr>
        <w:spacing w:after="0" w:line="240" w:lineRule="auto"/>
        <w:rPr>
          <w:szCs w:val="24"/>
          <w:highlight w:val="yellow"/>
        </w:rPr>
      </w:pPr>
    </w:p>
    <w:p w14:paraId="6000C407" w14:textId="12604F9E" w:rsidR="00C977CB" w:rsidRDefault="00C977CB" w:rsidP="008B57DA">
      <w:pPr>
        <w:spacing w:after="0" w:line="240" w:lineRule="auto"/>
        <w:rPr>
          <w:szCs w:val="24"/>
        </w:rPr>
      </w:pPr>
      <w:r w:rsidRPr="00C977CB">
        <w:rPr>
          <w:szCs w:val="24"/>
          <w:highlight w:val="yellow"/>
        </w:rPr>
        <w:lastRenderedPageBreak/>
        <w:t xml:space="preserve">Podsakoff, P. M., MacKenzie, S. B., &amp; Podsakoff, N. P. (2012). Sources of method bias in social science research and recommendations on how to control it. Annual Review of Psychology, 63, 539–569. </w:t>
      </w:r>
      <w:hyperlink r:id="rId22" w:history="1">
        <w:r w:rsidR="00F93FDA" w:rsidRPr="0023749F">
          <w:rPr>
            <w:rStyle w:val="Hyperlink"/>
            <w:szCs w:val="24"/>
            <w:highlight w:val="yellow"/>
          </w:rPr>
          <w:t>https://doi.org/10.1146/annurev-psych-120710-100452</w:t>
        </w:r>
      </w:hyperlink>
    </w:p>
    <w:p w14:paraId="010437DE" w14:textId="77777777" w:rsidR="00F93FDA" w:rsidRDefault="00F93FDA" w:rsidP="008B57DA">
      <w:pPr>
        <w:spacing w:after="0" w:line="240" w:lineRule="auto"/>
        <w:rPr>
          <w:szCs w:val="24"/>
        </w:rPr>
      </w:pPr>
    </w:p>
    <w:p w14:paraId="54168C93" w14:textId="15B72898" w:rsidR="00F93FDA" w:rsidRDefault="00F93FDA" w:rsidP="008B57DA">
      <w:pPr>
        <w:spacing w:after="0" w:line="240" w:lineRule="auto"/>
        <w:rPr>
          <w:szCs w:val="24"/>
        </w:rPr>
      </w:pPr>
      <w:r w:rsidRPr="00F93FDA">
        <w:rPr>
          <w:szCs w:val="24"/>
          <w:highlight w:val="yellow"/>
        </w:rPr>
        <w:t xml:space="preserve">Hart, S. L. (1995). A natural-resource-based view of the firm. Academy of Management Review, 20(4), 986–1014. </w:t>
      </w:r>
      <w:hyperlink r:id="rId23" w:history="1">
        <w:r w:rsidRPr="0023749F">
          <w:rPr>
            <w:rStyle w:val="Hyperlink"/>
            <w:szCs w:val="24"/>
            <w:highlight w:val="yellow"/>
          </w:rPr>
          <w:t>https://doi.org/10.2307/258963</w:t>
        </w:r>
      </w:hyperlink>
    </w:p>
    <w:p w14:paraId="77E015C1" w14:textId="77777777" w:rsidR="00F93FDA" w:rsidRDefault="00F93FDA" w:rsidP="008B57DA">
      <w:pPr>
        <w:spacing w:after="0" w:line="240" w:lineRule="auto"/>
        <w:rPr>
          <w:szCs w:val="24"/>
        </w:rPr>
      </w:pPr>
    </w:p>
    <w:p w14:paraId="12B9F152" w14:textId="68FC6EE1" w:rsidR="00F93FDA" w:rsidRDefault="00F93FDA" w:rsidP="008B57DA">
      <w:pPr>
        <w:spacing w:after="0" w:line="240" w:lineRule="auto"/>
        <w:rPr>
          <w:szCs w:val="24"/>
        </w:rPr>
      </w:pPr>
      <w:r w:rsidRPr="00F93FDA">
        <w:rPr>
          <w:szCs w:val="24"/>
          <w:highlight w:val="yellow"/>
        </w:rPr>
        <w:t xml:space="preserve">Teece, D. J. (2007). Explicating dynamic capabilities: The nature and </w:t>
      </w:r>
      <w:proofErr w:type="spellStart"/>
      <w:r w:rsidRPr="00F93FDA">
        <w:rPr>
          <w:szCs w:val="24"/>
          <w:highlight w:val="yellow"/>
        </w:rPr>
        <w:t>microfoundations</w:t>
      </w:r>
      <w:proofErr w:type="spellEnd"/>
      <w:r w:rsidRPr="00F93FDA">
        <w:rPr>
          <w:szCs w:val="24"/>
          <w:highlight w:val="yellow"/>
        </w:rPr>
        <w:t xml:space="preserve"> of (sustainable) enterprise performance. Strategic Management Journal, 28(13), 1319–1350. </w:t>
      </w:r>
      <w:hyperlink r:id="rId24" w:history="1">
        <w:r w:rsidR="001F5A57" w:rsidRPr="0023749F">
          <w:rPr>
            <w:rStyle w:val="Hyperlink"/>
            <w:szCs w:val="24"/>
            <w:highlight w:val="yellow"/>
          </w:rPr>
          <w:t>https://doi.org/10.1002/smj.640</w:t>
        </w:r>
      </w:hyperlink>
    </w:p>
    <w:p w14:paraId="38B14C0E" w14:textId="77777777" w:rsidR="001F5A57" w:rsidRDefault="001F5A57" w:rsidP="008B57DA">
      <w:pPr>
        <w:spacing w:after="0" w:line="240" w:lineRule="auto"/>
        <w:rPr>
          <w:szCs w:val="24"/>
        </w:rPr>
      </w:pPr>
    </w:p>
    <w:p w14:paraId="7B6CE7ED" w14:textId="1C0A60FE" w:rsidR="001F5A57" w:rsidRDefault="001F5A57" w:rsidP="008B57DA">
      <w:pPr>
        <w:spacing w:after="0" w:line="240" w:lineRule="auto"/>
        <w:rPr>
          <w:szCs w:val="24"/>
        </w:rPr>
      </w:pPr>
      <w:r w:rsidRPr="001F5A57">
        <w:rPr>
          <w:rFonts w:ascii="Segoe UI" w:eastAsia="Times New Roman" w:hAnsi="Segoe UI" w:cs="Segoe UI"/>
          <w:color w:val="000000" w:themeColor="text1"/>
          <w:sz w:val="21"/>
          <w:szCs w:val="21"/>
          <w:lang w:val="en-IN" w:eastAsia="en-GB"/>
        </w:rPr>
        <w:t>Jiang, Y., Feng, T., &amp; Huang, Y. (2024). Antecedent configurations toward supply chain resilience: The joint impact of supply chain integration and big data analytics capability. </w:t>
      </w:r>
      <w:r w:rsidRPr="001F5A57">
        <w:rPr>
          <w:rFonts w:ascii="Segoe UI" w:eastAsia="Times New Roman" w:hAnsi="Segoe UI" w:cs="Segoe UI"/>
          <w:i/>
          <w:iCs/>
          <w:color w:val="000000" w:themeColor="text1"/>
          <w:sz w:val="21"/>
          <w:szCs w:val="21"/>
          <w:lang w:val="en-IN" w:eastAsia="en-GB"/>
        </w:rPr>
        <w:t>Journal of Operations Management, 70</w:t>
      </w:r>
      <w:r w:rsidRPr="001F5A57">
        <w:rPr>
          <w:rFonts w:ascii="Segoe UI" w:eastAsia="Times New Roman" w:hAnsi="Segoe UI" w:cs="Segoe UI"/>
          <w:color w:val="000000" w:themeColor="text1"/>
          <w:sz w:val="21"/>
          <w:szCs w:val="21"/>
          <w:lang w:val="en-IN" w:eastAsia="en-GB"/>
        </w:rPr>
        <w:t>(2), 257–284.</w:t>
      </w:r>
    </w:p>
    <w:p w14:paraId="46DE722E" w14:textId="77777777" w:rsidR="001F5A57" w:rsidRDefault="001F5A57" w:rsidP="008B57DA">
      <w:pPr>
        <w:spacing w:after="0" w:line="240" w:lineRule="auto"/>
        <w:rPr>
          <w:szCs w:val="24"/>
        </w:rPr>
      </w:pPr>
    </w:p>
    <w:p w14:paraId="52ADAE23"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Xi, M., Fang, W., Feng, T., &amp; Liu, Y. (2023). Configuring green intellectual capital to achieve ambidextrous environmental strategy: Based on resource orchestration theory. </w:t>
      </w:r>
      <w:r w:rsidRPr="001F5A57">
        <w:rPr>
          <w:rFonts w:ascii="Segoe UI" w:eastAsia="Times New Roman" w:hAnsi="Segoe UI" w:cs="Segoe UI"/>
          <w:i/>
          <w:iCs/>
          <w:color w:val="000000" w:themeColor="text1"/>
          <w:sz w:val="21"/>
          <w:szCs w:val="21"/>
          <w:lang w:val="en-IN" w:eastAsia="en-GB"/>
        </w:rPr>
        <w:t>Journal of Intellectual Capital, 24</w:t>
      </w:r>
      <w:r w:rsidRPr="001F5A57">
        <w:rPr>
          <w:rFonts w:ascii="Segoe UI" w:eastAsia="Times New Roman" w:hAnsi="Segoe UI" w:cs="Segoe UI"/>
          <w:color w:val="000000" w:themeColor="text1"/>
          <w:sz w:val="21"/>
          <w:szCs w:val="21"/>
          <w:lang w:val="en-IN" w:eastAsia="en-GB"/>
        </w:rPr>
        <w:t>(5), 1184–1205.</w:t>
      </w:r>
    </w:p>
    <w:p w14:paraId="4622652E"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Zhang, Q., Yang, L., Cheng, J., &amp; Feng, T. (2024). How green human resource management and institutional pressure drive performance via green image: The equifinal paths and their performance outcomes. </w:t>
      </w:r>
      <w:r w:rsidRPr="001F5A57">
        <w:rPr>
          <w:rFonts w:ascii="Segoe UI" w:eastAsia="Times New Roman" w:hAnsi="Segoe UI" w:cs="Segoe UI"/>
          <w:i/>
          <w:iCs/>
          <w:color w:val="000000" w:themeColor="text1"/>
          <w:sz w:val="21"/>
          <w:szCs w:val="21"/>
          <w:lang w:val="en-IN" w:eastAsia="en-GB"/>
        </w:rPr>
        <w:t>Asia Pacific Journal of Human Resources, 62</w:t>
      </w:r>
      <w:r w:rsidRPr="001F5A57">
        <w:rPr>
          <w:rFonts w:ascii="Segoe UI" w:eastAsia="Times New Roman" w:hAnsi="Segoe UI" w:cs="Segoe UI"/>
          <w:color w:val="000000" w:themeColor="text1"/>
          <w:sz w:val="21"/>
          <w:szCs w:val="21"/>
          <w:lang w:val="en-IN" w:eastAsia="en-GB"/>
        </w:rPr>
        <w:t>(1), e12389.</w:t>
      </w:r>
    </w:p>
    <w:p w14:paraId="008C8053"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7BEAE62F"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Zhang, Q., Yang, R., &amp; Feng, T. (2026). Unveiling the equifinal configurations driving business model design ambidexterity: Based on TOE framework. </w:t>
      </w:r>
      <w:r w:rsidRPr="001F5A57">
        <w:rPr>
          <w:rFonts w:ascii="Segoe UI" w:eastAsia="Times New Roman" w:hAnsi="Segoe UI" w:cs="Segoe UI"/>
          <w:i/>
          <w:iCs/>
          <w:color w:val="000000" w:themeColor="text1"/>
          <w:sz w:val="21"/>
          <w:szCs w:val="21"/>
          <w:lang w:val="en-IN" w:eastAsia="en-GB"/>
        </w:rPr>
        <w:t>Journal of Business &amp; Industrial Marketing, 41</w:t>
      </w:r>
      <w:r w:rsidRPr="001F5A57">
        <w:rPr>
          <w:rFonts w:ascii="Segoe UI" w:eastAsia="Times New Roman" w:hAnsi="Segoe UI" w:cs="Segoe UI"/>
          <w:color w:val="000000" w:themeColor="text1"/>
          <w:sz w:val="21"/>
          <w:szCs w:val="21"/>
          <w:lang w:val="en-IN" w:eastAsia="en-GB"/>
        </w:rPr>
        <w:t>(7), 975–994.</w:t>
      </w:r>
    </w:p>
    <w:p w14:paraId="5AE21BDF" w14:textId="77777777" w:rsidR="00E81884" w:rsidRDefault="00E81884" w:rsidP="001F5A57">
      <w:pPr>
        <w:spacing w:before="180" w:after="180" w:line="240" w:lineRule="auto"/>
        <w:rPr>
          <w:rFonts w:ascii="Segoe UI" w:eastAsia="Times New Roman" w:hAnsi="Segoe UI" w:cs="Segoe UI"/>
          <w:color w:val="000000" w:themeColor="text1"/>
          <w:sz w:val="21"/>
          <w:szCs w:val="21"/>
          <w:lang w:val="en-IN" w:eastAsia="en-GB"/>
        </w:rPr>
      </w:pPr>
    </w:p>
    <w:p w14:paraId="49730DE2" w14:textId="37BA6426" w:rsidR="00E81884" w:rsidRPr="001F5A57" w:rsidRDefault="00E81884" w:rsidP="001F5A57">
      <w:pPr>
        <w:spacing w:before="180" w:after="180" w:line="240" w:lineRule="auto"/>
        <w:rPr>
          <w:rFonts w:ascii="Segoe UI" w:eastAsia="Times New Roman" w:hAnsi="Segoe UI" w:cs="Segoe UI"/>
          <w:color w:val="000000" w:themeColor="text1"/>
          <w:sz w:val="21"/>
          <w:szCs w:val="21"/>
          <w:lang w:val="en-IN" w:eastAsia="en-GB"/>
        </w:rPr>
      </w:pPr>
      <w:r w:rsidRPr="00E81884">
        <w:rPr>
          <w:rFonts w:ascii="Segoe UI" w:eastAsia="Times New Roman" w:hAnsi="Segoe UI" w:cs="Segoe UI"/>
          <w:color w:val="000000" w:themeColor="text1"/>
          <w:sz w:val="21"/>
          <w:szCs w:val="21"/>
          <w:lang w:val="en-IN" w:eastAsia="en-GB"/>
        </w:rPr>
        <w:t>Marquis, C., &amp; Qian, C. (2014). Corporate social responsibility reporting in China: Symbol or substance? Organization Science, 25(1), 127–148. https://doi.org/10.1287/orsc.2013.0837</w:t>
      </w:r>
    </w:p>
    <w:p w14:paraId="4F2AE898" w14:textId="58F92C60" w:rsidR="009C739F" w:rsidRDefault="009C739F" w:rsidP="009C739F">
      <w:pPr>
        <w:rPr>
          <w:rFonts w:ascii="Segoe UI" w:eastAsia="Times New Roman" w:hAnsi="Segoe UI" w:cs="Segoe UI"/>
          <w:color w:val="000000" w:themeColor="text1"/>
          <w:sz w:val="21"/>
          <w:szCs w:val="21"/>
          <w:lang w:val="en-IN" w:eastAsia="en-GB"/>
        </w:rPr>
      </w:pPr>
      <w:r w:rsidRPr="009C739F">
        <w:rPr>
          <w:rFonts w:ascii="Segoe UI" w:eastAsia="Times New Roman" w:hAnsi="Segoe UI" w:cs="Segoe UI"/>
          <w:color w:val="000000" w:themeColor="text1"/>
          <w:sz w:val="21"/>
          <w:szCs w:val="21"/>
          <w:lang w:val="en-IN" w:eastAsia="en-GB"/>
        </w:rPr>
        <w:t xml:space="preserve">Henseler, J., Ringle, C. M., &amp; Sarstedt, M. (2016). Testing measurement invariance of composites using partial least squares. International Marketing Review, 33(3), 405–431. </w:t>
      </w:r>
      <w:hyperlink r:id="rId25" w:history="1">
        <w:r w:rsidR="00312EC0" w:rsidRPr="0023749F">
          <w:rPr>
            <w:rStyle w:val="Hyperlink"/>
            <w:rFonts w:ascii="Segoe UI" w:eastAsia="Times New Roman" w:hAnsi="Segoe UI" w:cs="Segoe UI"/>
            <w:sz w:val="21"/>
            <w:szCs w:val="21"/>
            <w:lang w:val="en-IN" w:eastAsia="en-GB"/>
          </w:rPr>
          <w:t>https://doi.org/10.1108/IMR-09-2014-0304</w:t>
        </w:r>
      </w:hyperlink>
    </w:p>
    <w:p w14:paraId="246FC431" w14:textId="77777777" w:rsidR="00312EC0" w:rsidRDefault="00312EC0" w:rsidP="009C739F">
      <w:pPr>
        <w:rPr>
          <w:rFonts w:ascii="Segoe UI" w:eastAsia="Times New Roman" w:hAnsi="Segoe UI" w:cs="Segoe UI"/>
          <w:color w:val="000000" w:themeColor="text1"/>
          <w:sz w:val="21"/>
          <w:szCs w:val="21"/>
          <w:lang w:val="en-IN" w:eastAsia="en-GB"/>
        </w:rPr>
      </w:pPr>
    </w:p>
    <w:p w14:paraId="59B6A09D" w14:textId="77777777" w:rsidR="00312EC0" w:rsidRPr="00312EC0" w:rsidRDefault="00312EC0" w:rsidP="00312EC0">
      <w:pPr>
        <w:rPr>
          <w:rFonts w:ascii="Segoe UI" w:eastAsia="Times New Roman" w:hAnsi="Segoe UI" w:cs="Segoe UI"/>
          <w:color w:val="000000" w:themeColor="text1"/>
          <w:sz w:val="21"/>
          <w:szCs w:val="21"/>
          <w:lang w:val="en-IN" w:eastAsia="en-GB"/>
        </w:rPr>
      </w:pPr>
      <w:r w:rsidRPr="00312EC0">
        <w:rPr>
          <w:rFonts w:ascii="Segoe UI" w:eastAsia="Times New Roman" w:hAnsi="Segoe UI" w:cs="Segoe UI"/>
          <w:color w:val="000000" w:themeColor="text1"/>
          <w:sz w:val="21"/>
          <w:szCs w:val="21"/>
          <w:lang w:val="en-IN" w:eastAsia="en-GB"/>
        </w:rPr>
        <w:t>Jarvis, C. B., MacKenzie, S. B., &amp; Podsakoff, P. M. (2003). A critical review of construct indicators and measurement model misspecification in marketing and consumer research. Journal of Consumer Research, 30(2), 199–218. https://doi.org/10.1086/376806</w:t>
      </w:r>
    </w:p>
    <w:p w14:paraId="4E3C9960" w14:textId="77777777" w:rsidR="00312EC0" w:rsidRPr="00312EC0" w:rsidRDefault="00312EC0" w:rsidP="00312EC0">
      <w:pPr>
        <w:rPr>
          <w:rFonts w:ascii="Segoe UI" w:eastAsia="Times New Roman" w:hAnsi="Segoe UI" w:cs="Segoe UI"/>
          <w:color w:val="000000" w:themeColor="text1"/>
          <w:sz w:val="21"/>
          <w:szCs w:val="21"/>
          <w:lang w:val="en-IN" w:eastAsia="en-GB"/>
        </w:rPr>
      </w:pPr>
    </w:p>
    <w:p w14:paraId="39966B58" w14:textId="05D4D8C3" w:rsidR="00312EC0" w:rsidRPr="009C739F" w:rsidRDefault="00312EC0" w:rsidP="00312EC0">
      <w:pPr>
        <w:rPr>
          <w:rFonts w:ascii="Segoe UI" w:eastAsia="Times New Roman" w:hAnsi="Segoe UI" w:cs="Segoe UI"/>
          <w:color w:val="000000" w:themeColor="text1"/>
          <w:sz w:val="21"/>
          <w:szCs w:val="21"/>
          <w:lang w:val="en-IN" w:eastAsia="en-GB"/>
        </w:rPr>
      </w:pPr>
      <w:r w:rsidRPr="00312EC0">
        <w:rPr>
          <w:rFonts w:ascii="Segoe UI" w:eastAsia="Times New Roman" w:hAnsi="Segoe UI" w:cs="Segoe UI"/>
          <w:color w:val="000000" w:themeColor="text1"/>
          <w:sz w:val="21"/>
          <w:szCs w:val="21"/>
          <w:lang w:val="en-IN" w:eastAsia="en-GB"/>
        </w:rPr>
        <w:lastRenderedPageBreak/>
        <w:t xml:space="preserve">MacKenzie, S. B., Podsakoff, P. M., &amp; Podsakoff, N. P. (2011). Construct measurement and validation procedures in MIS and </w:t>
      </w:r>
      <w:proofErr w:type="spellStart"/>
      <w:r w:rsidRPr="00312EC0">
        <w:rPr>
          <w:rFonts w:ascii="Segoe UI" w:eastAsia="Times New Roman" w:hAnsi="Segoe UI" w:cs="Segoe UI"/>
          <w:color w:val="000000" w:themeColor="text1"/>
          <w:sz w:val="21"/>
          <w:szCs w:val="21"/>
          <w:lang w:val="en-IN" w:eastAsia="en-GB"/>
        </w:rPr>
        <w:t>behavioral</w:t>
      </w:r>
      <w:proofErr w:type="spellEnd"/>
      <w:r w:rsidRPr="00312EC0">
        <w:rPr>
          <w:rFonts w:ascii="Segoe UI" w:eastAsia="Times New Roman" w:hAnsi="Segoe UI" w:cs="Segoe UI"/>
          <w:color w:val="000000" w:themeColor="text1"/>
          <w:sz w:val="21"/>
          <w:szCs w:val="21"/>
          <w:lang w:val="en-IN" w:eastAsia="en-GB"/>
        </w:rPr>
        <w:t xml:space="preserve"> research. MIS Quarterly, 35(2), 293–334. https://doi.org/10.2307/23044045</w:t>
      </w:r>
    </w:p>
    <w:p w14:paraId="55048349"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143A5A7A" w14:textId="47E41D13"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r w:rsidRPr="0013484C">
        <w:rPr>
          <w:rFonts w:ascii="Segoe UI" w:eastAsia="Times New Roman" w:hAnsi="Segoe UI" w:cs="Segoe UI"/>
          <w:color w:val="000000" w:themeColor="text1"/>
          <w:sz w:val="21"/>
          <w:szCs w:val="21"/>
          <w:lang w:val="en-IN" w:eastAsia="en-GB"/>
        </w:rPr>
        <w:t xml:space="preserve">Ayre, C., &amp; Scally, A. J. (2014). Critical values for Lawshe's content validity ratio: Revisiting the original methods of calculation. Measurement and Evaluation in </w:t>
      </w:r>
      <w:proofErr w:type="spellStart"/>
      <w:r w:rsidRPr="0013484C">
        <w:rPr>
          <w:rFonts w:ascii="Segoe UI" w:eastAsia="Times New Roman" w:hAnsi="Segoe UI" w:cs="Segoe UI"/>
          <w:color w:val="000000" w:themeColor="text1"/>
          <w:sz w:val="21"/>
          <w:szCs w:val="21"/>
          <w:lang w:val="en-IN" w:eastAsia="en-GB"/>
        </w:rPr>
        <w:t>Counseling</w:t>
      </w:r>
      <w:proofErr w:type="spellEnd"/>
      <w:r w:rsidRPr="0013484C">
        <w:rPr>
          <w:rFonts w:ascii="Segoe UI" w:eastAsia="Times New Roman" w:hAnsi="Segoe UI" w:cs="Segoe UI"/>
          <w:color w:val="000000" w:themeColor="text1"/>
          <w:sz w:val="21"/>
          <w:szCs w:val="21"/>
          <w:lang w:val="en-IN" w:eastAsia="en-GB"/>
        </w:rPr>
        <w:t xml:space="preserve"> and Development, 47(1), 79–86.</w:t>
      </w:r>
    </w:p>
    <w:p w14:paraId="325C37CE" w14:textId="77777777"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
    <w:p w14:paraId="1C21CAA3" w14:textId="75E15E0C"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roofErr w:type="spellStart"/>
      <w:r w:rsidRPr="0013484C">
        <w:rPr>
          <w:rFonts w:ascii="Segoe UI" w:eastAsia="Times New Roman" w:hAnsi="Segoe UI" w:cs="Segoe UI"/>
          <w:color w:val="000000" w:themeColor="text1"/>
          <w:sz w:val="21"/>
          <w:szCs w:val="21"/>
          <w:lang w:val="en-IN" w:eastAsia="en-GB"/>
        </w:rPr>
        <w:t>arvis</w:t>
      </w:r>
      <w:proofErr w:type="spellEnd"/>
      <w:r w:rsidRPr="0013484C">
        <w:rPr>
          <w:rFonts w:ascii="Segoe UI" w:eastAsia="Times New Roman" w:hAnsi="Segoe UI" w:cs="Segoe UI"/>
          <w:color w:val="000000" w:themeColor="text1"/>
          <w:sz w:val="21"/>
          <w:szCs w:val="21"/>
          <w:lang w:val="en-IN" w:eastAsia="en-GB"/>
        </w:rPr>
        <w:t>, C. B., MacKenzie, S. B., &amp; Podsakoff, P. M. (2003). A critical review of construct indicators and measurement model misspecification in marketing and consumer research. Journal of Consumer Research, 30(2), 199–218.</w:t>
      </w:r>
    </w:p>
    <w:p w14:paraId="5EC13F08" w14:textId="77777777"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
    <w:p w14:paraId="1B52A59B" w14:textId="41C0BEE4"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r w:rsidRPr="0013484C">
        <w:rPr>
          <w:rFonts w:ascii="Segoe UI" w:eastAsia="Times New Roman" w:hAnsi="Segoe UI" w:cs="Segoe UI"/>
          <w:color w:val="000000" w:themeColor="text1"/>
          <w:sz w:val="21"/>
          <w:szCs w:val="21"/>
          <w:lang w:val="en-IN" w:eastAsia="en-GB"/>
        </w:rPr>
        <w:t>Lawshe, C. H. (1975). A quantitative approach to content validity. Personnel Psychology, 28(4), 563–575.</w:t>
      </w:r>
    </w:p>
    <w:p w14:paraId="390C9E81" w14:textId="77777777"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
    <w:p w14:paraId="3646BC96" w14:textId="16431D2A"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r w:rsidRPr="0013484C">
        <w:rPr>
          <w:rFonts w:ascii="Segoe UI" w:eastAsia="Times New Roman" w:hAnsi="Segoe UI" w:cs="Segoe UI"/>
          <w:color w:val="000000" w:themeColor="text1"/>
          <w:sz w:val="21"/>
          <w:szCs w:val="21"/>
          <w:lang w:val="en-IN" w:eastAsia="en-GB"/>
        </w:rPr>
        <w:t xml:space="preserve">MacKenzie, S. B., Podsakoff, P. M., &amp; Podsakoff, N. P. (2011). Construct measurement and validation procedures in MIS and </w:t>
      </w:r>
      <w:proofErr w:type="spellStart"/>
      <w:r w:rsidRPr="0013484C">
        <w:rPr>
          <w:rFonts w:ascii="Segoe UI" w:eastAsia="Times New Roman" w:hAnsi="Segoe UI" w:cs="Segoe UI"/>
          <w:color w:val="000000" w:themeColor="text1"/>
          <w:sz w:val="21"/>
          <w:szCs w:val="21"/>
          <w:lang w:val="en-IN" w:eastAsia="en-GB"/>
        </w:rPr>
        <w:t>behavioral</w:t>
      </w:r>
      <w:proofErr w:type="spellEnd"/>
      <w:r w:rsidRPr="0013484C">
        <w:rPr>
          <w:rFonts w:ascii="Segoe UI" w:eastAsia="Times New Roman" w:hAnsi="Segoe UI" w:cs="Segoe UI"/>
          <w:color w:val="000000" w:themeColor="text1"/>
          <w:sz w:val="21"/>
          <w:szCs w:val="21"/>
          <w:lang w:val="en-IN" w:eastAsia="en-GB"/>
        </w:rPr>
        <w:t xml:space="preserve"> research. MIS Quarterly, 35(2), 293–334.</w:t>
      </w:r>
    </w:p>
    <w:p w14:paraId="77D5920C" w14:textId="77777777"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
    <w:p w14:paraId="530AA6A5" w14:textId="11F8D69F"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r w:rsidRPr="0013484C">
        <w:rPr>
          <w:rFonts w:ascii="Segoe UI" w:eastAsia="Times New Roman" w:hAnsi="Segoe UI" w:cs="Segoe UI"/>
          <w:color w:val="000000" w:themeColor="text1"/>
          <w:sz w:val="21"/>
          <w:szCs w:val="21"/>
          <w:lang w:val="en-IN" w:eastAsia="en-GB"/>
        </w:rPr>
        <w:t>Polit, D. F., &amp; Beck, C. T. (2006). The content validity index: Are you sure you know what's being reported? Critique and recommendations. Research in Nursing &amp; Health, 29(5), 489–497.</w:t>
      </w:r>
    </w:p>
    <w:p w14:paraId="6292EAEA" w14:textId="77777777" w:rsidR="002B7312" w:rsidRDefault="002B7312" w:rsidP="001F5A57">
      <w:pPr>
        <w:spacing w:before="180" w:after="180" w:line="240" w:lineRule="auto"/>
        <w:rPr>
          <w:rFonts w:ascii="Segoe UI" w:eastAsia="Times New Roman" w:hAnsi="Segoe UI" w:cs="Segoe UI"/>
          <w:color w:val="000000" w:themeColor="text1"/>
          <w:sz w:val="21"/>
          <w:szCs w:val="21"/>
          <w:lang w:val="en-IN" w:eastAsia="en-GB"/>
        </w:rPr>
      </w:pPr>
    </w:p>
    <w:p w14:paraId="218D5198" w14:textId="77777777" w:rsidR="002B7312" w:rsidRPr="002B7312" w:rsidRDefault="002B7312" w:rsidP="002B7312">
      <w:pPr>
        <w:spacing w:before="180" w:after="180" w:line="240" w:lineRule="auto"/>
        <w:rPr>
          <w:rFonts w:ascii="Segoe UI" w:eastAsia="Times New Roman" w:hAnsi="Segoe UI" w:cs="Segoe UI"/>
          <w:color w:val="000000" w:themeColor="text1"/>
          <w:sz w:val="21"/>
          <w:szCs w:val="21"/>
          <w:lang w:val="en-IN" w:eastAsia="en-GB"/>
        </w:rPr>
      </w:pPr>
      <w:r w:rsidRPr="002B7312">
        <w:rPr>
          <w:rFonts w:ascii="Segoe UI" w:eastAsia="Times New Roman" w:hAnsi="Segoe UI" w:cs="Segoe UI"/>
          <w:color w:val="000000" w:themeColor="text1"/>
          <w:sz w:val="21"/>
          <w:szCs w:val="21"/>
          <w:lang w:val="en-IN" w:eastAsia="en-GB"/>
        </w:rPr>
        <w:t>Cohen, W. M., &amp; Levinthal, D. A. (1990). Absorptive capacity: A new perspective on learning and innovation. Administrative Science Quarterly, 35(1), 128-152.</w:t>
      </w:r>
    </w:p>
    <w:p w14:paraId="45800165" w14:textId="77777777" w:rsidR="002B7312" w:rsidRPr="002B7312" w:rsidRDefault="002B7312" w:rsidP="002B7312">
      <w:pPr>
        <w:spacing w:before="180" w:after="180" w:line="240" w:lineRule="auto"/>
        <w:rPr>
          <w:rFonts w:ascii="Segoe UI" w:eastAsia="Times New Roman" w:hAnsi="Segoe UI" w:cs="Segoe UI"/>
          <w:color w:val="000000" w:themeColor="text1"/>
          <w:sz w:val="21"/>
          <w:szCs w:val="21"/>
          <w:lang w:val="en-IN" w:eastAsia="en-GB"/>
        </w:rPr>
      </w:pPr>
    </w:p>
    <w:p w14:paraId="0AF42C6E" w14:textId="5AC25CFA" w:rsidR="002B7312" w:rsidRPr="001F5A57" w:rsidRDefault="002B7312" w:rsidP="002B7312">
      <w:pPr>
        <w:spacing w:before="180" w:after="180" w:line="240" w:lineRule="auto"/>
        <w:rPr>
          <w:rFonts w:ascii="Segoe UI" w:eastAsia="Times New Roman" w:hAnsi="Segoe UI" w:cs="Segoe UI"/>
          <w:color w:val="000000" w:themeColor="text1"/>
          <w:sz w:val="21"/>
          <w:szCs w:val="21"/>
          <w:lang w:val="en-IN" w:eastAsia="en-GB"/>
        </w:rPr>
      </w:pPr>
      <w:r w:rsidRPr="002B7312">
        <w:rPr>
          <w:rFonts w:ascii="Segoe UI" w:eastAsia="Times New Roman" w:hAnsi="Segoe UI" w:cs="Segoe UI"/>
          <w:color w:val="000000" w:themeColor="text1"/>
          <w:sz w:val="21"/>
          <w:szCs w:val="21"/>
          <w:lang w:val="en-IN" w:eastAsia="en-GB"/>
        </w:rPr>
        <w:t>DiMaggio, P. J., &amp; Powell, W. W. (1983). The iron cage revisited: Institutional isomorphism and collective rationality in organizational fields. American Sociological Review, 48(2), 147-160.</w:t>
      </w:r>
    </w:p>
    <w:p w14:paraId="5AA84E3C" w14:textId="77777777" w:rsidR="001F5A57" w:rsidRP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7AA7EEF5" w14:textId="77777777" w:rsidR="001F5A57" w:rsidRPr="00205C71" w:rsidRDefault="001F5A57" w:rsidP="008B57DA">
      <w:pPr>
        <w:spacing w:after="0" w:line="240" w:lineRule="auto"/>
        <w:rPr>
          <w:szCs w:val="24"/>
        </w:rPr>
      </w:pPr>
    </w:p>
    <w:sectPr w:rsidR="001F5A57"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22DDC"/>
    <w:rsid w:val="00023B2D"/>
    <w:rsid w:val="00034616"/>
    <w:rsid w:val="0006063C"/>
    <w:rsid w:val="000638D0"/>
    <w:rsid w:val="00080F4E"/>
    <w:rsid w:val="000841FA"/>
    <w:rsid w:val="000B262A"/>
    <w:rsid w:val="000E0E19"/>
    <w:rsid w:val="000E0E30"/>
    <w:rsid w:val="000E15DC"/>
    <w:rsid w:val="001039ED"/>
    <w:rsid w:val="001054BF"/>
    <w:rsid w:val="00121E7A"/>
    <w:rsid w:val="0012296F"/>
    <w:rsid w:val="0013484C"/>
    <w:rsid w:val="00147B7F"/>
    <w:rsid w:val="0015074B"/>
    <w:rsid w:val="00151E0F"/>
    <w:rsid w:val="00154BE9"/>
    <w:rsid w:val="00157F2C"/>
    <w:rsid w:val="00161991"/>
    <w:rsid w:val="001633D4"/>
    <w:rsid w:val="00184EAD"/>
    <w:rsid w:val="00196B16"/>
    <w:rsid w:val="001A160D"/>
    <w:rsid w:val="001B1844"/>
    <w:rsid w:val="001E2F0E"/>
    <w:rsid w:val="001F5A57"/>
    <w:rsid w:val="00205C71"/>
    <w:rsid w:val="00214A46"/>
    <w:rsid w:val="00223935"/>
    <w:rsid w:val="00225EFB"/>
    <w:rsid w:val="00236227"/>
    <w:rsid w:val="00236944"/>
    <w:rsid w:val="002442B7"/>
    <w:rsid w:val="00247EBB"/>
    <w:rsid w:val="00250418"/>
    <w:rsid w:val="00270F3F"/>
    <w:rsid w:val="002838C4"/>
    <w:rsid w:val="0029639D"/>
    <w:rsid w:val="002A7908"/>
    <w:rsid w:val="002B5BE5"/>
    <w:rsid w:val="002B7312"/>
    <w:rsid w:val="00312EC0"/>
    <w:rsid w:val="00316A91"/>
    <w:rsid w:val="00326821"/>
    <w:rsid w:val="00326961"/>
    <w:rsid w:val="00326F90"/>
    <w:rsid w:val="00350860"/>
    <w:rsid w:val="003B1B79"/>
    <w:rsid w:val="003D69AB"/>
    <w:rsid w:val="003F1721"/>
    <w:rsid w:val="003F1F45"/>
    <w:rsid w:val="004139A3"/>
    <w:rsid w:val="004451D7"/>
    <w:rsid w:val="0045180C"/>
    <w:rsid w:val="00462766"/>
    <w:rsid w:val="00471CAC"/>
    <w:rsid w:val="004832B8"/>
    <w:rsid w:val="00490516"/>
    <w:rsid w:val="004B5364"/>
    <w:rsid w:val="004D50F4"/>
    <w:rsid w:val="004E2AAB"/>
    <w:rsid w:val="00523133"/>
    <w:rsid w:val="00562A73"/>
    <w:rsid w:val="00573A3A"/>
    <w:rsid w:val="0058052A"/>
    <w:rsid w:val="00587EEB"/>
    <w:rsid w:val="005D59B0"/>
    <w:rsid w:val="005E5580"/>
    <w:rsid w:val="005E5F35"/>
    <w:rsid w:val="005E7BF7"/>
    <w:rsid w:val="005F13F0"/>
    <w:rsid w:val="005F2D05"/>
    <w:rsid w:val="006306B7"/>
    <w:rsid w:val="00637AFA"/>
    <w:rsid w:val="00684D47"/>
    <w:rsid w:val="0068772B"/>
    <w:rsid w:val="006C2A03"/>
    <w:rsid w:val="006C52E0"/>
    <w:rsid w:val="006D0749"/>
    <w:rsid w:val="006D30FA"/>
    <w:rsid w:val="006E13B5"/>
    <w:rsid w:val="00710386"/>
    <w:rsid w:val="00733F7D"/>
    <w:rsid w:val="0076128A"/>
    <w:rsid w:val="00761DDF"/>
    <w:rsid w:val="007652ED"/>
    <w:rsid w:val="007704FA"/>
    <w:rsid w:val="00772997"/>
    <w:rsid w:val="00785283"/>
    <w:rsid w:val="007A7B0E"/>
    <w:rsid w:val="007E7FD2"/>
    <w:rsid w:val="0081621C"/>
    <w:rsid w:val="008208B2"/>
    <w:rsid w:val="00842AB8"/>
    <w:rsid w:val="00853369"/>
    <w:rsid w:val="008B57DA"/>
    <w:rsid w:val="008E3AE0"/>
    <w:rsid w:val="008F5F7A"/>
    <w:rsid w:val="0091714E"/>
    <w:rsid w:val="0092232F"/>
    <w:rsid w:val="00942DF3"/>
    <w:rsid w:val="00954FB6"/>
    <w:rsid w:val="00966C31"/>
    <w:rsid w:val="009873CC"/>
    <w:rsid w:val="00990F18"/>
    <w:rsid w:val="009A7A75"/>
    <w:rsid w:val="009C18EE"/>
    <w:rsid w:val="009C6C15"/>
    <w:rsid w:val="009C739F"/>
    <w:rsid w:val="009D3109"/>
    <w:rsid w:val="009E4E65"/>
    <w:rsid w:val="00A03204"/>
    <w:rsid w:val="00A17973"/>
    <w:rsid w:val="00A6652D"/>
    <w:rsid w:val="00A82EEC"/>
    <w:rsid w:val="00A86C53"/>
    <w:rsid w:val="00A94E9E"/>
    <w:rsid w:val="00AA1D8D"/>
    <w:rsid w:val="00AE7020"/>
    <w:rsid w:val="00B33318"/>
    <w:rsid w:val="00B36CE8"/>
    <w:rsid w:val="00B40E7A"/>
    <w:rsid w:val="00B42E34"/>
    <w:rsid w:val="00B47730"/>
    <w:rsid w:val="00B82215"/>
    <w:rsid w:val="00B94496"/>
    <w:rsid w:val="00B948CD"/>
    <w:rsid w:val="00BB1E3D"/>
    <w:rsid w:val="00BB302F"/>
    <w:rsid w:val="00BC6851"/>
    <w:rsid w:val="00BD2F70"/>
    <w:rsid w:val="00BD41AE"/>
    <w:rsid w:val="00BD735A"/>
    <w:rsid w:val="00BE3611"/>
    <w:rsid w:val="00BF3942"/>
    <w:rsid w:val="00C01D6A"/>
    <w:rsid w:val="00C17236"/>
    <w:rsid w:val="00C25BF1"/>
    <w:rsid w:val="00C528B7"/>
    <w:rsid w:val="00C63E14"/>
    <w:rsid w:val="00C6401F"/>
    <w:rsid w:val="00C732DC"/>
    <w:rsid w:val="00C84A1F"/>
    <w:rsid w:val="00C977CB"/>
    <w:rsid w:val="00CB0664"/>
    <w:rsid w:val="00CC3B73"/>
    <w:rsid w:val="00CD01A4"/>
    <w:rsid w:val="00CD0F28"/>
    <w:rsid w:val="00D2484A"/>
    <w:rsid w:val="00D262DC"/>
    <w:rsid w:val="00D40977"/>
    <w:rsid w:val="00D538C7"/>
    <w:rsid w:val="00D54F28"/>
    <w:rsid w:val="00D741A5"/>
    <w:rsid w:val="00D90693"/>
    <w:rsid w:val="00DA332E"/>
    <w:rsid w:val="00DB552A"/>
    <w:rsid w:val="00DD657D"/>
    <w:rsid w:val="00DE24EB"/>
    <w:rsid w:val="00E36B38"/>
    <w:rsid w:val="00E43617"/>
    <w:rsid w:val="00E47C15"/>
    <w:rsid w:val="00E50BF7"/>
    <w:rsid w:val="00E57901"/>
    <w:rsid w:val="00E81884"/>
    <w:rsid w:val="00EC4470"/>
    <w:rsid w:val="00EF129D"/>
    <w:rsid w:val="00F078E8"/>
    <w:rsid w:val="00F306A5"/>
    <w:rsid w:val="00F3106A"/>
    <w:rsid w:val="00F4632E"/>
    <w:rsid w:val="00F7430B"/>
    <w:rsid w:val="00F93FDA"/>
    <w:rsid w:val="00FA0925"/>
    <w:rsid w:val="00FA46E2"/>
    <w:rsid w:val="00FA6E3F"/>
    <w:rsid w:val="00FC693F"/>
    <w:rsid w:val="00FE247B"/>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 w:type="character" w:styleId="Hyperlink">
    <w:name w:val="Hyperlink"/>
    <w:basedOn w:val="DefaultParagraphFont"/>
    <w:uiPriority w:val="99"/>
    <w:unhideWhenUsed/>
    <w:rsid w:val="00CC3B73"/>
    <w:rPr>
      <w:color w:val="0000FF" w:themeColor="hyperlink"/>
      <w:u w:val="single"/>
    </w:rPr>
  </w:style>
  <w:style w:type="character" w:styleId="UnresolvedMention">
    <w:name w:val="Unresolved Mention"/>
    <w:basedOn w:val="DefaultParagraphFont"/>
    <w:uiPriority w:val="99"/>
    <w:semiHidden/>
    <w:unhideWhenUsed/>
    <w:rsid w:val="00CC3B73"/>
    <w:rPr>
      <w:color w:val="605E5C"/>
      <w:shd w:val="clear" w:color="auto" w:fill="E1DFDD"/>
    </w:rPr>
  </w:style>
  <w:style w:type="character" w:customStyle="1" w:styleId="apple-converted-space">
    <w:name w:val="apple-converted-space"/>
    <w:basedOn w:val="DefaultParagraphFont"/>
    <w:rsid w:val="001F5A57"/>
  </w:style>
  <w:style w:type="character" w:styleId="HTMLCode">
    <w:name w:val="HTML Code"/>
    <w:basedOn w:val="DefaultParagraphFont"/>
    <w:uiPriority w:val="99"/>
    <w:semiHidden/>
    <w:unhideWhenUsed/>
    <w:rsid w:val="001F5A5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016/j.jom.2002.07.00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037/0021-9010.88.5.879"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057/s41599-026-07627-9" TargetMode="External"/><Relationship Id="rId25" Type="http://schemas.openxmlformats.org/officeDocument/2006/relationships/hyperlink" Target="https://doi.org/10.1108/IMR-09-2014-0304" TargetMode="External"/><Relationship Id="rId2" Type="http://schemas.openxmlformats.org/officeDocument/2006/relationships/numbering" Target="numbering.xml"/><Relationship Id="rId16" Type="http://schemas.openxmlformats.org/officeDocument/2006/relationships/hyperlink" Target="https://doi.org/10.1002/bse.3414" TargetMode="External"/><Relationship Id="rId20" Type="http://schemas.openxmlformats.org/officeDocument/2006/relationships/hyperlink" Target="https://doi.org/10.2307/25682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002/smj.640" TargetMode="External"/><Relationship Id="rId5" Type="http://schemas.openxmlformats.org/officeDocument/2006/relationships/webSettings" Target="webSettings.xml"/><Relationship Id="rId15" Type="http://schemas.openxmlformats.org/officeDocument/2006/relationships/hyperlink" Target="https://doi.org/10.1080/09585192.2026.2672582" TargetMode="External"/><Relationship Id="rId23" Type="http://schemas.openxmlformats.org/officeDocument/2006/relationships/hyperlink" Target="https://doi.org/10.2307/258963" TargetMode="External"/><Relationship Id="rId10" Type="http://schemas.openxmlformats.org/officeDocument/2006/relationships/image" Target="media/image5.png"/><Relationship Id="rId19" Type="http://schemas.openxmlformats.org/officeDocument/2006/relationships/hyperlink" Target="https://doi.org/10.4018/ijec.201510010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287/mksc.1120.0718" TargetMode="External"/><Relationship Id="rId22" Type="http://schemas.openxmlformats.org/officeDocument/2006/relationships/hyperlink" Target="https://doi.org/10.1146/annurev-psych-120710-100452"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52</Pages>
  <Words>19761</Words>
  <Characters>112640</Characters>
  <Application>Microsoft Office Word</Application>
  <DocSecurity>0</DocSecurity>
  <Lines>938</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162</cp:revision>
  <dcterms:created xsi:type="dcterms:W3CDTF">2026-06-13T17:43:00Z</dcterms:created>
  <dcterms:modified xsi:type="dcterms:W3CDTF">2026-08-18T11:30:00Z</dcterms:modified>
  <cp:category/>
</cp:coreProperties>
</file>