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mbria" w:hAnsi="Cambria"/>
          <w:b/>
          <w:i w:val="0"/>
          <w:color w:val="A35A1D"/>
          <w:sz w:val="18"/>
          <w:spacing w:val="32"/>
        </w:rPr>
        <w:t>GRAPHIC ERA SCHOOL OF MANAGEMENT</w:t>
      </w:r>
    </w:p>
    <w:p>
      <w:pPr>
        <w:spacing w:before="0" w:after="120"/>
        <w:jc w:val="center"/>
      </w:pPr>
      <w:r>
        <w:rPr>
          <w:rFonts w:ascii="Cambria" w:hAnsi="Cambria"/>
          <w:b w:val="0"/>
          <w:i w:val="0"/>
          <w:color w:val="606060"/>
          <w:sz w:val="16"/>
          <w:spacing w:val="24"/>
        </w:rPr>
        <w:t>SWARAGINI, THE CULTURAL SOCIETY OF GRAPHIC ERA UNIVERSITY</w:t>
      </w:r>
    </w:p>
    <w:p>
      <w:pPr>
        <w:spacing w:before="0" w:after="40"/>
        <w:jc w:val="center"/>
      </w:pPr>
      <w:r>
        <w:rPr>
          <w:rFonts w:ascii="Cambria" w:hAnsi="Cambria"/>
          <w:b/>
          <w:i w:val="0"/>
          <w:color w:val="6F1119"/>
          <w:sz w:val="52"/>
        </w:rPr>
        <w:t>Garh Kauthig 2026</w:t>
      </w:r>
    </w:p>
    <w:p>
      <w:pPr>
        <w:spacing w:before="0" w:after="40"/>
        <w:jc w:val="center"/>
      </w:pPr>
      <w:r>
        <w:rPr>
          <w:rFonts w:ascii="Cambria" w:hAnsi="Cambria"/>
          <w:b w:val="0"/>
          <w:i/>
          <w:color w:val="9C1C22"/>
          <w:sz w:val="23"/>
        </w:rPr>
        <w:t>Tradition, Togetherness, and Timeless Culture</w:t>
      </w:r>
    </w:p>
    <w:p>
      <w:pPr>
        <w:spacing w:before="0" w:after="160"/>
        <w:jc w:val="center"/>
      </w:pPr>
      <w:r>
        <w:rPr>
          <w:rFonts w:ascii="Cambria" w:hAnsi="Cambria"/>
          <w:b/>
          <w:i w:val="0"/>
          <w:color w:val="A35A1D"/>
          <w:sz w:val="20"/>
          <w:spacing w:val="48"/>
        </w:rPr>
        <w:t>PROGRAMME  ·  RUNNING ORDER</w:t>
      </w:r>
    </w:p>
    <w:p>
      <w:pPr>
        <w:spacing w:before="0" w:after="160"/>
        <w:pBdr>
          <w:bottom w:val="single" w:sz="6" w:color="C9A24B"/>
        </w:pBdr>
      </w:pP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33241A"/>
          <w:sz w:val="21"/>
        </w:rPr>
        <w:t>Thursday, 13 August 2026  ·  01:00 PM onwards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33241A"/>
          <w:sz w:val="21"/>
        </w:rPr>
        <w:t>Silver Jubilee Convention Centre, Graphic Era (Deemed to be University), Dehradun, Uttarakhand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606060"/>
          <w:sz w:val="21"/>
        </w:rPr>
        <w:t>Held as part of the EMERGE Induction Program 2026</w:t>
      </w:r>
    </w:p>
    <w:p>
      <w:pPr>
        <w:spacing w:before="280" w:after="120"/>
      </w:pPr>
      <w:r>
        <w:rPr>
          <w:rFonts w:ascii="Cambria" w:hAnsi="Cambria"/>
          <w:b/>
          <w:i w:val="0"/>
          <w:color w:val="6F1119"/>
          <w:sz w:val="22"/>
          <w:spacing w:val="32"/>
        </w:rPr>
        <w:t>RUNNING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24"/>
            <w:shd w:val="clear" w:color="auto" w:fill="F2E6CC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6F1119"/>
                <w:sz w:val="19"/>
              </w:rPr>
              <w:t>#</w:t>
            </w:r>
          </w:p>
        </w:tc>
        <w:tc>
          <w:tcPr>
            <w:tcW w:type="dxa" w:w="1361"/>
            <w:shd w:val="clear" w:color="auto" w:fill="F2E6CC"/>
          </w:tcPr>
          <w:p>
            <w:pPr>
              <w:spacing w:before="4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6F1119"/>
                <w:sz w:val="19"/>
              </w:rPr>
              <w:t>Time</w:t>
            </w:r>
          </w:p>
        </w:tc>
        <w:tc>
          <w:tcPr>
            <w:tcW w:type="dxa" w:w="3061"/>
            <w:shd w:val="clear" w:color="auto" w:fill="F2E6CC"/>
          </w:tcPr>
          <w:p>
            <w:pPr>
              <w:spacing w:before="40" w:after="40"/>
            </w:pPr>
            <w:r/>
            <w:r>
              <w:rPr>
                <w:rFonts w:ascii="Cambria" w:hAnsi="Cambria"/>
                <w:b/>
                <w:i w:val="0"/>
                <w:color w:val="6F1119"/>
                <w:sz w:val="19"/>
              </w:rPr>
              <w:t>Item</w:t>
            </w:r>
          </w:p>
        </w:tc>
        <w:tc>
          <w:tcPr>
            <w:tcW w:type="dxa" w:w="2948"/>
            <w:shd w:val="clear" w:color="auto" w:fill="F2E6CC"/>
          </w:tcPr>
          <w:p>
            <w:pPr>
              <w:spacing w:before="40" w:after="40"/>
            </w:pPr>
            <w:r/>
            <w:r>
              <w:rPr>
                <w:rFonts w:ascii="Cambria" w:hAnsi="Cambria"/>
                <w:b/>
                <w:i w:val="0"/>
                <w:color w:val="6F1119"/>
                <w:sz w:val="19"/>
              </w:rPr>
              <w:t>Details</w:t>
            </w:r>
          </w:p>
        </w:tc>
        <w:tc>
          <w:tcPr>
            <w:tcW w:type="dxa" w:w="1871"/>
            <w:shd w:val="clear" w:color="auto" w:fill="F2E6CC"/>
          </w:tcPr>
          <w:p>
            <w:pPr>
              <w:spacing w:before="40" w:after="40"/>
            </w:pPr>
            <w:r/>
            <w:r>
              <w:rPr>
                <w:rFonts w:ascii="Cambria" w:hAnsi="Cambria"/>
                <w:b/>
                <w:i w:val="0"/>
                <w:color w:val="6F1119"/>
                <w:sz w:val="19"/>
              </w:rPr>
              <w:t>Presented by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0"/>
              </w:rPr>
              <w:t>01:00 PM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Deep Prajwalan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Ceremonial lighting of the lamp to open the programme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Guests and Faculty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Devbhoomi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title, or the performing team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Introducing Uttarayini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Introduction of the group before the performances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Anchors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MBA Performance — First Year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MBA, First Year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MBA Performance — Second Year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MBA, Second Year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1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2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3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9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Nandas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title, or the performing team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Ramailo Cha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title, or the performing team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11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4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12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5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13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Performance 6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/>
                <w:color w:val="606060"/>
                <w:sz w:val="19"/>
              </w:rPr>
              <w:t>To confirm: item and performers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14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Uttarayini Performance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Concluding performance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Uttarayini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15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Awards and Prize Distribution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See the awards list below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The Registrar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16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20"/>
              </w:rPr>
              <w:t>—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Conclusion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19"/>
              </w:rPr>
              <w:t>Close of the programme</w:t>
            </w:r>
          </w:p>
        </w:tc>
        <w:tc>
          <w:tcPr>
            <w:tcW w:type="dxa" w:w="18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—</w:t>
            </w:r>
          </w:p>
        </w:tc>
      </w:tr>
    </w:tbl>
    <w:p>
      <w:pPr>
        <w:spacing w:before="280" w:after="120"/>
      </w:pPr>
      <w:r>
        <w:rPr>
          <w:rFonts w:ascii="Cambria" w:hAnsi="Cambria"/>
          <w:b/>
          <w:i w:val="0"/>
          <w:color w:val="6F1119"/>
          <w:sz w:val="22"/>
          <w:spacing w:val="32"/>
        </w:rPr>
        <w:t>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Mr. Anshul Negi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Guest — Judge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Miss Anjali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Guest — Judge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Shivam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Guest — Judge</w:t>
            </w:r>
          </w:p>
        </w:tc>
      </w:tr>
      <w:tr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33241A"/>
                <w:sz w:val="21"/>
              </w:rPr>
              <w:t>Uday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606060"/>
                <w:sz w:val="19"/>
              </w:rPr>
              <w:t>Guest — not judging</w:t>
            </w:r>
          </w:p>
        </w:tc>
      </w:tr>
    </w:tbl>
    <w:p>
      <w:pPr>
        <w:spacing w:before="280" w:after="40"/>
      </w:pPr>
      <w:r>
        <w:rPr>
          <w:rFonts w:ascii="Cambria" w:hAnsi="Cambria"/>
          <w:b/>
          <w:i w:val="0"/>
          <w:color w:val="6F1119"/>
          <w:sz w:val="22"/>
          <w:spacing w:val="32"/>
        </w:rPr>
        <w:t>AWARDS</w:t>
      </w:r>
    </w:p>
    <w:p>
      <w:pPr>
        <w:spacing w:before="0" w:after="120"/>
      </w:pPr>
      <w:r>
        <w:rPr>
          <w:rFonts w:ascii="Calibri" w:hAnsi="Calibri"/>
          <w:b w:val="0"/>
          <w:i/>
          <w:color w:val="9C1C22"/>
          <w:sz w:val="20"/>
        </w:rPr>
        <w:t>Presented by the Registrar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1</w:t>
            </w:r>
          </w:p>
        </w:tc>
        <w:tc>
          <w:tcPr>
            <w:tcW w:type="dxa" w:w="92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1"/>
              </w:rPr>
              <w:t>First Prize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2</w:t>
            </w:r>
          </w:p>
        </w:tc>
        <w:tc>
          <w:tcPr>
            <w:tcW w:type="dxa" w:w="92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1"/>
              </w:rPr>
              <w:t>Second Prize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3</w:t>
            </w:r>
          </w:p>
        </w:tc>
        <w:tc>
          <w:tcPr>
            <w:tcW w:type="dxa" w:w="92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1"/>
              </w:rPr>
              <w:t>Third Prize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4</w:t>
            </w:r>
          </w:p>
        </w:tc>
        <w:tc>
          <w:tcPr>
            <w:tcW w:type="dxa" w:w="92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1"/>
              </w:rPr>
              <w:t>Best Performance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A35A1D"/>
                <w:sz w:val="20"/>
              </w:rPr>
              <w:t>5</w:t>
            </w:r>
          </w:p>
        </w:tc>
        <w:tc>
          <w:tcPr>
            <w:tcW w:type="dxa" w:w="92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33241A"/>
                <w:sz w:val="21"/>
              </w:rPr>
              <w:t>Certificate of Appreciation — to the team</w:t>
            </w:r>
          </w:p>
        </w:tc>
      </w:tr>
    </w:tbl>
    <w:p>
      <w:pPr>
        <w:spacing w:before="320" w:after="80"/>
      </w:pPr>
      <w:r>
        <w:rPr>
          <w:rFonts w:ascii="Cambria" w:hAnsi="Cambria"/>
          <w:b/>
          <w:i w:val="0"/>
          <w:color w:val="6F1119"/>
          <w:sz w:val="22"/>
          <w:spacing w:val="32"/>
        </w:rPr>
        <w:t>TO CONFIRM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Timings: the poster gives only the 01:00 PM start, so no running times have been assumed. Tell me the finish time or the length of each slot and I will fill the whole column in.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Performances 1 to 6 are unnamed in the notes — please add the item and the performers for each.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Devbhoomi, Nandas and Ramailo Cha: are these item titles or the names of the performing teams?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"Uttarayini (sth mein introduce)" has been read as: Uttarayini is introduced before the performances begin, and performs at the end. Please confirm the placement of the introduction.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 xml:space="preserve">"Deep Prajwalan by guests and facilities" has been read as guests and </w:t>
      </w:r>
      <w:r>
        <w:rPr>
          <w:rFonts w:ascii="Calibri" w:hAnsi="Calibri"/>
          <w:b/>
          <w:i w:val="0"/>
          <w:color w:val="33241A"/>
          <w:sz w:val="20"/>
        </w:rPr>
        <w:t>faculty</w:t>
      </w:r>
      <w:r>
        <w:rPr>
          <w:rFonts w:ascii="Calibri" w:hAnsi="Calibri"/>
          <w:b w:val="0"/>
          <w:i w:val="0"/>
          <w:color w:val="33241A"/>
          <w:sz w:val="20"/>
        </w:rPr>
        <w:t>.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Anshul Negi, Anjali and Shivam are shown as judges because Uday is marked "not judge" — please confirm, and add titles or surnames for Shivam and Uday.</w:t>
      </w:r>
    </w:p>
    <w:p>
      <w:pPr>
        <w:spacing w:before="0" w:after="60"/>
        <w:ind w:left="340" w:hanging="340"/>
      </w:pPr>
      <w:r>
        <w:rPr>
          <w:rFonts w:ascii="Calibri" w:hAnsi="Calibri"/>
          <w:b w:val="0"/>
          <w:i w:val="0"/>
          <w:color w:val="A35A1D"/>
          <w:sz w:val="20"/>
        </w:rPr>
        <w:t xml:space="preserve">•  </w:t>
      </w:r>
      <w:r>
        <w:rPr>
          <w:rFonts w:ascii="Calibri" w:hAnsi="Calibri"/>
          <w:b w:val="0"/>
          <w:i w:val="0"/>
          <w:color w:val="33241A"/>
          <w:sz w:val="20"/>
        </w:rPr>
        <w:t>The anchors / compères are not named in the notes.</w:t>
      </w:r>
    </w:p>
    <w:p>
      <w:pPr>
        <w:spacing w:before="240" w:after="80"/>
        <w:pBdr>
          <w:bottom w:val="single" w:sz="6" w:color="C9A24B"/>
        </w:pBdr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606060"/>
          <w:sz w:val="17"/>
        </w:rPr>
        <w:t>Nothing on this sheet has been invented: blank times and "to confirm" entries are the points the notes did not cover.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24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