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716C63F8" w14:textId="77777777" w:rsidR="00FC1991" w:rsidRDefault="00FC1991" w:rsidP="008F1FDD">
      <w:pPr>
        <w:pStyle w:val="NormalWeb"/>
        <w:spacing w:line="360" w:lineRule="auto"/>
        <w:jc w:val="both"/>
        <w:rPr>
          <w:lang w:eastAsia="en-GB"/>
        </w:rPr>
      </w:pPr>
      <w:r>
        <w:rPr>
          <w:b/>
          <w:bCs/>
        </w:rPr>
        <w:t>Purpose:</w:t>
      </w:r>
      <w:r>
        <w:t xml:space="preserve"> This study investigates the drivers of brand success in the metaverse by empirically testing a configurational model connecting user engagement (UE), user experience (UX), and brand satisfaction (BSAT), grounded in Flow Theory and Self-Determination Theory (SDT).</w:t>
      </w:r>
    </w:p>
    <w:p w14:paraId="66442830" w14:textId="2AFB1B19" w:rsidR="00FC1991" w:rsidRDefault="00FC1991" w:rsidP="008F1FDD">
      <w:pPr>
        <w:pStyle w:val="NormalWeb"/>
        <w:spacing w:line="360" w:lineRule="auto"/>
        <w:jc w:val="both"/>
      </w:pPr>
      <w:r>
        <w:rPr>
          <w:b/>
          <w:bCs/>
        </w:rPr>
        <w:t>Design/methodology/approach:</w:t>
      </w:r>
      <w:r>
        <w:t xml:space="preserve"> A mixed-methods research design is employed. Partial least squares structural equation modelling (PLS-SEM) validates the measurement model, while fuzzy-set qualitative comparative analysis (fsQCA) addresses causal complexity. The study relies on data collected from 312 active metaverse users, a strategically important emerging market.</w:t>
      </w:r>
    </w:p>
    <w:p w14:paraId="5FC6A675" w14:textId="247B5F78" w:rsidR="00FC1991" w:rsidRDefault="00FC1991" w:rsidP="008F1FDD">
      <w:pPr>
        <w:pStyle w:val="NormalWeb"/>
        <w:spacing w:line="360" w:lineRule="auto"/>
        <w:jc w:val="both"/>
      </w:pPr>
      <w:r>
        <w:rPr>
          <w:b/>
          <w:bCs/>
        </w:rPr>
        <w:t>Findings:</w:t>
      </w:r>
      <w:r>
        <w:t xml:space="preserve"> Stand-alone engagement or experience is insufficient for brand success. Rather, specific configurations</w:t>
      </w:r>
      <w:r w:rsidR="006D2177">
        <w:t xml:space="preserve"> </w:t>
      </w:r>
      <w:r>
        <w:t>particularly brand satisfaction situated alongside either user experience or user engagement</w:t>
      </w:r>
      <w:r w:rsidR="006D2177">
        <w:t xml:space="preserve"> </w:t>
      </w:r>
      <w:r>
        <w:t>are required for favorable outcomes. The fully triadic configuration (BSAT × UX × UE) yields the highest solution consistency, demonstrating equifinality in metaverse branding.</w:t>
      </w:r>
    </w:p>
    <w:p w14:paraId="62ECBB5B" w14:textId="77777777" w:rsidR="00FC1991" w:rsidRDefault="00FC1991" w:rsidP="008F1FDD">
      <w:pPr>
        <w:pStyle w:val="NormalWeb"/>
        <w:spacing w:line="360" w:lineRule="auto"/>
        <w:jc w:val="both"/>
      </w:pPr>
      <w:r>
        <w:rPr>
          <w:b/>
          <w:bCs/>
        </w:rPr>
        <w:t>Practical implications:</w:t>
      </w:r>
      <w:r>
        <w:t xml:space="preserve"> The configurational logic provides brand managers and strategists with actionable guidance for designing identity-affirming, community-embedded virtual experiences that sustain engagement and competitive differentiation in the metaverse.</w:t>
      </w:r>
    </w:p>
    <w:p w14:paraId="2EDC7EA2" w14:textId="77777777" w:rsidR="00FC1991" w:rsidRDefault="00FC1991" w:rsidP="008F1FDD">
      <w:pPr>
        <w:pStyle w:val="NormalWeb"/>
        <w:spacing w:line="360" w:lineRule="auto"/>
        <w:jc w:val="both"/>
      </w:pPr>
      <w:r>
        <w:rPr>
          <w:b/>
          <w:bCs/>
        </w:rPr>
        <w:t>Originality/value:</w:t>
      </w:r>
      <w:r>
        <w:t xml:space="preserve"> This paper extends Flow Theory and SDT into co-creative, technology-mediated brand ecosystems. By utilizing fsQCA, it reveals the complex, equifinal pathways to brand success that traditional, linear engagement models often overlook.</w:t>
      </w:r>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 Metaverse; User engagement; User experience; Brand satisfaction; Brand success; fsQCA</w:t>
      </w:r>
    </w:p>
    <w:p w14:paraId="1D525ECE" w14:textId="77777777" w:rsidR="008779B8" w:rsidRPr="009A515A" w:rsidRDefault="008779B8" w:rsidP="00B64CB0">
      <w:pPr>
        <w:spacing w:line="360" w:lineRule="auto"/>
        <w:jc w:val="both"/>
        <w:rPr>
          <w:i/>
          <w:iCs/>
          <w:color w:val="000000" w:themeColor="text1"/>
        </w:rPr>
      </w:pPr>
    </w:p>
    <w:p w14:paraId="0D4F5764" w14:textId="77777777" w:rsidR="0099454D" w:rsidRDefault="0099454D" w:rsidP="00B64CB0">
      <w:pPr>
        <w:spacing w:line="360" w:lineRule="auto"/>
        <w:jc w:val="both"/>
        <w:rPr>
          <w:i/>
          <w:iCs/>
          <w:color w:val="000000" w:themeColor="text1"/>
        </w:rPr>
      </w:pPr>
    </w:p>
    <w:p w14:paraId="4F10B495" w14:textId="77777777" w:rsidR="00D76020" w:rsidRPr="009A515A" w:rsidRDefault="00D76020"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lastRenderedPageBreak/>
        <w:t>Introduction:</w:t>
      </w:r>
      <w:r w:rsidR="00153E38" w:rsidRPr="009A515A">
        <w:rPr>
          <w:rFonts w:ascii="Times New Roman" w:hAnsi="Times New Roman" w:cs="Times New Roman"/>
          <w:b/>
          <w:bCs/>
          <w:color w:val="000000" w:themeColor="text1"/>
          <w:sz w:val="24"/>
          <w:szCs w:val="24"/>
        </w:rPr>
        <w:t xml:space="preserve"> </w:t>
      </w:r>
      <w:bookmarkEnd w:id="0"/>
    </w:p>
    <w:p w14:paraId="6793C328" w14:textId="77777777" w:rsidR="00675BDA" w:rsidRDefault="00675BDA" w:rsidP="00675BDA">
      <w:pPr>
        <w:spacing w:line="360" w:lineRule="auto"/>
        <w:ind w:firstLine="426"/>
        <w:jc w:val="both"/>
      </w:pPr>
      <w:r>
        <w:t>The metaverse is an immersive virtual environment that uses augmented reality (AR) and virtual reality (VR) technologies, enabling users to interact with one another and with virtual objects while experiencing digital information in the real world (Arya et al., 2024a; Zallio and Clarkson, 2022). It is changing how brands connect with consumers, as traditional marketing gives way to digital experiences that deliver tangible value (Hennig-Thurau et al., 2023; Anderson et al., 2024).</w:t>
      </w:r>
    </w:p>
    <w:p w14:paraId="55C572B2" w14:textId="5B8B9C55" w:rsidR="006B5016" w:rsidRPr="00B2597B" w:rsidRDefault="00675BDA" w:rsidP="00B2597B">
      <w:pPr>
        <w:spacing w:line="360" w:lineRule="auto"/>
        <w:ind w:firstLine="426"/>
        <w:jc w:val="both"/>
      </w:pPr>
      <w:r>
        <w:t>Unlike conventional digital channels, it offers multisensory brand experiences that bridge physical and digital realms and link individual interactions with broader social networks, requiring brands to adapt if they wish to remain competitive (Kopalle et al., 2024; Marvi et al., 2024; Bilgihan et al., 2024; Hwang and Seo, 2025), yet academic work on integrating it into business strategy remains sparse (Eggenschwiler et al., 2024). Nike’s Nikeland on Roblox, with its interactive mini-games and rewards, shows how virtual environments can redefine marketing (Kumar, 2024; Kozinets et al., 2023).</w:t>
      </w:r>
    </w:p>
    <w:p w14:paraId="01A75581" w14:textId="77777777" w:rsidR="00651853" w:rsidRPr="009A515A" w:rsidRDefault="00000000" w:rsidP="00495518">
      <w:pPr>
        <w:spacing w:line="360" w:lineRule="auto"/>
        <w:jc w:val="both"/>
      </w:pPr>
      <w:r w:rsidRPr="009A515A">
        <w:t>Branding here differs from website or app branding in four ways that push us toward a configurational approach: environments are persistent, shared three-dimensional spaces; users act through avatars, so identity and embodiment fuse with consumption; interaction is socially synchronous, creating co-presence with other people and with brands in real time; and value is frequently co-created. Brand outcomes emerge from combinations of these traits rather than from any single attribute, so we adopt a configurational lens and ask which recipes of engagement, experience and satisfaction jointly produce brand success.</w:t>
      </w:r>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Emotional connection matters here. Emotional attachment correlates with stronger brand relationships (Bilgihan et al., 2024; Arya et al., 2022), and immersive, personalised interactions build satisfaction, trust and brand identification (Shamim et al., 2025; Vo et al., 2025). Brands can also move past physical limits to reach global audiences, with personalisation strengthening brand perceptions and satisfaction (Dwivedi et al., 2023; Chandra et al., 2022).</w:t>
      </w:r>
      <w:bookmarkStart w:id="1" w:name="_Hlk199322582"/>
      <w:bookmarkEnd w:id="1"/>
    </w:p>
    <w:p w14:paraId="003BABCC" w14:textId="475C3E67" w:rsidR="001B3556" w:rsidRPr="009A515A" w:rsidRDefault="00666412" w:rsidP="00B94DE0">
      <w:pPr>
        <w:spacing w:line="360" w:lineRule="auto"/>
        <w:ind w:firstLine="426"/>
        <w:jc w:val="both"/>
        <w:rPr>
          <w:color w:val="000000" w:themeColor="text1"/>
        </w:rPr>
      </w:pPr>
      <w:r w:rsidRPr="009A515A">
        <w:t>The study therefore asks how immersive, avatar-mediated interactions shape the configurations of user engagement, user experience and brand satisfaction that lead to brand success. Two sub-questions follow: which combinations are sufficient for high brand success, and what role does brand satisfaction play in linking engagement and experience to success?</w:t>
      </w:r>
    </w:p>
    <w:p w14:paraId="0C3A6470" w14:textId="578BFCC6" w:rsidR="005560D1" w:rsidRPr="009A515A" w:rsidRDefault="0045186A" w:rsidP="0045186A">
      <w:pPr>
        <w:spacing w:line="360" w:lineRule="auto"/>
        <w:ind w:firstLine="426"/>
        <w:jc w:val="both"/>
        <w:rPr>
          <w:color w:val="000000" w:themeColor="text1"/>
        </w:rPr>
      </w:pPr>
      <w:r w:rsidRPr="009A515A">
        <w:t>We make three contributions. First, rather than re-confirming that engagement, experience and satisfaction matter, the study specifies how immersive, avatar-based environments change their configuration, arguing that equifinality the existence of multiple sufficient pathways to success runs especially deep in the metaverse. Second, it brings Flow Theory and SDT together as complementary lenses explaining why immersive interactions sustain engagement and shape satisfaction. Third, through fsQCA it identifies the combinations of engagement, experience and satisfaction associated with high brand success, handing managers configurational guidance.</w:t>
      </w:r>
    </w:p>
    <w:p w14:paraId="1D174D49" w14:textId="77777777" w:rsidR="00BC0CD1" w:rsidRPr="009A515A" w:rsidRDefault="00BC0CD1" w:rsidP="008857AA">
      <w:pPr>
        <w:spacing w:line="360" w:lineRule="auto"/>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improve metaverse experiences through three components: immersiveness, sociability and ecological faithfulness (Arya et al., 2024a). Immersiveness, the mental absorption and sensory engagement often termed presence, strengthens emotional engagement and, through it, user satisfaction and brand trust (Shamim et al., 2025; Daassi et al., 2021; Bilgihan et al., 2024). Sociability, the quality of social interaction, opens the door to collaboration, community building and emotional bonding, with social presence lifting enjoyment and advocacy (Hennig-Thurau et al., 2023; Osborne et al., 2024), while ecological faithfulness, the authenticity of virtual environments, builds trust among environmentally conscious consumers (Dwivedi et al., 2023).</w:t>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Immersive storytelling, gamification and virtual product launches represent a real growth avenue and can build loyalty (Bilgihan et al., 2024; Blazquez, 2024; Lee and Shen, 2024; Rather et al., 2022), yet poorly executed design may trigger frustration, overstimulation or escapism, which is why psychologically safe, user-centred strategies matter (Lavoie et al., 2021; Duong et al., 2025).</w:t>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5EF26018" w:rsidR="0087626C" w:rsidRPr="009A515A" w:rsidRDefault="0087626C" w:rsidP="0087626C">
      <w:pPr>
        <w:spacing w:line="360" w:lineRule="auto"/>
        <w:jc w:val="both"/>
        <w:rPr>
          <w:color w:val="000000" w:themeColor="text1"/>
        </w:rPr>
      </w:pPr>
      <w:r w:rsidRPr="009A515A">
        <w:rPr>
          <w:color w:val="000000" w:themeColor="text1"/>
        </w:rPr>
        <w:t>No single definition has settled the matter, yet most accounts describe the metaverse as a three-dimensional, shared virtual world powered by AR/VR that lets people move smoothly between physical and virtual domains for work, interaction and socialisation (Buhalis et al., 2023; Koohang et al., 2023; Kozinets et al., 2023).</w:t>
      </w:r>
    </w:p>
    <w:p w14:paraId="19C7BFC8" w14:textId="0750BECE" w:rsidR="0087626C" w:rsidRPr="009A515A" w:rsidRDefault="0087626C" w:rsidP="001245DA">
      <w:pPr>
        <w:spacing w:line="360" w:lineRule="auto"/>
        <w:ind w:firstLine="426"/>
        <w:jc w:val="both"/>
        <w:rPr>
          <w:color w:val="000000" w:themeColor="text1"/>
        </w:rPr>
      </w:pPr>
      <w:r w:rsidRPr="009A515A">
        <w:rPr>
          <w:color w:val="000000" w:themeColor="text1"/>
        </w:rPr>
        <w:t>Building on early engagement theory, O'Brien and Toms (2010) developed a validated, multifaceted engagement scale, while the Mobile User Engagement model explains engagement through motivation, perceived value and satisfaction (Soltani et al., 2024; Ilkan et al., 2023).</w:t>
      </w:r>
    </w:p>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What users actually do buying NFTs, interacting socially, attending virtual events, creating content sits at the centre of brand engagement in immersive ecosystems, shaping perceptions, building emotional bonds and driving loyalty (Shamim et al., 2025; Bilgihan et al., 2024; Lee and Shen, 2024).</w:t>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Branded NFTs enable digital self-expression, exclusivity and identity construction, and owning unique avatars, wearables and collectibles strengthens emotional attachment (Xie and Muralidharan, 2023; Simonetti et al., 2025). Scarcity and perceived investment value lift brand attitudes further, amplified by social-comparison dynamics (Wang et al., 2024; Chang et al., 2024; Xie et al., 2024).</w:t>
      </w:r>
    </w:p>
    <w:p w14:paraId="7DBEF095" w14:textId="699E9646" w:rsidR="00971E5E" w:rsidRPr="009A515A" w:rsidRDefault="00971E5E" w:rsidP="00971E5E">
      <w:pPr>
        <w:spacing w:line="360" w:lineRule="auto"/>
        <w:ind w:firstLine="426"/>
        <w:jc w:val="both"/>
        <w:rPr>
          <w:color w:val="000000" w:themeColor="text1"/>
        </w:rPr>
      </w:pPr>
      <w:r w:rsidRPr="009A515A">
        <w:t>Social interaction reinforces engagement: brand communities build trust, knowledge-sharing and purchase intention, and avatar-based interactivity deepens belonging and loyalty (Agnihotri et al., 2024; Kumar and Shankar, 2024; Payal et al., 2024).</w:t>
      </w:r>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Virtual events and gamified rewards build trust, satisfaction and loyalty, especially among Gen Z (Habachi et al., 2024), and participatory content creation deepens ownership and advocacy (Bilgihan et al., 2024; Xu et al., 2024).</w:t>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major drivers of brand success. Wiertz and De Ruyter (2007) showed that contributions to firm-hosted online communities lift brand success, with knowledge-sharing doing much of the engagement work.</w:t>
      </w:r>
    </w:p>
    <w:p w14:paraId="6FBD7B2A" w14:textId="2870EF6A" w:rsidR="00971E5E" w:rsidRPr="009A515A" w:rsidRDefault="00971E5E" w:rsidP="00971E5E">
      <w:pPr>
        <w:spacing w:line="360" w:lineRule="auto"/>
        <w:ind w:firstLine="426"/>
        <w:jc w:val="both"/>
        <w:rPr>
          <w:color w:val="000000" w:themeColor="text1"/>
        </w:rPr>
      </w:pPr>
      <w:r w:rsidRPr="009A515A">
        <w:rPr>
          <w:color w:val="000000" w:themeColor="text1"/>
        </w:rPr>
        <w:t>Brodie et al. (2011) cast engagement as active participation in brand experiences, while purchase intentions in virtual communities often serve social and self-identity needs, framing engagement as a route to loyalty.</w:t>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4330E1" w14:textId="77777777" w:rsidR="00076C43" w:rsidRPr="00076C43" w:rsidRDefault="00076C43" w:rsidP="00076C43">
      <w:pPr>
        <w:shd w:val="clear" w:color="auto" w:fill="FFFFFF"/>
        <w:spacing w:line="360" w:lineRule="auto"/>
        <w:jc w:val="both"/>
        <w:rPr>
          <w:color w:val="000000" w:themeColor="text1"/>
        </w:rPr>
      </w:pPr>
      <w:r w:rsidRPr="00076C43">
        <w:rPr>
          <w:color w:val="000000" w:themeColor="text1"/>
        </w:rPr>
        <w:t>Flow Theory (Csikszentmihalyi, 1990) offers a strong framework for reading engagement in the metaverse. Flow is a state of deep immersion and focused attention characterised by high intrinsic motivation and enjoyment, and it is particularly important where engagement determines brand success. Recent studies extend it to virtual and augmented reality: perceived enjoyment enhances flow and, in turn, satisfaction and continued use in game-based metaverses (Hyeon and Lee, 2025).</w:t>
      </w:r>
    </w:p>
    <w:p w14:paraId="48EA7763" w14:textId="41CF025F" w:rsidR="00233988" w:rsidRPr="009A515A" w:rsidRDefault="00076C43" w:rsidP="00076C43">
      <w:pPr>
        <w:shd w:val="clear" w:color="auto" w:fill="FFFFFF"/>
        <w:spacing w:line="360" w:lineRule="auto"/>
        <w:jc w:val="both"/>
        <w:rPr>
          <w:color w:val="000000" w:themeColor="text1"/>
        </w:rPr>
      </w:pPr>
      <w:r w:rsidRPr="00076C43">
        <w:rPr>
          <w:color w:val="000000" w:themeColor="text1"/>
        </w:rPr>
        <w:t>Studies continue to link flow with virtual brand experiences. In live streaming, authenticity, interactivity and entertainment enhance flow, with interactivity the most influential (Wu et al., 2024), while metaverse use in emerging markets is shaped by technological factors (Liang et al., 2024). In VR, flow increases subjective time (Rutrecht et al., 2021) and influences participative and sharing behaviours (Lo and Lai, 2023). Our survey therefore included flow elements goals, immediate feedback and challenge–skill balance on which participants reported for their metaverse interactions.</w:t>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0A3F1E1A" w14:textId="77777777" w:rsidR="00BB04AB" w:rsidRPr="00BB04AB" w:rsidRDefault="00BB04AB" w:rsidP="00BB04AB">
      <w:pPr>
        <w:spacing w:line="360" w:lineRule="auto"/>
        <w:ind w:firstLine="426"/>
        <w:jc w:val="both"/>
        <w:rPr>
          <w:color w:val="000000" w:themeColor="text1"/>
        </w:rPr>
      </w:pPr>
      <w:r w:rsidRPr="00BB04AB">
        <w:rPr>
          <w:color w:val="000000" w:themeColor="text1"/>
        </w:rPr>
        <w:t>Self-Determination Theory (SDT) holds that motivation and wellbeing are maximised when three innate needs are satisfied: autonomy (volitional choice), competence (feeling effective) and relatedness (feeling connected) (Deci and Ryan, 2000). In digital environments, the intrinsic motivation to explore, master and connect drives engagement further.</w:t>
      </w:r>
    </w:p>
    <w:p w14:paraId="58833B19" w14:textId="6BA1C1BC" w:rsidR="00894734" w:rsidRPr="009A515A" w:rsidRDefault="00BB04AB" w:rsidP="00BB04AB">
      <w:pPr>
        <w:spacing w:line="360" w:lineRule="auto"/>
        <w:ind w:firstLine="426"/>
        <w:jc w:val="both"/>
        <w:rPr>
          <w:color w:val="000000" w:themeColor="text1"/>
        </w:rPr>
      </w:pPr>
      <w:r w:rsidRPr="00BB04AB">
        <w:rPr>
          <w:color w:val="000000" w:themeColor="text1"/>
        </w:rPr>
        <w:t>The two theories go hand in hand. Flow is the moment-to-moment immersion that occurs when challenge–skill balance aligns and goals and feedback are clear, while autonomy facilitates exploration, competence fosters mastery and relatedness sustains social interaction through avatars (Csikszentmihalyi, 1990); SDT explains why people enter and remain in flow. Together they constitute the immersion and need satisfaction underlying engagement, satisfaction and loyalty.</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lastRenderedPageBreak/>
        <w:t>Four constructs are in play. User engagement (UE) is the cognitive, emotional and behavioural involvement a user has with a brand during metaverse interactions. User experience (UX) is the perceived quality of that interaction immersion, usability, enjoyment and presence. Brand satisfaction (BSAT) is the user's overall evaluation of the brand from metaverse encounters. Brand success (BSUC) covers brand-relevant outcomes: continuance intention, purchase intention, advocacy and word of mouth. We treat the SDT needs and Flow dimensions as underlying psychological mechanisms, not as separately measured constructs.</w:t>
      </w:r>
    </w:p>
    <w:p w14:paraId="4AF2B904" w14:textId="77777777" w:rsidR="00651853" w:rsidRPr="009A515A" w:rsidRDefault="00000000" w:rsidP="00040F53">
      <w:pPr>
        <w:spacing w:line="360" w:lineRule="auto"/>
        <w:jc w:val="both"/>
      </w:pPr>
      <w:r w:rsidRPr="009A515A">
        <w:t>Read together, Flow Theory and SDT imply that immersive, need-satisfying interactions raise engagement and experience, which then shape satisfaction and brand outcomes. We therefore expect higher user engagement to be positively associated with brand success (H1), and higher user experience quality to be positively associated with brand success (H2). Satisfaction sums up cumulative evaluations, so we expect brand satisfaction to mediate the engagement/experience-success relationships (H3). And in keeping with a configurational view, high brand success may arise from multiple sufficient configurations rather than any single necessary condition (P1).</w:t>
      </w:r>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2C8DCAF" w14:textId="77777777" w:rsidR="00C22A71" w:rsidRPr="00C22A71" w:rsidRDefault="00C22A71" w:rsidP="00C22A71">
      <w:pPr>
        <w:spacing w:line="360" w:lineRule="auto"/>
        <w:ind w:firstLine="426"/>
        <w:jc w:val="both"/>
        <w:rPr>
          <w:color w:val="000000" w:themeColor="text1"/>
        </w:rPr>
      </w:pPr>
      <w:r w:rsidRPr="00C22A71">
        <w:rPr>
          <w:color w:val="000000" w:themeColor="text1"/>
        </w:rPr>
        <w:t>Jia et al. (2022) provide a mixed-method approach to the study of complex causal configurations in branding, namely fuzzy-set qualitative comparative analysis (fsQCA). Positioned between exploratory and hypothesis-testing strategies, it demonstrates that specific combinations of conditions (present or absent) together create an outcome and reveals equifinality (Schneider and Wagemann, 2012), and it remains viable in small-N research (Ragin, 2008).</w:t>
      </w:r>
    </w:p>
    <w:p w14:paraId="67D79B33" w14:textId="7CE4732B" w:rsidR="00DB7208" w:rsidRPr="009A515A" w:rsidRDefault="00C22A71" w:rsidP="00C22A71">
      <w:pPr>
        <w:spacing w:line="360" w:lineRule="auto"/>
        <w:ind w:firstLine="426"/>
        <w:jc w:val="both"/>
        <w:rPr>
          <w:color w:val="000000" w:themeColor="text1"/>
        </w:rPr>
      </w:pPr>
      <w:r w:rsidRPr="00C22A71">
        <w:rPr>
          <w:color w:val="000000" w:themeColor="text1"/>
        </w:rPr>
        <w:t>The method proceeds in six steps: case selection, identification of causal conditions, calibration of membership scores, construction of the truth table, logical minimisation, and consistency and coverage checks. Boolean minimisation is used to derive minimal sufficient combinations, revealing causal complexity that would not be found by single-variable effects.</w:t>
      </w: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Variable selection followed a structured three-stage process. A literature review came first, pulling out consistently validated variables satisfaction, interaction frequency, perceived brand impact, emotional connection and personalisation as core indicators (Cadet and Chainay, 2020; Lu and Lau, 2025).</w:t>
      </w:r>
    </w:p>
    <w:p w14:paraId="3D611864" w14:textId="7AEC9FC1" w:rsidR="00DB7208" w:rsidRPr="009A515A" w:rsidRDefault="00DB7208" w:rsidP="00177689">
      <w:pPr>
        <w:spacing w:line="360" w:lineRule="auto"/>
        <w:ind w:firstLine="426"/>
        <w:jc w:val="both"/>
        <w:rPr>
          <w:color w:val="000000" w:themeColor="text1"/>
        </w:rPr>
      </w:pPr>
      <w:r w:rsidRPr="009A515A">
        <w:t>Second, interviews and focus groups gave a finer read on involvement, satisfaction drivers and brand-success perceptions, and the variables were refined accordingly. Third, surveys captured UE, UX, BSAT and BSUC (Table 1); immersiveness was measured via presence scales, sociability via social and co-presence measures, and ecological faithfulness via authenticity measures (Cadet and Chainay, 2020; Poeschl and Doering, 2015; Lu and Lau, 2025).</w:t>
      </w: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The ten-item engagement and experience scales are adapted subsets. Appendix Table 1 lists the full measurement items alongside their adapted sources.</w:t>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We focused on three prominent platforms Roblox, Decentraland and The Sandbox chosen for their adoption, functionality and capacity to host brand interactions. Roblox, known for user-generated content and social gaming, hosts branded experiences such as Nike’s Nikeland (Bilgihan et al., 2024); Decentraland, built on blockchain, lets users buy virtual land, trade NFTs and attend community events (Brouard, 2024); and The Sandbox supports voxel-based creation and monetisation, used by brands such as Adidas (Brandes and Dölp, 2025).</w:t>
      </w:r>
    </w:p>
    <w:p w14:paraId="6FBBF5ED" w14:textId="77777777" w:rsidR="00035B4B" w:rsidRPr="009A515A" w:rsidRDefault="00035B4B" w:rsidP="00ED44A2">
      <w:pPr>
        <w:spacing w:line="360" w:lineRule="auto"/>
        <w:ind w:firstLine="426"/>
        <w:jc w:val="both"/>
        <w:rPr>
          <w:color w:val="000000" w:themeColor="text1"/>
        </w:rPr>
      </w:pPr>
      <w:r w:rsidRPr="009A515A">
        <w:t>Across the platforms, four activity types were considered: trading digital assets, attending virtual events, avatar-based social interaction, and designing digital assets or experiences (Lee and Shen, 2024; Hennig-Thurau et al., 2023).</w:t>
      </w:r>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 a 52% response rate with balanced representation, measured on validated UE, UX, BSAT and BSUC scales.</w:t>
      </w:r>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India is a theoretically and empirically justified context. It is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take readily to avatar-based self-expression and NFT ownership, and studying this underexplored, non-Western market widens the theoretical reach and generalisability of the findings (Payal et al., 2024).</w:t>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lastRenderedPageBreak/>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Descriptive analysis (IBM SPSS 25.0) profiled the 312 respondents: 143 men (46%) and 169 women (54%) spread across five age bands from 18 to 45 years, the largest aged 23–28 (24.04%); 34.29% single, 38.78% married without children and 26.93% married with children; 39.10% in business, 32.69% in salaried employment and 28.21% students. Monthly family income was concentrated in the INR 50,001-80,000 (32.05%) and INR 30,001-50,000 (25.64%) bands.</w:t>
      </w:r>
    </w:p>
    <w:p w14:paraId="103D9A67" w14:textId="6AF2836D" w:rsidR="00CD5B68" w:rsidRPr="009A515A" w:rsidRDefault="00CD5B68" w:rsidP="00CD5B68">
      <w:pPr>
        <w:spacing w:line="360" w:lineRule="auto"/>
        <w:ind w:firstLine="426"/>
        <w:jc w:val="both"/>
        <w:rPr>
          <w:i/>
          <w:iCs/>
          <w:color w:val="000000" w:themeColor="text1"/>
        </w:rPr>
      </w:pPr>
      <w:r w:rsidRPr="009A515A">
        <w:rPr>
          <w:color w:val="000000" w:themeColor="text1"/>
        </w:rPr>
        <w:t>Engagement levels were high: 60.58% used the metaverse frequently (several times a week), 45.19% took part in NFT trading, 52.56% in social interaction or content creation and 41.35% in virtual events figures that point to how central these activities are to brand engagement.</w:t>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5.2. Measurement Model Assessment</w:t>
      </w:r>
    </w:p>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All standardized loadings were positive and significant (p &lt; .001), and Cronbach’s alpha ranged from 0.765 to 0.903 across the four constructs; the detailed measurement properties, including average variance extracted, are presented in Table 1. Discriminant validity was assessed with the heterotrait–monotrait (HTMT) ratio from SmartPLS 4.1 bootstrapping (5,000 subsamples): all ratios fell below the 0.85 criterion (BSAT–BSUC 0.743; UX–BSAT 0.768; UX–BSUC 0.712; UE–BSAT 0.756; UE–BSUC 0.729; UE–UX 0.814), confirming that the constructs are empirically distinct.</w:t>
      </w:r>
    </w:p>
    <w:p w14:paraId="5550429E" w14:textId="77777777" w:rsidR="00CD5B68" w:rsidRPr="009A515A" w:rsidRDefault="00CD5B68" w:rsidP="00B4702E">
      <w:pPr>
        <w:spacing w:line="360" w:lineRule="auto"/>
        <w:jc w:val="both"/>
        <w:rPr>
          <w:b/>
          <w:bCs/>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Table 1. Measurement Model: Item Loadings, Reliability and Average Variance Extracted</w:t>
      </w:r>
    </w:p>
    <w:tbl>
      <w:tblPr>
        <w:tblStyle w:val="TableGrid"/>
        <w:tblW w:w="4590" w:type="pct"/>
        <w:tblLook w:val="04A0" w:firstRow="1" w:lastRow="0" w:firstColumn="1" w:lastColumn="0" w:noHBand="0" w:noVBand="1"/>
      </w:tblPr>
      <w:tblGrid>
        <w:gridCol w:w="1295"/>
        <w:gridCol w:w="1128"/>
        <w:gridCol w:w="969"/>
        <w:gridCol w:w="1217"/>
        <w:gridCol w:w="876"/>
        <w:gridCol w:w="1472"/>
        <w:gridCol w:w="640"/>
        <w:gridCol w:w="680"/>
      </w:tblGrid>
      <w:tr w:rsidR="00EB6D56" w:rsidRPr="009A515A" w14:paraId="43536D5A" w14:textId="77777777" w:rsidTr="00DA757E">
        <w:tc>
          <w:tcPr>
            <w:tcW w:w="4164" w:type="pct"/>
            <w:gridSpan w:val="6"/>
            <w:hideMark/>
          </w:tcPr>
          <w:p w14:paraId="6097554E" w14:textId="77777777" w:rsidR="00B31225" w:rsidRPr="009A515A" w:rsidRDefault="00B31225" w:rsidP="00654AD0">
            <w:pPr>
              <w:jc w:val="center"/>
              <w:rPr>
                <w:b/>
                <w:bCs/>
                <w:i/>
                <w:iCs/>
                <w:color w:val="000000" w:themeColor="text1"/>
                <w:sz w:val="20"/>
                <w:szCs w:val="20"/>
              </w:rPr>
            </w:pPr>
            <w:r w:rsidRPr="009A515A">
              <w:rPr>
                <w:b/>
                <w:bCs/>
                <w:i/>
                <w:iCs/>
                <w:color w:val="000000"/>
                <w:sz w:val="20"/>
                <w:szCs w:val="20"/>
              </w:rPr>
              <w:t>Factor Loadings</w:t>
            </w:r>
          </w:p>
        </w:tc>
        <w:tc>
          <w:tcPr>
            <w:tcW w:w="384" w:type="pct"/>
          </w:tcPr>
          <w:p w14:paraId="28B0713F" w14:textId="77777777" w:rsidR="00B31225" w:rsidRPr="009A515A" w:rsidRDefault="00B31225" w:rsidP="00654AD0">
            <w:pPr>
              <w:jc w:val="center"/>
              <w:rPr>
                <w:b/>
                <w:bCs/>
                <w:i/>
                <w:iCs/>
                <w:color w:val="000000" w:themeColor="text1"/>
                <w:sz w:val="20"/>
                <w:szCs w:val="20"/>
              </w:rPr>
            </w:pPr>
          </w:p>
        </w:tc>
        <w:tc>
          <w:tcPr>
            <w:tcW w:w="380" w:type="pct"/>
          </w:tcPr>
          <w:p w14:paraId="13F5448C" w14:textId="77777777" w:rsidR="00B31225" w:rsidRPr="009A515A" w:rsidRDefault="00B31225" w:rsidP="00654AD0">
            <w:pPr>
              <w:jc w:val="center"/>
              <w:rPr>
                <w:b/>
                <w:bCs/>
                <w:i/>
                <w:iCs/>
                <w:color w:val="000000" w:themeColor="text1"/>
                <w:sz w:val="20"/>
                <w:szCs w:val="20"/>
              </w:rPr>
            </w:pPr>
          </w:p>
        </w:tc>
      </w:tr>
      <w:tr w:rsidR="005E6819" w:rsidRPr="009A515A" w14:paraId="4AED22C1" w14:textId="77777777" w:rsidTr="00DA757E">
        <w:tc>
          <w:tcPr>
            <w:tcW w:w="775" w:type="pct"/>
            <w:hideMark/>
          </w:tcPr>
          <w:p w14:paraId="7296DBE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Factor</w:t>
            </w:r>
          </w:p>
        </w:tc>
        <w:tc>
          <w:tcPr>
            <w:tcW w:w="675" w:type="pct"/>
            <w:hideMark/>
          </w:tcPr>
          <w:p w14:paraId="207F0E54"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Indicator</w:t>
            </w:r>
          </w:p>
        </w:tc>
        <w:tc>
          <w:tcPr>
            <w:tcW w:w="581" w:type="pct"/>
            <w:hideMark/>
          </w:tcPr>
          <w:p w14:paraId="4555651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Estimate</w:t>
            </w:r>
          </w:p>
        </w:tc>
        <w:tc>
          <w:tcPr>
            <w:tcW w:w="728" w:type="pct"/>
          </w:tcPr>
          <w:p w14:paraId="7813DC2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Cronbach’s Alpha</w:t>
            </w:r>
          </w:p>
        </w:tc>
        <w:tc>
          <w:tcPr>
            <w:tcW w:w="525" w:type="pct"/>
          </w:tcPr>
          <w:p w14:paraId="2CF191DF"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AVE</w:t>
            </w:r>
          </w:p>
        </w:tc>
        <w:tc>
          <w:tcPr>
            <w:tcW w:w="789" w:type="pct"/>
          </w:tcPr>
          <w:p w14:paraId="4A75D96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SE</w:t>
            </w:r>
          </w:p>
        </w:tc>
        <w:tc>
          <w:tcPr>
            <w:tcW w:w="384" w:type="pct"/>
          </w:tcPr>
          <w:p w14:paraId="2622F40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Z</w:t>
            </w:r>
          </w:p>
        </w:tc>
        <w:tc>
          <w:tcPr>
            <w:tcW w:w="380" w:type="pct"/>
          </w:tcPr>
          <w:p w14:paraId="25F88AAF"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DA757E">
        <w:tc>
          <w:tcPr>
            <w:tcW w:w="775" w:type="pct"/>
            <w:vMerge w:val="restart"/>
            <w:hideMark/>
          </w:tcPr>
          <w:p w14:paraId="065B356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Brand Satisfaction</w:t>
            </w:r>
          </w:p>
        </w:tc>
        <w:tc>
          <w:tcPr>
            <w:tcW w:w="675" w:type="pct"/>
            <w:hideMark/>
          </w:tcPr>
          <w:p w14:paraId="741BC05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BSAT_1</w:t>
            </w:r>
          </w:p>
        </w:tc>
        <w:tc>
          <w:tcPr>
            <w:tcW w:w="581" w:type="pct"/>
            <w:hideMark/>
          </w:tcPr>
          <w:p w14:paraId="67AE142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0.705</w:t>
            </w:r>
          </w:p>
        </w:tc>
        <w:tc>
          <w:tcPr>
            <w:tcW w:w="728" w:type="pct"/>
            <w:vMerge w:val="restart"/>
          </w:tcPr>
          <w:p w14:paraId="1C49156F" w14:textId="77777777" w:rsidR="00651853" w:rsidRPr="009A515A" w:rsidRDefault="00000000" w:rsidP="00654AD0">
            <w:pPr>
              <w:jc w:val="center"/>
            </w:pPr>
            <w:r w:rsidRPr="009A515A">
              <w:t>0.841</w:t>
            </w:r>
          </w:p>
        </w:tc>
        <w:tc>
          <w:tcPr>
            <w:tcW w:w="525" w:type="pct"/>
            <w:vMerge w:val="restart"/>
          </w:tcPr>
          <w:p w14:paraId="3AC80C4E" w14:textId="77777777" w:rsidR="00651853" w:rsidRPr="009A515A" w:rsidRDefault="00000000" w:rsidP="00654AD0">
            <w:pPr>
              <w:jc w:val="center"/>
            </w:pPr>
            <w:r w:rsidRPr="009A515A">
              <w:t>0.514</w:t>
            </w:r>
          </w:p>
        </w:tc>
        <w:tc>
          <w:tcPr>
            <w:tcW w:w="789" w:type="pct"/>
          </w:tcPr>
          <w:p w14:paraId="278CE30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0.0323</w:t>
            </w:r>
          </w:p>
        </w:tc>
        <w:tc>
          <w:tcPr>
            <w:tcW w:w="384" w:type="pct"/>
          </w:tcPr>
          <w:p w14:paraId="62EE637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21.8</w:t>
            </w:r>
          </w:p>
        </w:tc>
        <w:tc>
          <w:tcPr>
            <w:tcW w:w="380" w:type="pct"/>
          </w:tcPr>
          <w:p w14:paraId="6E6A1FC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DA757E">
        <w:tc>
          <w:tcPr>
            <w:tcW w:w="775" w:type="pct"/>
            <w:vMerge/>
            <w:hideMark/>
          </w:tcPr>
          <w:p w14:paraId="18B4FEF1" w14:textId="77777777" w:rsidR="00EB6D56" w:rsidRPr="009A515A" w:rsidRDefault="00EB6D56" w:rsidP="00654AD0">
            <w:pPr>
              <w:jc w:val="center"/>
              <w:rPr>
                <w:b/>
                <w:bCs/>
                <w:i/>
                <w:iCs/>
                <w:color w:val="000000" w:themeColor="text1"/>
                <w:sz w:val="20"/>
                <w:szCs w:val="20"/>
              </w:rPr>
            </w:pPr>
          </w:p>
        </w:tc>
        <w:tc>
          <w:tcPr>
            <w:tcW w:w="675" w:type="pct"/>
            <w:hideMark/>
          </w:tcPr>
          <w:p w14:paraId="72A51EA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BSAT_2</w:t>
            </w:r>
          </w:p>
        </w:tc>
        <w:tc>
          <w:tcPr>
            <w:tcW w:w="581" w:type="pct"/>
            <w:hideMark/>
          </w:tcPr>
          <w:p w14:paraId="43966C0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0.741</w:t>
            </w:r>
          </w:p>
        </w:tc>
        <w:tc>
          <w:tcPr>
            <w:tcW w:w="728" w:type="pct"/>
            <w:vMerge/>
          </w:tcPr>
          <w:p w14:paraId="7CBAFD37" w14:textId="77777777" w:rsidR="00EB6D56" w:rsidRPr="009A515A" w:rsidRDefault="00EB6D56" w:rsidP="00654AD0">
            <w:pPr>
              <w:jc w:val="center"/>
              <w:rPr>
                <w:b/>
                <w:bCs/>
                <w:i/>
                <w:iCs/>
                <w:color w:val="000000" w:themeColor="text1"/>
                <w:sz w:val="20"/>
                <w:szCs w:val="20"/>
              </w:rPr>
            </w:pPr>
          </w:p>
        </w:tc>
        <w:tc>
          <w:tcPr>
            <w:tcW w:w="525" w:type="pct"/>
            <w:vMerge/>
          </w:tcPr>
          <w:p w14:paraId="2C911B6C" w14:textId="77777777" w:rsidR="00EB6D56" w:rsidRPr="009A515A" w:rsidRDefault="00EB6D56" w:rsidP="00654AD0">
            <w:pPr>
              <w:jc w:val="center"/>
              <w:rPr>
                <w:b/>
                <w:bCs/>
                <w:i/>
                <w:iCs/>
                <w:color w:val="000000" w:themeColor="text1"/>
                <w:sz w:val="20"/>
                <w:szCs w:val="20"/>
              </w:rPr>
            </w:pPr>
          </w:p>
        </w:tc>
        <w:tc>
          <w:tcPr>
            <w:tcW w:w="789" w:type="pct"/>
          </w:tcPr>
          <w:p w14:paraId="55D5BC0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0.0337</w:t>
            </w:r>
          </w:p>
        </w:tc>
        <w:tc>
          <w:tcPr>
            <w:tcW w:w="384" w:type="pct"/>
          </w:tcPr>
          <w:p w14:paraId="039C12F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158F87B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DA757E">
        <w:tc>
          <w:tcPr>
            <w:tcW w:w="775" w:type="pct"/>
            <w:vMerge/>
            <w:hideMark/>
          </w:tcPr>
          <w:p w14:paraId="62BEB734" w14:textId="77777777" w:rsidR="00EB6D56" w:rsidRPr="009A515A" w:rsidRDefault="00EB6D56" w:rsidP="00654AD0">
            <w:pPr>
              <w:jc w:val="center"/>
              <w:rPr>
                <w:b/>
                <w:bCs/>
                <w:i/>
                <w:iCs/>
                <w:color w:val="000000" w:themeColor="text1"/>
                <w:sz w:val="20"/>
                <w:szCs w:val="20"/>
              </w:rPr>
            </w:pPr>
          </w:p>
        </w:tc>
        <w:tc>
          <w:tcPr>
            <w:tcW w:w="675" w:type="pct"/>
            <w:hideMark/>
          </w:tcPr>
          <w:p w14:paraId="4987339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BSAT_3</w:t>
            </w:r>
          </w:p>
        </w:tc>
        <w:tc>
          <w:tcPr>
            <w:tcW w:w="581" w:type="pct"/>
            <w:hideMark/>
          </w:tcPr>
          <w:p w14:paraId="62D2D85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0.721</w:t>
            </w:r>
          </w:p>
        </w:tc>
        <w:tc>
          <w:tcPr>
            <w:tcW w:w="728" w:type="pct"/>
            <w:vMerge/>
          </w:tcPr>
          <w:p w14:paraId="4DC222B9" w14:textId="77777777" w:rsidR="00EB6D56" w:rsidRPr="009A515A" w:rsidRDefault="00EB6D56" w:rsidP="00654AD0">
            <w:pPr>
              <w:jc w:val="center"/>
              <w:rPr>
                <w:b/>
                <w:bCs/>
                <w:i/>
                <w:iCs/>
                <w:color w:val="000000" w:themeColor="text1"/>
                <w:sz w:val="20"/>
                <w:szCs w:val="20"/>
              </w:rPr>
            </w:pPr>
          </w:p>
        </w:tc>
        <w:tc>
          <w:tcPr>
            <w:tcW w:w="525" w:type="pct"/>
            <w:vMerge/>
          </w:tcPr>
          <w:p w14:paraId="2BBAF7FD" w14:textId="77777777" w:rsidR="00EB6D56" w:rsidRPr="009A515A" w:rsidRDefault="00EB6D56" w:rsidP="00654AD0">
            <w:pPr>
              <w:jc w:val="center"/>
              <w:rPr>
                <w:b/>
                <w:bCs/>
                <w:i/>
                <w:iCs/>
                <w:color w:val="000000" w:themeColor="text1"/>
                <w:sz w:val="20"/>
                <w:szCs w:val="20"/>
              </w:rPr>
            </w:pPr>
          </w:p>
        </w:tc>
        <w:tc>
          <w:tcPr>
            <w:tcW w:w="789" w:type="pct"/>
          </w:tcPr>
          <w:p w14:paraId="3EC8642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28B6EB5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21.9</w:t>
            </w:r>
          </w:p>
        </w:tc>
        <w:tc>
          <w:tcPr>
            <w:tcW w:w="380" w:type="pct"/>
          </w:tcPr>
          <w:p w14:paraId="0C6EFA7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DA757E">
        <w:tc>
          <w:tcPr>
            <w:tcW w:w="775" w:type="pct"/>
            <w:vMerge/>
            <w:hideMark/>
          </w:tcPr>
          <w:p w14:paraId="13F86175" w14:textId="77777777" w:rsidR="00EB6D56" w:rsidRPr="009A515A" w:rsidRDefault="00EB6D56" w:rsidP="00654AD0">
            <w:pPr>
              <w:jc w:val="center"/>
              <w:rPr>
                <w:b/>
                <w:bCs/>
                <w:i/>
                <w:iCs/>
                <w:color w:val="000000" w:themeColor="text1"/>
                <w:sz w:val="20"/>
                <w:szCs w:val="20"/>
              </w:rPr>
            </w:pPr>
          </w:p>
        </w:tc>
        <w:tc>
          <w:tcPr>
            <w:tcW w:w="675" w:type="pct"/>
            <w:hideMark/>
          </w:tcPr>
          <w:p w14:paraId="3ABF84F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BSAT_4</w:t>
            </w:r>
          </w:p>
        </w:tc>
        <w:tc>
          <w:tcPr>
            <w:tcW w:w="581" w:type="pct"/>
            <w:hideMark/>
          </w:tcPr>
          <w:p w14:paraId="605CF22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0.719</w:t>
            </w:r>
          </w:p>
        </w:tc>
        <w:tc>
          <w:tcPr>
            <w:tcW w:w="728" w:type="pct"/>
            <w:vMerge/>
          </w:tcPr>
          <w:p w14:paraId="68C30774" w14:textId="77777777" w:rsidR="00EB6D56" w:rsidRPr="009A515A" w:rsidRDefault="00EB6D56" w:rsidP="00654AD0">
            <w:pPr>
              <w:jc w:val="center"/>
              <w:rPr>
                <w:b/>
                <w:bCs/>
                <w:i/>
                <w:iCs/>
                <w:color w:val="000000" w:themeColor="text1"/>
                <w:sz w:val="20"/>
                <w:szCs w:val="20"/>
              </w:rPr>
            </w:pPr>
          </w:p>
        </w:tc>
        <w:tc>
          <w:tcPr>
            <w:tcW w:w="525" w:type="pct"/>
            <w:vMerge/>
          </w:tcPr>
          <w:p w14:paraId="1D01D0F3" w14:textId="77777777" w:rsidR="00EB6D56" w:rsidRPr="009A515A" w:rsidRDefault="00EB6D56" w:rsidP="00654AD0">
            <w:pPr>
              <w:jc w:val="center"/>
              <w:rPr>
                <w:b/>
                <w:bCs/>
                <w:i/>
                <w:iCs/>
                <w:color w:val="000000" w:themeColor="text1"/>
                <w:sz w:val="20"/>
                <w:szCs w:val="20"/>
              </w:rPr>
            </w:pPr>
          </w:p>
        </w:tc>
        <w:tc>
          <w:tcPr>
            <w:tcW w:w="789" w:type="pct"/>
          </w:tcPr>
          <w:p w14:paraId="69B9ABA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0.0335</w:t>
            </w:r>
          </w:p>
        </w:tc>
        <w:tc>
          <w:tcPr>
            <w:tcW w:w="384" w:type="pct"/>
          </w:tcPr>
          <w:p w14:paraId="12FB1A6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630E17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DA757E">
        <w:tc>
          <w:tcPr>
            <w:tcW w:w="775" w:type="pct"/>
            <w:vMerge/>
            <w:hideMark/>
          </w:tcPr>
          <w:p w14:paraId="1CDC41EF" w14:textId="77777777" w:rsidR="00EB6D56" w:rsidRPr="009A515A" w:rsidRDefault="00EB6D56" w:rsidP="00654AD0">
            <w:pPr>
              <w:jc w:val="center"/>
              <w:rPr>
                <w:b/>
                <w:bCs/>
                <w:i/>
                <w:iCs/>
                <w:color w:val="000000" w:themeColor="text1"/>
                <w:sz w:val="20"/>
                <w:szCs w:val="20"/>
              </w:rPr>
            </w:pPr>
          </w:p>
        </w:tc>
        <w:tc>
          <w:tcPr>
            <w:tcW w:w="675" w:type="pct"/>
            <w:hideMark/>
          </w:tcPr>
          <w:p w14:paraId="48DA3B4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BSAT_5</w:t>
            </w:r>
          </w:p>
        </w:tc>
        <w:tc>
          <w:tcPr>
            <w:tcW w:w="581" w:type="pct"/>
            <w:hideMark/>
          </w:tcPr>
          <w:p w14:paraId="7721CBC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0.699</w:t>
            </w:r>
          </w:p>
        </w:tc>
        <w:tc>
          <w:tcPr>
            <w:tcW w:w="728" w:type="pct"/>
            <w:vMerge/>
          </w:tcPr>
          <w:p w14:paraId="66931364" w14:textId="77777777" w:rsidR="00EB6D56" w:rsidRPr="009A515A" w:rsidRDefault="00EB6D56" w:rsidP="00654AD0">
            <w:pPr>
              <w:jc w:val="center"/>
              <w:rPr>
                <w:b/>
                <w:bCs/>
                <w:i/>
                <w:iCs/>
                <w:color w:val="000000" w:themeColor="text1"/>
                <w:sz w:val="20"/>
                <w:szCs w:val="20"/>
              </w:rPr>
            </w:pPr>
          </w:p>
        </w:tc>
        <w:tc>
          <w:tcPr>
            <w:tcW w:w="525" w:type="pct"/>
            <w:vMerge/>
          </w:tcPr>
          <w:p w14:paraId="335BC077" w14:textId="77777777" w:rsidR="00EB6D56" w:rsidRPr="009A515A" w:rsidRDefault="00EB6D56" w:rsidP="00654AD0">
            <w:pPr>
              <w:jc w:val="center"/>
              <w:rPr>
                <w:b/>
                <w:bCs/>
                <w:i/>
                <w:iCs/>
                <w:color w:val="000000" w:themeColor="text1"/>
                <w:sz w:val="20"/>
                <w:szCs w:val="20"/>
              </w:rPr>
            </w:pPr>
          </w:p>
        </w:tc>
        <w:tc>
          <w:tcPr>
            <w:tcW w:w="789" w:type="pct"/>
          </w:tcPr>
          <w:p w14:paraId="61F3669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51B405D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2504E5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DA757E">
        <w:tc>
          <w:tcPr>
            <w:tcW w:w="775" w:type="pct"/>
            <w:vMerge w:val="restart"/>
            <w:hideMark/>
          </w:tcPr>
          <w:p w14:paraId="380329B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User Engagement</w:t>
            </w:r>
          </w:p>
        </w:tc>
        <w:tc>
          <w:tcPr>
            <w:tcW w:w="675" w:type="pct"/>
            <w:hideMark/>
          </w:tcPr>
          <w:p w14:paraId="6C638F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UE_1</w:t>
            </w:r>
          </w:p>
        </w:tc>
        <w:tc>
          <w:tcPr>
            <w:tcW w:w="581" w:type="pct"/>
            <w:hideMark/>
          </w:tcPr>
          <w:p w14:paraId="427B27D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0.684</w:t>
            </w:r>
          </w:p>
        </w:tc>
        <w:tc>
          <w:tcPr>
            <w:tcW w:w="728" w:type="pct"/>
            <w:vMerge w:val="restart"/>
          </w:tcPr>
          <w:p w14:paraId="09B48015" w14:textId="77777777" w:rsidR="00651853" w:rsidRPr="009A515A" w:rsidRDefault="00000000" w:rsidP="00654AD0">
            <w:pPr>
              <w:jc w:val="center"/>
            </w:pPr>
            <w:r w:rsidRPr="009A515A">
              <w:t>0.903</w:t>
            </w:r>
          </w:p>
        </w:tc>
        <w:tc>
          <w:tcPr>
            <w:tcW w:w="525" w:type="pct"/>
            <w:vMerge w:val="restart"/>
          </w:tcPr>
          <w:p w14:paraId="6CA26DB5" w14:textId="77777777" w:rsidR="00651853" w:rsidRPr="009A515A" w:rsidRDefault="00000000" w:rsidP="00654AD0">
            <w:pPr>
              <w:jc w:val="center"/>
            </w:pPr>
            <w:r w:rsidRPr="009A515A">
              <w:t>0.481</w:t>
            </w:r>
          </w:p>
        </w:tc>
        <w:tc>
          <w:tcPr>
            <w:tcW w:w="789" w:type="pct"/>
          </w:tcPr>
          <w:p w14:paraId="2E57AEE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0.0322</w:t>
            </w:r>
          </w:p>
        </w:tc>
        <w:tc>
          <w:tcPr>
            <w:tcW w:w="384" w:type="pct"/>
          </w:tcPr>
          <w:p w14:paraId="74DE321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B3418C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DA757E">
        <w:tc>
          <w:tcPr>
            <w:tcW w:w="775" w:type="pct"/>
            <w:vMerge/>
            <w:hideMark/>
          </w:tcPr>
          <w:p w14:paraId="5D987679" w14:textId="77777777" w:rsidR="00EB6D56" w:rsidRPr="009A515A" w:rsidRDefault="00EB6D56" w:rsidP="00654AD0">
            <w:pPr>
              <w:jc w:val="center"/>
              <w:rPr>
                <w:b/>
                <w:bCs/>
                <w:i/>
                <w:iCs/>
                <w:color w:val="000000" w:themeColor="text1"/>
                <w:sz w:val="20"/>
                <w:szCs w:val="20"/>
              </w:rPr>
            </w:pPr>
          </w:p>
        </w:tc>
        <w:tc>
          <w:tcPr>
            <w:tcW w:w="675" w:type="pct"/>
            <w:hideMark/>
          </w:tcPr>
          <w:p w14:paraId="3D05EDB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UE_2</w:t>
            </w:r>
          </w:p>
        </w:tc>
        <w:tc>
          <w:tcPr>
            <w:tcW w:w="581" w:type="pct"/>
            <w:hideMark/>
          </w:tcPr>
          <w:p w14:paraId="277DD66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0.696</w:t>
            </w:r>
          </w:p>
        </w:tc>
        <w:tc>
          <w:tcPr>
            <w:tcW w:w="728" w:type="pct"/>
            <w:vMerge/>
          </w:tcPr>
          <w:p w14:paraId="219630F7" w14:textId="77777777" w:rsidR="00EB6D56" w:rsidRPr="009A515A" w:rsidRDefault="00EB6D56" w:rsidP="00654AD0">
            <w:pPr>
              <w:jc w:val="center"/>
              <w:rPr>
                <w:b/>
                <w:bCs/>
                <w:i/>
                <w:iCs/>
                <w:color w:val="000000" w:themeColor="text1"/>
                <w:sz w:val="20"/>
                <w:szCs w:val="20"/>
              </w:rPr>
            </w:pPr>
          </w:p>
        </w:tc>
        <w:tc>
          <w:tcPr>
            <w:tcW w:w="525" w:type="pct"/>
            <w:vMerge/>
          </w:tcPr>
          <w:p w14:paraId="19E13286" w14:textId="77777777" w:rsidR="00EB6D56" w:rsidRPr="009A515A" w:rsidRDefault="00EB6D56" w:rsidP="00654AD0">
            <w:pPr>
              <w:jc w:val="center"/>
              <w:rPr>
                <w:b/>
                <w:bCs/>
                <w:i/>
                <w:iCs/>
                <w:color w:val="000000" w:themeColor="text1"/>
                <w:sz w:val="20"/>
                <w:szCs w:val="20"/>
              </w:rPr>
            </w:pPr>
          </w:p>
        </w:tc>
        <w:tc>
          <w:tcPr>
            <w:tcW w:w="789" w:type="pct"/>
          </w:tcPr>
          <w:p w14:paraId="6F5BFA6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36A1EBF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21.4</w:t>
            </w:r>
          </w:p>
        </w:tc>
        <w:tc>
          <w:tcPr>
            <w:tcW w:w="380" w:type="pct"/>
          </w:tcPr>
          <w:p w14:paraId="7CE6B64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DA757E">
        <w:tc>
          <w:tcPr>
            <w:tcW w:w="775" w:type="pct"/>
            <w:vMerge/>
            <w:hideMark/>
          </w:tcPr>
          <w:p w14:paraId="7AEFA3F1" w14:textId="77777777" w:rsidR="00EB6D56" w:rsidRPr="009A515A" w:rsidRDefault="00EB6D56" w:rsidP="00654AD0">
            <w:pPr>
              <w:jc w:val="center"/>
              <w:rPr>
                <w:b/>
                <w:bCs/>
                <w:i/>
                <w:iCs/>
                <w:color w:val="000000" w:themeColor="text1"/>
                <w:sz w:val="20"/>
                <w:szCs w:val="20"/>
              </w:rPr>
            </w:pPr>
          </w:p>
        </w:tc>
        <w:tc>
          <w:tcPr>
            <w:tcW w:w="675" w:type="pct"/>
            <w:hideMark/>
          </w:tcPr>
          <w:p w14:paraId="567143B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UE_3</w:t>
            </w:r>
          </w:p>
        </w:tc>
        <w:tc>
          <w:tcPr>
            <w:tcW w:w="581" w:type="pct"/>
            <w:hideMark/>
          </w:tcPr>
          <w:p w14:paraId="5240BF2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18F1B03B" w14:textId="77777777" w:rsidR="00EB6D56" w:rsidRPr="009A515A" w:rsidRDefault="00EB6D56" w:rsidP="00654AD0">
            <w:pPr>
              <w:jc w:val="center"/>
              <w:rPr>
                <w:b/>
                <w:bCs/>
                <w:i/>
                <w:iCs/>
                <w:color w:val="000000" w:themeColor="text1"/>
                <w:sz w:val="20"/>
                <w:szCs w:val="20"/>
              </w:rPr>
            </w:pPr>
          </w:p>
        </w:tc>
        <w:tc>
          <w:tcPr>
            <w:tcW w:w="525" w:type="pct"/>
            <w:vMerge/>
          </w:tcPr>
          <w:p w14:paraId="0B028D58" w14:textId="77777777" w:rsidR="00EB6D56" w:rsidRPr="009A515A" w:rsidRDefault="00EB6D56" w:rsidP="00654AD0">
            <w:pPr>
              <w:jc w:val="center"/>
              <w:rPr>
                <w:b/>
                <w:bCs/>
                <w:i/>
                <w:iCs/>
                <w:color w:val="000000" w:themeColor="text1"/>
                <w:sz w:val="20"/>
                <w:szCs w:val="20"/>
              </w:rPr>
            </w:pPr>
          </w:p>
        </w:tc>
        <w:tc>
          <w:tcPr>
            <w:tcW w:w="789" w:type="pct"/>
          </w:tcPr>
          <w:p w14:paraId="7BF52E8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0805D3E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629FBC1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DA757E">
        <w:tc>
          <w:tcPr>
            <w:tcW w:w="775" w:type="pct"/>
            <w:vMerge/>
            <w:hideMark/>
          </w:tcPr>
          <w:p w14:paraId="14D38F97" w14:textId="77777777" w:rsidR="00EB6D56" w:rsidRPr="009A515A" w:rsidRDefault="00EB6D56" w:rsidP="00654AD0">
            <w:pPr>
              <w:jc w:val="center"/>
              <w:rPr>
                <w:b/>
                <w:bCs/>
                <w:i/>
                <w:iCs/>
                <w:color w:val="000000" w:themeColor="text1"/>
                <w:sz w:val="20"/>
                <w:szCs w:val="20"/>
              </w:rPr>
            </w:pPr>
          </w:p>
        </w:tc>
        <w:tc>
          <w:tcPr>
            <w:tcW w:w="675" w:type="pct"/>
            <w:hideMark/>
          </w:tcPr>
          <w:p w14:paraId="13384F3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UE_4</w:t>
            </w:r>
          </w:p>
        </w:tc>
        <w:tc>
          <w:tcPr>
            <w:tcW w:w="581" w:type="pct"/>
            <w:hideMark/>
          </w:tcPr>
          <w:p w14:paraId="72432BF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0.684</w:t>
            </w:r>
          </w:p>
        </w:tc>
        <w:tc>
          <w:tcPr>
            <w:tcW w:w="728" w:type="pct"/>
            <w:vMerge/>
          </w:tcPr>
          <w:p w14:paraId="15FABE22" w14:textId="77777777" w:rsidR="00EB6D56" w:rsidRPr="009A515A" w:rsidRDefault="00EB6D56" w:rsidP="00654AD0">
            <w:pPr>
              <w:jc w:val="center"/>
              <w:rPr>
                <w:b/>
                <w:bCs/>
                <w:i/>
                <w:iCs/>
                <w:color w:val="000000" w:themeColor="text1"/>
                <w:sz w:val="20"/>
                <w:szCs w:val="20"/>
              </w:rPr>
            </w:pPr>
          </w:p>
        </w:tc>
        <w:tc>
          <w:tcPr>
            <w:tcW w:w="525" w:type="pct"/>
            <w:vMerge/>
          </w:tcPr>
          <w:p w14:paraId="4F5CED8D" w14:textId="77777777" w:rsidR="00EB6D56" w:rsidRPr="009A515A" w:rsidRDefault="00EB6D56" w:rsidP="00654AD0">
            <w:pPr>
              <w:jc w:val="center"/>
              <w:rPr>
                <w:b/>
                <w:bCs/>
                <w:i/>
                <w:iCs/>
                <w:color w:val="000000" w:themeColor="text1"/>
                <w:sz w:val="20"/>
                <w:szCs w:val="20"/>
              </w:rPr>
            </w:pPr>
          </w:p>
        </w:tc>
        <w:tc>
          <w:tcPr>
            <w:tcW w:w="789" w:type="pct"/>
          </w:tcPr>
          <w:p w14:paraId="3B1213D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0.0334</w:t>
            </w:r>
          </w:p>
        </w:tc>
        <w:tc>
          <w:tcPr>
            <w:tcW w:w="384" w:type="pct"/>
          </w:tcPr>
          <w:p w14:paraId="3F8FDBD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20.5</w:t>
            </w:r>
          </w:p>
        </w:tc>
        <w:tc>
          <w:tcPr>
            <w:tcW w:w="380" w:type="pct"/>
          </w:tcPr>
          <w:p w14:paraId="0CF2DFC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DA757E">
        <w:tc>
          <w:tcPr>
            <w:tcW w:w="775" w:type="pct"/>
            <w:vMerge/>
            <w:hideMark/>
          </w:tcPr>
          <w:p w14:paraId="164699A8" w14:textId="77777777" w:rsidR="00EB6D56" w:rsidRPr="009A515A" w:rsidRDefault="00EB6D56" w:rsidP="00654AD0">
            <w:pPr>
              <w:jc w:val="center"/>
              <w:rPr>
                <w:b/>
                <w:bCs/>
                <w:i/>
                <w:iCs/>
                <w:color w:val="000000" w:themeColor="text1"/>
                <w:sz w:val="20"/>
                <w:szCs w:val="20"/>
              </w:rPr>
            </w:pPr>
          </w:p>
        </w:tc>
        <w:tc>
          <w:tcPr>
            <w:tcW w:w="675" w:type="pct"/>
            <w:hideMark/>
          </w:tcPr>
          <w:p w14:paraId="2D817F1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UE_5</w:t>
            </w:r>
          </w:p>
        </w:tc>
        <w:tc>
          <w:tcPr>
            <w:tcW w:w="581" w:type="pct"/>
            <w:hideMark/>
          </w:tcPr>
          <w:p w14:paraId="5BF5BD5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0.698</w:t>
            </w:r>
          </w:p>
        </w:tc>
        <w:tc>
          <w:tcPr>
            <w:tcW w:w="728" w:type="pct"/>
            <w:vMerge/>
          </w:tcPr>
          <w:p w14:paraId="7D6DBBF2" w14:textId="77777777" w:rsidR="00EB6D56" w:rsidRPr="009A515A" w:rsidRDefault="00EB6D56" w:rsidP="00654AD0">
            <w:pPr>
              <w:jc w:val="center"/>
              <w:rPr>
                <w:b/>
                <w:bCs/>
                <w:i/>
                <w:iCs/>
                <w:color w:val="000000" w:themeColor="text1"/>
                <w:sz w:val="20"/>
                <w:szCs w:val="20"/>
              </w:rPr>
            </w:pPr>
          </w:p>
        </w:tc>
        <w:tc>
          <w:tcPr>
            <w:tcW w:w="525" w:type="pct"/>
            <w:vMerge/>
          </w:tcPr>
          <w:p w14:paraId="75D03117" w14:textId="77777777" w:rsidR="00EB6D56" w:rsidRPr="009A515A" w:rsidRDefault="00EB6D56" w:rsidP="00654AD0">
            <w:pPr>
              <w:jc w:val="center"/>
              <w:rPr>
                <w:b/>
                <w:bCs/>
                <w:i/>
                <w:iCs/>
                <w:color w:val="000000" w:themeColor="text1"/>
                <w:sz w:val="20"/>
                <w:szCs w:val="20"/>
              </w:rPr>
            </w:pPr>
          </w:p>
        </w:tc>
        <w:tc>
          <w:tcPr>
            <w:tcW w:w="789" w:type="pct"/>
          </w:tcPr>
          <w:p w14:paraId="4EF83B1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0.0327</w:t>
            </w:r>
          </w:p>
        </w:tc>
        <w:tc>
          <w:tcPr>
            <w:tcW w:w="384" w:type="pct"/>
          </w:tcPr>
          <w:p w14:paraId="23FEAA7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7BDE159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DA757E">
        <w:tc>
          <w:tcPr>
            <w:tcW w:w="775" w:type="pct"/>
            <w:vMerge/>
            <w:hideMark/>
          </w:tcPr>
          <w:p w14:paraId="118C9196" w14:textId="77777777" w:rsidR="00EB6D56" w:rsidRPr="009A515A" w:rsidRDefault="00EB6D56" w:rsidP="00654AD0">
            <w:pPr>
              <w:jc w:val="center"/>
              <w:rPr>
                <w:b/>
                <w:bCs/>
                <w:i/>
                <w:iCs/>
                <w:color w:val="000000" w:themeColor="text1"/>
                <w:sz w:val="20"/>
                <w:szCs w:val="20"/>
              </w:rPr>
            </w:pPr>
          </w:p>
        </w:tc>
        <w:tc>
          <w:tcPr>
            <w:tcW w:w="675" w:type="pct"/>
            <w:hideMark/>
          </w:tcPr>
          <w:p w14:paraId="58B9D9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UE_6</w:t>
            </w:r>
          </w:p>
        </w:tc>
        <w:tc>
          <w:tcPr>
            <w:tcW w:w="581" w:type="pct"/>
            <w:hideMark/>
          </w:tcPr>
          <w:p w14:paraId="6CD010B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0.705</w:t>
            </w:r>
          </w:p>
        </w:tc>
        <w:tc>
          <w:tcPr>
            <w:tcW w:w="728" w:type="pct"/>
            <w:vMerge/>
          </w:tcPr>
          <w:p w14:paraId="051F0E1C" w14:textId="77777777" w:rsidR="00EB6D56" w:rsidRPr="009A515A" w:rsidRDefault="00EB6D56" w:rsidP="00654AD0">
            <w:pPr>
              <w:jc w:val="center"/>
              <w:rPr>
                <w:b/>
                <w:bCs/>
                <w:i/>
                <w:iCs/>
                <w:color w:val="000000" w:themeColor="text1"/>
                <w:sz w:val="20"/>
                <w:szCs w:val="20"/>
              </w:rPr>
            </w:pPr>
          </w:p>
        </w:tc>
        <w:tc>
          <w:tcPr>
            <w:tcW w:w="525" w:type="pct"/>
            <w:vMerge/>
          </w:tcPr>
          <w:p w14:paraId="136D0DC9" w14:textId="77777777" w:rsidR="00EB6D56" w:rsidRPr="009A515A" w:rsidRDefault="00EB6D56" w:rsidP="00654AD0">
            <w:pPr>
              <w:jc w:val="center"/>
              <w:rPr>
                <w:b/>
                <w:bCs/>
                <w:i/>
                <w:iCs/>
                <w:color w:val="000000" w:themeColor="text1"/>
                <w:sz w:val="20"/>
                <w:szCs w:val="20"/>
              </w:rPr>
            </w:pPr>
          </w:p>
        </w:tc>
        <w:tc>
          <w:tcPr>
            <w:tcW w:w="789" w:type="pct"/>
          </w:tcPr>
          <w:p w14:paraId="59B681A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4999C9C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BDDA6E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DA757E">
        <w:tc>
          <w:tcPr>
            <w:tcW w:w="775" w:type="pct"/>
            <w:vMerge/>
            <w:hideMark/>
          </w:tcPr>
          <w:p w14:paraId="038E150C" w14:textId="77777777" w:rsidR="00EB6D56" w:rsidRPr="009A515A" w:rsidRDefault="00EB6D56" w:rsidP="00654AD0">
            <w:pPr>
              <w:jc w:val="center"/>
              <w:rPr>
                <w:b/>
                <w:bCs/>
                <w:i/>
                <w:iCs/>
                <w:color w:val="000000" w:themeColor="text1"/>
                <w:sz w:val="20"/>
                <w:szCs w:val="20"/>
              </w:rPr>
            </w:pPr>
          </w:p>
        </w:tc>
        <w:tc>
          <w:tcPr>
            <w:tcW w:w="675" w:type="pct"/>
            <w:hideMark/>
          </w:tcPr>
          <w:p w14:paraId="7CCA20D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UE_7</w:t>
            </w:r>
          </w:p>
        </w:tc>
        <w:tc>
          <w:tcPr>
            <w:tcW w:w="581" w:type="pct"/>
            <w:hideMark/>
          </w:tcPr>
          <w:p w14:paraId="715A836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0.677</w:t>
            </w:r>
          </w:p>
        </w:tc>
        <w:tc>
          <w:tcPr>
            <w:tcW w:w="728" w:type="pct"/>
            <w:vMerge/>
          </w:tcPr>
          <w:p w14:paraId="387052E6" w14:textId="77777777" w:rsidR="00EB6D56" w:rsidRPr="009A515A" w:rsidRDefault="00EB6D56" w:rsidP="00654AD0">
            <w:pPr>
              <w:jc w:val="center"/>
              <w:rPr>
                <w:b/>
                <w:bCs/>
                <w:i/>
                <w:iCs/>
                <w:color w:val="000000" w:themeColor="text1"/>
                <w:sz w:val="20"/>
                <w:szCs w:val="20"/>
              </w:rPr>
            </w:pPr>
          </w:p>
        </w:tc>
        <w:tc>
          <w:tcPr>
            <w:tcW w:w="525" w:type="pct"/>
            <w:vMerge/>
          </w:tcPr>
          <w:p w14:paraId="48290FDB" w14:textId="77777777" w:rsidR="00EB6D56" w:rsidRPr="009A515A" w:rsidRDefault="00EB6D56" w:rsidP="00654AD0">
            <w:pPr>
              <w:jc w:val="center"/>
              <w:rPr>
                <w:b/>
                <w:bCs/>
                <w:i/>
                <w:iCs/>
                <w:color w:val="000000" w:themeColor="text1"/>
                <w:sz w:val="20"/>
                <w:szCs w:val="20"/>
              </w:rPr>
            </w:pPr>
          </w:p>
        </w:tc>
        <w:tc>
          <w:tcPr>
            <w:tcW w:w="789" w:type="pct"/>
          </w:tcPr>
          <w:p w14:paraId="6A52174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0.0323</w:t>
            </w:r>
          </w:p>
        </w:tc>
        <w:tc>
          <w:tcPr>
            <w:tcW w:w="384" w:type="pct"/>
          </w:tcPr>
          <w:p w14:paraId="6A53ED0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20.9</w:t>
            </w:r>
          </w:p>
        </w:tc>
        <w:tc>
          <w:tcPr>
            <w:tcW w:w="380" w:type="pct"/>
          </w:tcPr>
          <w:p w14:paraId="30B86D5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DA757E">
        <w:tc>
          <w:tcPr>
            <w:tcW w:w="775" w:type="pct"/>
            <w:vMerge/>
            <w:hideMark/>
          </w:tcPr>
          <w:p w14:paraId="11AA3DEB" w14:textId="77777777" w:rsidR="00EB6D56" w:rsidRPr="009A515A" w:rsidRDefault="00EB6D56" w:rsidP="00654AD0">
            <w:pPr>
              <w:jc w:val="center"/>
              <w:rPr>
                <w:b/>
                <w:bCs/>
                <w:i/>
                <w:iCs/>
                <w:color w:val="000000" w:themeColor="text1"/>
                <w:sz w:val="20"/>
                <w:szCs w:val="20"/>
              </w:rPr>
            </w:pPr>
          </w:p>
        </w:tc>
        <w:tc>
          <w:tcPr>
            <w:tcW w:w="675" w:type="pct"/>
            <w:hideMark/>
          </w:tcPr>
          <w:p w14:paraId="4B162D5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UE_8</w:t>
            </w:r>
          </w:p>
        </w:tc>
        <w:tc>
          <w:tcPr>
            <w:tcW w:w="581" w:type="pct"/>
            <w:hideMark/>
          </w:tcPr>
          <w:p w14:paraId="2CD5918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0.707</w:t>
            </w:r>
          </w:p>
        </w:tc>
        <w:tc>
          <w:tcPr>
            <w:tcW w:w="728" w:type="pct"/>
            <w:vMerge/>
          </w:tcPr>
          <w:p w14:paraId="183CFA15" w14:textId="77777777" w:rsidR="00EB6D56" w:rsidRPr="009A515A" w:rsidRDefault="00EB6D56" w:rsidP="00654AD0">
            <w:pPr>
              <w:jc w:val="center"/>
              <w:rPr>
                <w:b/>
                <w:bCs/>
                <w:i/>
                <w:iCs/>
                <w:color w:val="000000" w:themeColor="text1"/>
                <w:sz w:val="20"/>
                <w:szCs w:val="20"/>
              </w:rPr>
            </w:pPr>
          </w:p>
        </w:tc>
        <w:tc>
          <w:tcPr>
            <w:tcW w:w="525" w:type="pct"/>
            <w:vMerge/>
          </w:tcPr>
          <w:p w14:paraId="7652ABC7" w14:textId="77777777" w:rsidR="00EB6D56" w:rsidRPr="009A515A" w:rsidRDefault="00EB6D56" w:rsidP="00654AD0">
            <w:pPr>
              <w:jc w:val="center"/>
              <w:rPr>
                <w:b/>
                <w:bCs/>
                <w:i/>
                <w:iCs/>
                <w:color w:val="000000" w:themeColor="text1"/>
                <w:sz w:val="20"/>
                <w:szCs w:val="20"/>
              </w:rPr>
            </w:pPr>
          </w:p>
        </w:tc>
        <w:tc>
          <w:tcPr>
            <w:tcW w:w="789" w:type="pct"/>
          </w:tcPr>
          <w:p w14:paraId="5C94DB5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0.0326</w:t>
            </w:r>
          </w:p>
        </w:tc>
        <w:tc>
          <w:tcPr>
            <w:tcW w:w="384" w:type="pct"/>
          </w:tcPr>
          <w:p w14:paraId="55AE8D2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46A5CD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DA757E">
        <w:tc>
          <w:tcPr>
            <w:tcW w:w="775" w:type="pct"/>
            <w:vMerge/>
            <w:hideMark/>
          </w:tcPr>
          <w:p w14:paraId="53CADB5C" w14:textId="77777777" w:rsidR="00EB6D56" w:rsidRPr="009A515A" w:rsidRDefault="00EB6D56" w:rsidP="00654AD0">
            <w:pPr>
              <w:jc w:val="center"/>
              <w:rPr>
                <w:b/>
                <w:bCs/>
                <w:i/>
                <w:iCs/>
                <w:color w:val="000000" w:themeColor="text1"/>
                <w:sz w:val="20"/>
                <w:szCs w:val="20"/>
              </w:rPr>
            </w:pPr>
          </w:p>
        </w:tc>
        <w:tc>
          <w:tcPr>
            <w:tcW w:w="675" w:type="pct"/>
            <w:hideMark/>
          </w:tcPr>
          <w:p w14:paraId="284E46A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UE_9</w:t>
            </w:r>
          </w:p>
        </w:tc>
        <w:tc>
          <w:tcPr>
            <w:tcW w:w="581" w:type="pct"/>
            <w:hideMark/>
          </w:tcPr>
          <w:p w14:paraId="5DF8E2D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0.670</w:t>
            </w:r>
          </w:p>
        </w:tc>
        <w:tc>
          <w:tcPr>
            <w:tcW w:w="728" w:type="pct"/>
            <w:vMerge/>
          </w:tcPr>
          <w:p w14:paraId="3022FCBE" w14:textId="77777777" w:rsidR="00EB6D56" w:rsidRPr="009A515A" w:rsidRDefault="00EB6D56" w:rsidP="00654AD0">
            <w:pPr>
              <w:jc w:val="center"/>
              <w:rPr>
                <w:b/>
                <w:bCs/>
                <w:i/>
                <w:iCs/>
                <w:color w:val="000000" w:themeColor="text1"/>
                <w:sz w:val="20"/>
                <w:szCs w:val="20"/>
              </w:rPr>
            </w:pPr>
          </w:p>
        </w:tc>
        <w:tc>
          <w:tcPr>
            <w:tcW w:w="525" w:type="pct"/>
            <w:vMerge/>
          </w:tcPr>
          <w:p w14:paraId="4946C610" w14:textId="77777777" w:rsidR="00EB6D56" w:rsidRPr="009A515A" w:rsidRDefault="00EB6D56" w:rsidP="00654AD0">
            <w:pPr>
              <w:jc w:val="center"/>
              <w:rPr>
                <w:b/>
                <w:bCs/>
                <w:i/>
                <w:iCs/>
                <w:color w:val="000000" w:themeColor="text1"/>
                <w:sz w:val="20"/>
                <w:szCs w:val="20"/>
              </w:rPr>
            </w:pPr>
          </w:p>
        </w:tc>
        <w:tc>
          <w:tcPr>
            <w:tcW w:w="789" w:type="pct"/>
          </w:tcPr>
          <w:p w14:paraId="3B2920C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0.0311</w:t>
            </w:r>
          </w:p>
        </w:tc>
        <w:tc>
          <w:tcPr>
            <w:tcW w:w="384" w:type="pct"/>
          </w:tcPr>
          <w:p w14:paraId="33DAC79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6B278AC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DA757E">
        <w:tc>
          <w:tcPr>
            <w:tcW w:w="775" w:type="pct"/>
            <w:vMerge/>
            <w:hideMark/>
          </w:tcPr>
          <w:p w14:paraId="3AA01192" w14:textId="77777777" w:rsidR="00EB6D56" w:rsidRPr="009A515A" w:rsidRDefault="00EB6D56" w:rsidP="00654AD0">
            <w:pPr>
              <w:jc w:val="center"/>
              <w:rPr>
                <w:b/>
                <w:bCs/>
                <w:i/>
                <w:iCs/>
                <w:color w:val="000000" w:themeColor="text1"/>
                <w:sz w:val="20"/>
                <w:szCs w:val="20"/>
              </w:rPr>
            </w:pPr>
          </w:p>
        </w:tc>
        <w:tc>
          <w:tcPr>
            <w:tcW w:w="675" w:type="pct"/>
            <w:hideMark/>
          </w:tcPr>
          <w:p w14:paraId="29CEE8B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UE_10</w:t>
            </w:r>
          </w:p>
        </w:tc>
        <w:tc>
          <w:tcPr>
            <w:tcW w:w="581" w:type="pct"/>
            <w:hideMark/>
          </w:tcPr>
          <w:p w14:paraId="01C212F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0D5F4656" w14:textId="77777777" w:rsidR="00EB6D56" w:rsidRPr="009A515A" w:rsidRDefault="00EB6D56" w:rsidP="00654AD0">
            <w:pPr>
              <w:jc w:val="center"/>
              <w:rPr>
                <w:b/>
                <w:bCs/>
                <w:i/>
                <w:iCs/>
                <w:color w:val="000000" w:themeColor="text1"/>
                <w:sz w:val="20"/>
                <w:szCs w:val="20"/>
              </w:rPr>
            </w:pPr>
          </w:p>
        </w:tc>
        <w:tc>
          <w:tcPr>
            <w:tcW w:w="525" w:type="pct"/>
            <w:vMerge/>
          </w:tcPr>
          <w:p w14:paraId="1B19FD3B" w14:textId="77777777" w:rsidR="00EB6D56" w:rsidRPr="009A515A" w:rsidRDefault="00EB6D56" w:rsidP="00654AD0">
            <w:pPr>
              <w:jc w:val="center"/>
              <w:rPr>
                <w:b/>
                <w:bCs/>
                <w:i/>
                <w:iCs/>
                <w:color w:val="000000" w:themeColor="text1"/>
                <w:sz w:val="20"/>
                <w:szCs w:val="20"/>
              </w:rPr>
            </w:pPr>
          </w:p>
        </w:tc>
        <w:tc>
          <w:tcPr>
            <w:tcW w:w="789" w:type="pct"/>
          </w:tcPr>
          <w:p w14:paraId="4F147C7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5FF7349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9A8BB5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DA757E">
        <w:tc>
          <w:tcPr>
            <w:tcW w:w="775" w:type="pct"/>
            <w:vMerge w:val="restart"/>
            <w:hideMark/>
          </w:tcPr>
          <w:p w14:paraId="27E996F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User Experience</w:t>
            </w:r>
          </w:p>
        </w:tc>
        <w:tc>
          <w:tcPr>
            <w:tcW w:w="675" w:type="pct"/>
            <w:hideMark/>
          </w:tcPr>
          <w:p w14:paraId="47522B0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UX_1</w:t>
            </w:r>
          </w:p>
        </w:tc>
        <w:tc>
          <w:tcPr>
            <w:tcW w:w="581" w:type="pct"/>
            <w:hideMark/>
          </w:tcPr>
          <w:p w14:paraId="364A3B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0.690</w:t>
            </w:r>
          </w:p>
        </w:tc>
        <w:tc>
          <w:tcPr>
            <w:tcW w:w="728" w:type="pct"/>
            <w:vMerge w:val="restart"/>
          </w:tcPr>
          <w:p w14:paraId="58DD97C0" w14:textId="77777777" w:rsidR="00651853" w:rsidRPr="009A515A" w:rsidRDefault="00000000" w:rsidP="00654AD0">
            <w:pPr>
              <w:jc w:val="center"/>
            </w:pPr>
            <w:r w:rsidRPr="009A515A">
              <w:t>0.902</w:t>
            </w:r>
          </w:p>
        </w:tc>
        <w:tc>
          <w:tcPr>
            <w:tcW w:w="525" w:type="pct"/>
            <w:vMerge w:val="restart"/>
          </w:tcPr>
          <w:p w14:paraId="481396E9" w14:textId="77777777" w:rsidR="00651853" w:rsidRPr="009A515A" w:rsidRDefault="00000000" w:rsidP="00654AD0">
            <w:pPr>
              <w:jc w:val="center"/>
            </w:pPr>
            <w:r w:rsidRPr="009A515A">
              <w:t>0.481</w:t>
            </w:r>
          </w:p>
        </w:tc>
        <w:tc>
          <w:tcPr>
            <w:tcW w:w="789" w:type="pct"/>
          </w:tcPr>
          <w:p w14:paraId="329153A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0.0327</w:t>
            </w:r>
          </w:p>
        </w:tc>
        <w:tc>
          <w:tcPr>
            <w:tcW w:w="384" w:type="pct"/>
          </w:tcPr>
          <w:p w14:paraId="0C42A31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7378053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DA757E">
        <w:tc>
          <w:tcPr>
            <w:tcW w:w="775" w:type="pct"/>
            <w:vMerge/>
            <w:hideMark/>
          </w:tcPr>
          <w:p w14:paraId="760C2181" w14:textId="77777777" w:rsidR="00EB6D56" w:rsidRPr="009A515A" w:rsidRDefault="00EB6D56" w:rsidP="00654AD0">
            <w:pPr>
              <w:jc w:val="center"/>
              <w:rPr>
                <w:b/>
                <w:bCs/>
                <w:i/>
                <w:iCs/>
                <w:color w:val="000000" w:themeColor="text1"/>
                <w:sz w:val="20"/>
                <w:szCs w:val="20"/>
              </w:rPr>
            </w:pPr>
          </w:p>
        </w:tc>
        <w:tc>
          <w:tcPr>
            <w:tcW w:w="675" w:type="pct"/>
            <w:hideMark/>
          </w:tcPr>
          <w:p w14:paraId="4A6E4B3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UX_2</w:t>
            </w:r>
          </w:p>
        </w:tc>
        <w:tc>
          <w:tcPr>
            <w:tcW w:w="581" w:type="pct"/>
            <w:hideMark/>
          </w:tcPr>
          <w:p w14:paraId="0449939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0.681</w:t>
            </w:r>
          </w:p>
        </w:tc>
        <w:tc>
          <w:tcPr>
            <w:tcW w:w="728" w:type="pct"/>
            <w:vMerge/>
          </w:tcPr>
          <w:p w14:paraId="15B0E52D" w14:textId="77777777" w:rsidR="00EB6D56" w:rsidRPr="009A515A" w:rsidRDefault="00EB6D56" w:rsidP="00654AD0">
            <w:pPr>
              <w:jc w:val="center"/>
              <w:rPr>
                <w:b/>
                <w:bCs/>
                <w:i/>
                <w:iCs/>
                <w:color w:val="000000" w:themeColor="text1"/>
                <w:sz w:val="20"/>
                <w:szCs w:val="20"/>
              </w:rPr>
            </w:pPr>
          </w:p>
        </w:tc>
        <w:tc>
          <w:tcPr>
            <w:tcW w:w="525" w:type="pct"/>
            <w:vMerge/>
          </w:tcPr>
          <w:p w14:paraId="3E549B7B" w14:textId="77777777" w:rsidR="00EB6D56" w:rsidRPr="009A515A" w:rsidRDefault="00EB6D56" w:rsidP="00654AD0">
            <w:pPr>
              <w:jc w:val="center"/>
              <w:rPr>
                <w:b/>
                <w:bCs/>
                <w:i/>
                <w:iCs/>
                <w:color w:val="000000" w:themeColor="text1"/>
                <w:sz w:val="20"/>
                <w:szCs w:val="20"/>
              </w:rPr>
            </w:pPr>
          </w:p>
        </w:tc>
        <w:tc>
          <w:tcPr>
            <w:tcW w:w="789" w:type="pct"/>
          </w:tcPr>
          <w:p w14:paraId="4EDD96F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0.0319</w:t>
            </w:r>
          </w:p>
        </w:tc>
        <w:tc>
          <w:tcPr>
            <w:tcW w:w="384" w:type="pct"/>
          </w:tcPr>
          <w:p w14:paraId="25F6A24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1BB8DD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DA757E">
        <w:tc>
          <w:tcPr>
            <w:tcW w:w="775" w:type="pct"/>
            <w:vMerge/>
            <w:hideMark/>
          </w:tcPr>
          <w:p w14:paraId="408E0984" w14:textId="77777777" w:rsidR="00EB6D56" w:rsidRPr="009A515A" w:rsidRDefault="00EB6D56" w:rsidP="00654AD0">
            <w:pPr>
              <w:jc w:val="center"/>
              <w:rPr>
                <w:b/>
                <w:bCs/>
                <w:i/>
                <w:iCs/>
                <w:color w:val="000000" w:themeColor="text1"/>
                <w:sz w:val="20"/>
                <w:szCs w:val="20"/>
              </w:rPr>
            </w:pPr>
          </w:p>
        </w:tc>
        <w:tc>
          <w:tcPr>
            <w:tcW w:w="675" w:type="pct"/>
            <w:hideMark/>
          </w:tcPr>
          <w:p w14:paraId="240FE6B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UX_3</w:t>
            </w:r>
          </w:p>
        </w:tc>
        <w:tc>
          <w:tcPr>
            <w:tcW w:w="581" w:type="pct"/>
            <w:hideMark/>
          </w:tcPr>
          <w:p w14:paraId="1112EB8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0.714</w:t>
            </w:r>
          </w:p>
        </w:tc>
        <w:tc>
          <w:tcPr>
            <w:tcW w:w="728" w:type="pct"/>
            <w:vMerge/>
          </w:tcPr>
          <w:p w14:paraId="1DE3375F" w14:textId="77777777" w:rsidR="00EB6D56" w:rsidRPr="009A515A" w:rsidRDefault="00EB6D56" w:rsidP="00654AD0">
            <w:pPr>
              <w:jc w:val="center"/>
              <w:rPr>
                <w:b/>
                <w:bCs/>
                <w:i/>
                <w:iCs/>
                <w:color w:val="000000" w:themeColor="text1"/>
                <w:sz w:val="20"/>
                <w:szCs w:val="20"/>
              </w:rPr>
            </w:pPr>
          </w:p>
        </w:tc>
        <w:tc>
          <w:tcPr>
            <w:tcW w:w="525" w:type="pct"/>
            <w:vMerge/>
          </w:tcPr>
          <w:p w14:paraId="30D0055D" w14:textId="77777777" w:rsidR="00EB6D56" w:rsidRPr="009A515A" w:rsidRDefault="00EB6D56" w:rsidP="00654AD0">
            <w:pPr>
              <w:jc w:val="center"/>
              <w:rPr>
                <w:b/>
                <w:bCs/>
                <w:i/>
                <w:iCs/>
                <w:color w:val="000000" w:themeColor="text1"/>
                <w:sz w:val="20"/>
                <w:szCs w:val="20"/>
              </w:rPr>
            </w:pPr>
          </w:p>
        </w:tc>
        <w:tc>
          <w:tcPr>
            <w:tcW w:w="789" w:type="pct"/>
          </w:tcPr>
          <w:p w14:paraId="376A900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0E25700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4D47C1E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DA757E">
        <w:tc>
          <w:tcPr>
            <w:tcW w:w="775" w:type="pct"/>
            <w:vMerge/>
            <w:hideMark/>
          </w:tcPr>
          <w:p w14:paraId="3FFC4C4B" w14:textId="77777777" w:rsidR="00EB6D56" w:rsidRPr="009A515A" w:rsidRDefault="00EB6D56" w:rsidP="00654AD0">
            <w:pPr>
              <w:jc w:val="center"/>
              <w:rPr>
                <w:b/>
                <w:bCs/>
                <w:i/>
                <w:iCs/>
                <w:color w:val="000000" w:themeColor="text1"/>
                <w:sz w:val="20"/>
                <w:szCs w:val="20"/>
              </w:rPr>
            </w:pPr>
          </w:p>
        </w:tc>
        <w:tc>
          <w:tcPr>
            <w:tcW w:w="675" w:type="pct"/>
            <w:hideMark/>
          </w:tcPr>
          <w:p w14:paraId="4D07C15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UX_4</w:t>
            </w:r>
          </w:p>
        </w:tc>
        <w:tc>
          <w:tcPr>
            <w:tcW w:w="581" w:type="pct"/>
            <w:hideMark/>
          </w:tcPr>
          <w:p w14:paraId="3D904C1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0.694</w:t>
            </w:r>
          </w:p>
        </w:tc>
        <w:tc>
          <w:tcPr>
            <w:tcW w:w="728" w:type="pct"/>
            <w:vMerge/>
          </w:tcPr>
          <w:p w14:paraId="63C3FE5F" w14:textId="77777777" w:rsidR="00EB6D56" w:rsidRPr="009A515A" w:rsidRDefault="00EB6D56" w:rsidP="00654AD0">
            <w:pPr>
              <w:jc w:val="center"/>
              <w:rPr>
                <w:b/>
                <w:bCs/>
                <w:i/>
                <w:iCs/>
                <w:color w:val="000000" w:themeColor="text1"/>
                <w:sz w:val="20"/>
                <w:szCs w:val="20"/>
              </w:rPr>
            </w:pPr>
          </w:p>
        </w:tc>
        <w:tc>
          <w:tcPr>
            <w:tcW w:w="525" w:type="pct"/>
            <w:vMerge/>
          </w:tcPr>
          <w:p w14:paraId="7102718E" w14:textId="77777777" w:rsidR="00EB6D56" w:rsidRPr="009A515A" w:rsidRDefault="00EB6D56" w:rsidP="00654AD0">
            <w:pPr>
              <w:jc w:val="center"/>
              <w:rPr>
                <w:b/>
                <w:bCs/>
                <w:i/>
                <w:iCs/>
                <w:color w:val="000000" w:themeColor="text1"/>
                <w:sz w:val="20"/>
                <w:szCs w:val="20"/>
              </w:rPr>
            </w:pPr>
          </w:p>
        </w:tc>
        <w:tc>
          <w:tcPr>
            <w:tcW w:w="789" w:type="pct"/>
          </w:tcPr>
          <w:p w14:paraId="05CB35C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0.0326</w:t>
            </w:r>
          </w:p>
        </w:tc>
        <w:tc>
          <w:tcPr>
            <w:tcW w:w="384" w:type="pct"/>
          </w:tcPr>
          <w:p w14:paraId="5FDA90A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5EECE2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DA757E">
        <w:tc>
          <w:tcPr>
            <w:tcW w:w="775" w:type="pct"/>
            <w:vMerge/>
            <w:hideMark/>
          </w:tcPr>
          <w:p w14:paraId="63E1D30C" w14:textId="77777777" w:rsidR="00EB6D56" w:rsidRPr="009A515A" w:rsidRDefault="00EB6D56" w:rsidP="00654AD0">
            <w:pPr>
              <w:jc w:val="center"/>
              <w:rPr>
                <w:b/>
                <w:bCs/>
                <w:i/>
                <w:iCs/>
                <w:color w:val="000000" w:themeColor="text1"/>
                <w:sz w:val="20"/>
                <w:szCs w:val="20"/>
              </w:rPr>
            </w:pPr>
          </w:p>
        </w:tc>
        <w:tc>
          <w:tcPr>
            <w:tcW w:w="675" w:type="pct"/>
            <w:hideMark/>
          </w:tcPr>
          <w:p w14:paraId="696A701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UX_5</w:t>
            </w:r>
          </w:p>
        </w:tc>
        <w:tc>
          <w:tcPr>
            <w:tcW w:w="581" w:type="pct"/>
            <w:hideMark/>
          </w:tcPr>
          <w:p w14:paraId="335BF2E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0.678</w:t>
            </w:r>
          </w:p>
        </w:tc>
        <w:tc>
          <w:tcPr>
            <w:tcW w:w="728" w:type="pct"/>
            <w:vMerge/>
          </w:tcPr>
          <w:p w14:paraId="698391F7" w14:textId="77777777" w:rsidR="00EB6D56" w:rsidRPr="009A515A" w:rsidRDefault="00EB6D56" w:rsidP="00654AD0">
            <w:pPr>
              <w:jc w:val="center"/>
              <w:rPr>
                <w:b/>
                <w:bCs/>
                <w:i/>
                <w:iCs/>
                <w:color w:val="000000" w:themeColor="text1"/>
                <w:sz w:val="20"/>
                <w:szCs w:val="20"/>
              </w:rPr>
            </w:pPr>
          </w:p>
        </w:tc>
        <w:tc>
          <w:tcPr>
            <w:tcW w:w="525" w:type="pct"/>
            <w:vMerge/>
          </w:tcPr>
          <w:p w14:paraId="77839415" w14:textId="77777777" w:rsidR="00EB6D56" w:rsidRPr="009A515A" w:rsidRDefault="00EB6D56" w:rsidP="00654AD0">
            <w:pPr>
              <w:jc w:val="center"/>
              <w:rPr>
                <w:b/>
                <w:bCs/>
                <w:i/>
                <w:iCs/>
                <w:color w:val="000000" w:themeColor="text1"/>
                <w:sz w:val="20"/>
                <w:szCs w:val="20"/>
              </w:rPr>
            </w:pPr>
          </w:p>
        </w:tc>
        <w:tc>
          <w:tcPr>
            <w:tcW w:w="789" w:type="pct"/>
          </w:tcPr>
          <w:p w14:paraId="0DD4E44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3B46ABB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21.4</w:t>
            </w:r>
          </w:p>
        </w:tc>
        <w:tc>
          <w:tcPr>
            <w:tcW w:w="380" w:type="pct"/>
          </w:tcPr>
          <w:p w14:paraId="2135AA1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DA757E">
        <w:tc>
          <w:tcPr>
            <w:tcW w:w="775" w:type="pct"/>
            <w:vMerge/>
            <w:hideMark/>
          </w:tcPr>
          <w:p w14:paraId="4B29F77D" w14:textId="77777777" w:rsidR="00EB6D56" w:rsidRPr="009A515A" w:rsidRDefault="00EB6D56" w:rsidP="00654AD0">
            <w:pPr>
              <w:jc w:val="center"/>
              <w:rPr>
                <w:b/>
                <w:bCs/>
                <w:i/>
                <w:iCs/>
                <w:color w:val="000000" w:themeColor="text1"/>
                <w:sz w:val="20"/>
                <w:szCs w:val="20"/>
              </w:rPr>
            </w:pPr>
          </w:p>
        </w:tc>
        <w:tc>
          <w:tcPr>
            <w:tcW w:w="675" w:type="pct"/>
            <w:hideMark/>
          </w:tcPr>
          <w:p w14:paraId="24085B7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UX_6</w:t>
            </w:r>
          </w:p>
        </w:tc>
        <w:tc>
          <w:tcPr>
            <w:tcW w:w="581" w:type="pct"/>
            <w:hideMark/>
          </w:tcPr>
          <w:p w14:paraId="6FAAA58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009CDABA" w14:textId="77777777" w:rsidR="00EB6D56" w:rsidRPr="009A515A" w:rsidRDefault="00EB6D56" w:rsidP="00654AD0">
            <w:pPr>
              <w:jc w:val="center"/>
              <w:rPr>
                <w:b/>
                <w:bCs/>
                <w:i/>
                <w:iCs/>
                <w:color w:val="000000" w:themeColor="text1"/>
                <w:sz w:val="20"/>
                <w:szCs w:val="20"/>
              </w:rPr>
            </w:pPr>
          </w:p>
        </w:tc>
        <w:tc>
          <w:tcPr>
            <w:tcW w:w="525" w:type="pct"/>
            <w:vMerge/>
          </w:tcPr>
          <w:p w14:paraId="1C7FCB58" w14:textId="77777777" w:rsidR="00EB6D56" w:rsidRPr="009A515A" w:rsidRDefault="00EB6D56" w:rsidP="00654AD0">
            <w:pPr>
              <w:jc w:val="center"/>
              <w:rPr>
                <w:b/>
                <w:bCs/>
                <w:i/>
                <w:iCs/>
                <w:color w:val="000000" w:themeColor="text1"/>
                <w:sz w:val="20"/>
                <w:szCs w:val="20"/>
              </w:rPr>
            </w:pPr>
          </w:p>
        </w:tc>
        <w:tc>
          <w:tcPr>
            <w:tcW w:w="789" w:type="pct"/>
          </w:tcPr>
          <w:p w14:paraId="6DA8A42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79AEE9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64501F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DA757E">
        <w:tc>
          <w:tcPr>
            <w:tcW w:w="775" w:type="pct"/>
            <w:vMerge/>
            <w:hideMark/>
          </w:tcPr>
          <w:p w14:paraId="5331E74E" w14:textId="77777777" w:rsidR="00EB6D56" w:rsidRPr="009A515A" w:rsidRDefault="00EB6D56" w:rsidP="00654AD0">
            <w:pPr>
              <w:jc w:val="center"/>
              <w:rPr>
                <w:b/>
                <w:bCs/>
                <w:i/>
                <w:iCs/>
                <w:color w:val="000000" w:themeColor="text1"/>
                <w:sz w:val="20"/>
                <w:szCs w:val="20"/>
              </w:rPr>
            </w:pPr>
          </w:p>
        </w:tc>
        <w:tc>
          <w:tcPr>
            <w:tcW w:w="675" w:type="pct"/>
            <w:hideMark/>
          </w:tcPr>
          <w:p w14:paraId="3C83785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UX_7</w:t>
            </w:r>
          </w:p>
        </w:tc>
        <w:tc>
          <w:tcPr>
            <w:tcW w:w="581" w:type="pct"/>
            <w:hideMark/>
          </w:tcPr>
          <w:p w14:paraId="1AABCB9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0.687</w:t>
            </w:r>
          </w:p>
        </w:tc>
        <w:tc>
          <w:tcPr>
            <w:tcW w:w="728" w:type="pct"/>
            <w:vMerge/>
          </w:tcPr>
          <w:p w14:paraId="4BAE259D" w14:textId="77777777" w:rsidR="00EB6D56" w:rsidRPr="009A515A" w:rsidRDefault="00EB6D56" w:rsidP="00654AD0">
            <w:pPr>
              <w:jc w:val="center"/>
              <w:rPr>
                <w:b/>
                <w:bCs/>
                <w:i/>
                <w:iCs/>
                <w:color w:val="000000" w:themeColor="text1"/>
                <w:sz w:val="20"/>
                <w:szCs w:val="20"/>
              </w:rPr>
            </w:pPr>
          </w:p>
        </w:tc>
        <w:tc>
          <w:tcPr>
            <w:tcW w:w="525" w:type="pct"/>
            <w:vMerge/>
          </w:tcPr>
          <w:p w14:paraId="72E5D5FE" w14:textId="77777777" w:rsidR="00EB6D56" w:rsidRPr="009A515A" w:rsidRDefault="00EB6D56" w:rsidP="00654AD0">
            <w:pPr>
              <w:jc w:val="center"/>
              <w:rPr>
                <w:b/>
                <w:bCs/>
                <w:i/>
                <w:iCs/>
                <w:color w:val="000000" w:themeColor="text1"/>
                <w:sz w:val="20"/>
                <w:szCs w:val="20"/>
              </w:rPr>
            </w:pPr>
          </w:p>
        </w:tc>
        <w:tc>
          <w:tcPr>
            <w:tcW w:w="789" w:type="pct"/>
          </w:tcPr>
          <w:p w14:paraId="764F68E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5F7975C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51A9701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DA757E">
        <w:tc>
          <w:tcPr>
            <w:tcW w:w="775" w:type="pct"/>
            <w:vMerge/>
            <w:hideMark/>
          </w:tcPr>
          <w:p w14:paraId="080ADB55" w14:textId="77777777" w:rsidR="00EB6D56" w:rsidRPr="009A515A" w:rsidRDefault="00EB6D56" w:rsidP="00654AD0">
            <w:pPr>
              <w:jc w:val="center"/>
              <w:rPr>
                <w:b/>
                <w:bCs/>
                <w:i/>
                <w:iCs/>
                <w:color w:val="000000" w:themeColor="text1"/>
                <w:sz w:val="20"/>
                <w:szCs w:val="20"/>
              </w:rPr>
            </w:pPr>
          </w:p>
        </w:tc>
        <w:tc>
          <w:tcPr>
            <w:tcW w:w="675" w:type="pct"/>
            <w:hideMark/>
          </w:tcPr>
          <w:p w14:paraId="238CF74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UX_8</w:t>
            </w:r>
          </w:p>
        </w:tc>
        <w:tc>
          <w:tcPr>
            <w:tcW w:w="581" w:type="pct"/>
            <w:hideMark/>
          </w:tcPr>
          <w:p w14:paraId="71F6A5B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0.677</w:t>
            </w:r>
          </w:p>
        </w:tc>
        <w:tc>
          <w:tcPr>
            <w:tcW w:w="728" w:type="pct"/>
            <w:vMerge/>
          </w:tcPr>
          <w:p w14:paraId="1E3F8E22" w14:textId="77777777" w:rsidR="00EB6D56" w:rsidRPr="009A515A" w:rsidRDefault="00EB6D56" w:rsidP="00654AD0">
            <w:pPr>
              <w:jc w:val="center"/>
              <w:rPr>
                <w:b/>
                <w:bCs/>
                <w:i/>
                <w:iCs/>
                <w:color w:val="000000" w:themeColor="text1"/>
                <w:sz w:val="20"/>
                <w:szCs w:val="20"/>
              </w:rPr>
            </w:pPr>
          </w:p>
        </w:tc>
        <w:tc>
          <w:tcPr>
            <w:tcW w:w="525" w:type="pct"/>
            <w:vMerge/>
          </w:tcPr>
          <w:p w14:paraId="073C7A8F" w14:textId="77777777" w:rsidR="00EB6D56" w:rsidRPr="009A515A" w:rsidRDefault="00EB6D56" w:rsidP="00654AD0">
            <w:pPr>
              <w:jc w:val="center"/>
              <w:rPr>
                <w:b/>
                <w:bCs/>
                <w:i/>
                <w:iCs/>
                <w:color w:val="000000" w:themeColor="text1"/>
                <w:sz w:val="20"/>
                <w:szCs w:val="20"/>
              </w:rPr>
            </w:pPr>
          </w:p>
        </w:tc>
        <w:tc>
          <w:tcPr>
            <w:tcW w:w="789" w:type="pct"/>
          </w:tcPr>
          <w:p w14:paraId="3636690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0.0320</w:t>
            </w:r>
          </w:p>
        </w:tc>
        <w:tc>
          <w:tcPr>
            <w:tcW w:w="384" w:type="pct"/>
          </w:tcPr>
          <w:p w14:paraId="606760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78E427A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DA757E">
        <w:tc>
          <w:tcPr>
            <w:tcW w:w="775" w:type="pct"/>
            <w:vMerge/>
            <w:hideMark/>
          </w:tcPr>
          <w:p w14:paraId="0E047579" w14:textId="77777777" w:rsidR="00EB6D56" w:rsidRPr="009A515A" w:rsidRDefault="00EB6D56" w:rsidP="00654AD0">
            <w:pPr>
              <w:jc w:val="center"/>
              <w:rPr>
                <w:b/>
                <w:bCs/>
                <w:i/>
                <w:iCs/>
                <w:color w:val="000000" w:themeColor="text1"/>
                <w:sz w:val="20"/>
                <w:szCs w:val="20"/>
              </w:rPr>
            </w:pPr>
          </w:p>
        </w:tc>
        <w:tc>
          <w:tcPr>
            <w:tcW w:w="675" w:type="pct"/>
            <w:hideMark/>
          </w:tcPr>
          <w:p w14:paraId="5C1B68C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UX_9</w:t>
            </w:r>
          </w:p>
        </w:tc>
        <w:tc>
          <w:tcPr>
            <w:tcW w:w="581" w:type="pct"/>
            <w:hideMark/>
          </w:tcPr>
          <w:p w14:paraId="228FF25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0.703</w:t>
            </w:r>
          </w:p>
        </w:tc>
        <w:tc>
          <w:tcPr>
            <w:tcW w:w="728" w:type="pct"/>
            <w:vMerge/>
          </w:tcPr>
          <w:p w14:paraId="074FB43E" w14:textId="77777777" w:rsidR="00EB6D56" w:rsidRPr="009A515A" w:rsidRDefault="00EB6D56" w:rsidP="00654AD0">
            <w:pPr>
              <w:jc w:val="center"/>
              <w:rPr>
                <w:b/>
                <w:bCs/>
                <w:i/>
                <w:iCs/>
                <w:color w:val="000000" w:themeColor="text1"/>
                <w:sz w:val="20"/>
                <w:szCs w:val="20"/>
              </w:rPr>
            </w:pPr>
          </w:p>
        </w:tc>
        <w:tc>
          <w:tcPr>
            <w:tcW w:w="525" w:type="pct"/>
            <w:vMerge/>
          </w:tcPr>
          <w:p w14:paraId="17C26573" w14:textId="77777777" w:rsidR="00EB6D56" w:rsidRPr="009A515A" w:rsidRDefault="00EB6D56" w:rsidP="00654AD0">
            <w:pPr>
              <w:jc w:val="center"/>
              <w:rPr>
                <w:b/>
                <w:bCs/>
                <w:i/>
                <w:iCs/>
                <w:color w:val="000000" w:themeColor="text1"/>
                <w:sz w:val="20"/>
                <w:szCs w:val="20"/>
              </w:rPr>
            </w:pPr>
          </w:p>
        </w:tc>
        <w:tc>
          <w:tcPr>
            <w:tcW w:w="789" w:type="pct"/>
          </w:tcPr>
          <w:p w14:paraId="17BAA5B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0.0319</w:t>
            </w:r>
          </w:p>
        </w:tc>
        <w:tc>
          <w:tcPr>
            <w:tcW w:w="384" w:type="pct"/>
          </w:tcPr>
          <w:p w14:paraId="6E7485D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073F8EE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DA757E">
        <w:tc>
          <w:tcPr>
            <w:tcW w:w="775" w:type="pct"/>
            <w:vMerge/>
            <w:hideMark/>
          </w:tcPr>
          <w:p w14:paraId="3AA8B4B4" w14:textId="77777777" w:rsidR="00EB6D56" w:rsidRPr="009A515A" w:rsidRDefault="00EB6D56" w:rsidP="00654AD0">
            <w:pPr>
              <w:jc w:val="center"/>
              <w:rPr>
                <w:b/>
                <w:bCs/>
                <w:i/>
                <w:iCs/>
                <w:color w:val="000000" w:themeColor="text1"/>
                <w:sz w:val="20"/>
                <w:szCs w:val="20"/>
              </w:rPr>
            </w:pPr>
          </w:p>
        </w:tc>
        <w:tc>
          <w:tcPr>
            <w:tcW w:w="675" w:type="pct"/>
            <w:hideMark/>
          </w:tcPr>
          <w:p w14:paraId="7529215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UX_10</w:t>
            </w:r>
          </w:p>
        </w:tc>
        <w:tc>
          <w:tcPr>
            <w:tcW w:w="581" w:type="pct"/>
            <w:hideMark/>
          </w:tcPr>
          <w:p w14:paraId="45F149D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0.702</w:t>
            </w:r>
          </w:p>
        </w:tc>
        <w:tc>
          <w:tcPr>
            <w:tcW w:w="728" w:type="pct"/>
            <w:vMerge/>
          </w:tcPr>
          <w:p w14:paraId="54ABB120" w14:textId="77777777" w:rsidR="00EB6D56" w:rsidRPr="009A515A" w:rsidRDefault="00EB6D56" w:rsidP="00654AD0">
            <w:pPr>
              <w:jc w:val="center"/>
              <w:rPr>
                <w:b/>
                <w:bCs/>
                <w:i/>
                <w:iCs/>
                <w:color w:val="000000" w:themeColor="text1"/>
                <w:sz w:val="20"/>
                <w:szCs w:val="20"/>
              </w:rPr>
            </w:pPr>
          </w:p>
        </w:tc>
        <w:tc>
          <w:tcPr>
            <w:tcW w:w="525" w:type="pct"/>
            <w:vMerge/>
          </w:tcPr>
          <w:p w14:paraId="59B6EC8B" w14:textId="77777777" w:rsidR="00EB6D56" w:rsidRPr="009A515A" w:rsidRDefault="00EB6D56" w:rsidP="00654AD0">
            <w:pPr>
              <w:jc w:val="center"/>
              <w:rPr>
                <w:b/>
                <w:bCs/>
                <w:i/>
                <w:iCs/>
                <w:color w:val="000000" w:themeColor="text1"/>
                <w:sz w:val="20"/>
                <w:szCs w:val="20"/>
              </w:rPr>
            </w:pPr>
          </w:p>
        </w:tc>
        <w:tc>
          <w:tcPr>
            <w:tcW w:w="789" w:type="pct"/>
          </w:tcPr>
          <w:p w14:paraId="599D7B1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0.0321</w:t>
            </w:r>
          </w:p>
        </w:tc>
        <w:tc>
          <w:tcPr>
            <w:tcW w:w="384" w:type="pct"/>
          </w:tcPr>
          <w:p w14:paraId="098919F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21.9</w:t>
            </w:r>
          </w:p>
        </w:tc>
        <w:tc>
          <w:tcPr>
            <w:tcW w:w="380" w:type="pct"/>
          </w:tcPr>
          <w:p w14:paraId="6BB52FE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DA757E">
        <w:tc>
          <w:tcPr>
            <w:tcW w:w="775" w:type="pct"/>
            <w:vMerge w:val="restart"/>
            <w:hideMark/>
          </w:tcPr>
          <w:p w14:paraId="721D2B90"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Brand Success</w:t>
            </w:r>
          </w:p>
        </w:tc>
        <w:tc>
          <w:tcPr>
            <w:tcW w:w="675" w:type="pct"/>
            <w:hideMark/>
          </w:tcPr>
          <w:p w14:paraId="641D19AA"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BSUC_1</w:t>
            </w:r>
          </w:p>
        </w:tc>
        <w:tc>
          <w:tcPr>
            <w:tcW w:w="581" w:type="pct"/>
            <w:hideMark/>
          </w:tcPr>
          <w:p w14:paraId="4B6E6D3E"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0.661</w:t>
            </w:r>
          </w:p>
        </w:tc>
        <w:tc>
          <w:tcPr>
            <w:tcW w:w="728" w:type="pct"/>
            <w:vMerge w:val="restart"/>
          </w:tcPr>
          <w:p w14:paraId="6661BF3C" w14:textId="77777777" w:rsidR="00651853" w:rsidRPr="009A515A" w:rsidRDefault="00000000" w:rsidP="00654AD0">
            <w:pPr>
              <w:jc w:val="center"/>
            </w:pPr>
            <w:r w:rsidRPr="009A515A">
              <w:t>0.765</w:t>
            </w:r>
          </w:p>
        </w:tc>
        <w:tc>
          <w:tcPr>
            <w:tcW w:w="525" w:type="pct"/>
          </w:tcPr>
          <w:p w14:paraId="4EF24739" w14:textId="77777777" w:rsidR="00651853" w:rsidRPr="009A515A" w:rsidRDefault="00000000" w:rsidP="00654AD0">
            <w:pPr>
              <w:jc w:val="center"/>
            </w:pPr>
            <w:r w:rsidRPr="009A515A">
              <w:t>0.448</w:t>
            </w:r>
          </w:p>
        </w:tc>
        <w:tc>
          <w:tcPr>
            <w:tcW w:w="789" w:type="pct"/>
          </w:tcPr>
          <w:p w14:paraId="3FA33B2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0.0308</w:t>
            </w:r>
          </w:p>
        </w:tc>
        <w:tc>
          <w:tcPr>
            <w:tcW w:w="384" w:type="pct"/>
          </w:tcPr>
          <w:p w14:paraId="74216B7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1255AD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DA757E">
        <w:tc>
          <w:tcPr>
            <w:tcW w:w="775" w:type="pct"/>
            <w:vMerge/>
            <w:hideMark/>
          </w:tcPr>
          <w:p w14:paraId="1791DA31" w14:textId="77777777" w:rsidR="00B31225" w:rsidRPr="009A515A" w:rsidRDefault="00B31225" w:rsidP="00654AD0">
            <w:pPr>
              <w:jc w:val="center"/>
              <w:rPr>
                <w:b/>
                <w:bCs/>
                <w:i/>
                <w:iCs/>
                <w:color w:val="000000" w:themeColor="text1"/>
                <w:sz w:val="20"/>
                <w:szCs w:val="20"/>
              </w:rPr>
            </w:pPr>
          </w:p>
        </w:tc>
        <w:tc>
          <w:tcPr>
            <w:tcW w:w="675" w:type="pct"/>
            <w:hideMark/>
          </w:tcPr>
          <w:p w14:paraId="516C4C1D"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BSUC_2</w:t>
            </w:r>
          </w:p>
        </w:tc>
        <w:tc>
          <w:tcPr>
            <w:tcW w:w="581" w:type="pct"/>
            <w:hideMark/>
          </w:tcPr>
          <w:p w14:paraId="42B0C4D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0.662</w:t>
            </w:r>
          </w:p>
        </w:tc>
        <w:tc>
          <w:tcPr>
            <w:tcW w:w="728" w:type="pct"/>
            <w:vMerge/>
          </w:tcPr>
          <w:p w14:paraId="127CFAF9" w14:textId="77777777" w:rsidR="00B31225" w:rsidRPr="009A515A" w:rsidRDefault="00B31225" w:rsidP="00654AD0">
            <w:pPr>
              <w:jc w:val="center"/>
              <w:rPr>
                <w:b/>
                <w:bCs/>
                <w:i/>
                <w:iCs/>
                <w:color w:val="000000" w:themeColor="text1"/>
                <w:sz w:val="20"/>
                <w:szCs w:val="20"/>
              </w:rPr>
            </w:pPr>
          </w:p>
        </w:tc>
        <w:tc>
          <w:tcPr>
            <w:tcW w:w="525" w:type="pct"/>
          </w:tcPr>
          <w:p w14:paraId="5FB4EE22" w14:textId="77777777" w:rsidR="00651853" w:rsidRPr="009A515A" w:rsidRDefault="00000000" w:rsidP="00654AD0">
            <w:pPr>
              <w:jc w:val="center"/>
            </w:pPr>
            <w:r w:rsidRPr="009A515A">
              <w:t>0.448</w:t>
            </w:r>
          </w:p>
        </w:tc>
        <w:tc>
          <w:tcPr>
            <w:tcW w:w="789" w:type="pct"/>
          </w:tcPr>
          <w:p w14:paraId="3B2079B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0.0314</w:t>
            </w:r>
          </w:p>
        </w:tc>
        <w:tc>
          <w:tcPr>
            <w:tcW w:w="384" w:type="pct"/>
          </w:tcPr>
          <w:p w14:paraId="67EA9335"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2D1E52C3"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DA757E">
        <w:tc>
          <w:tcPr>
            <w:tcW w:w="775" w:type="pct"/>
            <w:vMerge/>
            <w:hideMark/>
          </w:tcPr>
          <w:p w14:paraId="3559F20C" w14:textId="77777777" w:rsidR="00B31225" w:rsidRPr="009A515A" w:rsidRDefault="00B31225" w:rsidP="00654AD0">
            <w:pPr>
              <w:jc w:val="center"/>
              <w:rPr>
                <w:b/>
                <w:bCs/>
                <w:i/>
                <w:iCs/>
                <w:color w:val="000000" w:themeColor="text1"/>
                <w:sz w:val="20"/>
                <w:szCs w:val="20"/>
              </w:rPr>
            </w:pPr>
          </w:p>
        </w:tc>
        <w:tc>
          <w:tcPr>
            <w:tcW w:w="675" w:type="pct"/>
            <w:hideMark/>
          </w:tcPr>
          <w:p w14:paraId="56A78E8D"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BSUC_3</w:t>
            </w:r>
          </w:p>
        </w:tc>
        <w:tc>
          <w:tcPr>
            <w:tcW w:w="581" w:type="pct"/>
            <w:hideMark/>
          </w:tcPr>
          <w:p w14:paraId="7514890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0.673</w:t>
            </w:r>
          </w:p>
        </w:tc>
        <w:tc>
          <w:tcPr>
            <w:tcW w:w="728" w:type="pct"/>
            <w:vMerge/>
          </w:tcPr>
          <w:p w14:paraId="2FDA5253" w14:textId="77777777" w:rsidR="00B31225" w:rsidRPr="009A515A" w:rsidRDefault="00B31225" w:rsidP="00654AD0">
            <w:pPr>
              <w:jc w:val="center"/>
              <w:rPr>
                <w:b/>
                <w:bCs/>
                <w:i/>
                <w:iCs/>
                <w:color w:val="000000" w:themeColor="text1"/>
                <w:sz w:val="20"/>
                <w:szCs w:val="20"/>
              </w:rPr>
            </w:pPr>
          </w:p>
        </w:tc>
        <w:tc>
          <w:tcPr>
            <w:tcW w:w="525" w:type="pct"/>
          </w:tcPr>
          <w:p w14:paraId="65950035" w14:textId="77777777" w:rsidR="00651853" w:rsidRPr="009A515A" w:rsidRDefault="00000000" w:rsidP="00654AD0">
            <w:pPr>
              <w:jc w:val="center"/>
            </w:pPr>
            <w:r w:rsidRPr="009A515A">
              <w:t>0.448</w:t>
            </w:r>
          </w:p>
        </w:tc>
        <w:tc>
          <w:tcPr>
            <w:tcW w:w="789" w:type="pct"/>
          </w:tcPr>
          <w:p w14:paraId="2035EB1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0.0313</w:t>
            </w:r>
          </w:p>
        </w:tc>
        <w:tc>
          <w:tcPr>
            <w:tcW w:w="384" w:type="pct"/>
          </w:tcPr>
          <w:p w14:paraId="4F88922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55C5A08"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DA757E">
        <w:tc>
          <w:tcPr>
            <w:tcW w:w="775" w:type="pct"/>
            <w:vMerge/>
            <w:hideMark/>
          </w:tcPr>
          <w:p w14:paraId="4E3CFFDA" w14:textId="77777777" w:rsidR="00B31225" w:rsidRPr="009A515A" w:rsidRDefault="00B31225" w:rsidP="00654AD0">
            <w:pPr>
              <w:jc w:val="center"/>
              <w:rPr>
                <w:b/>
                <w:bCs/>
                <w:i/>
                <w:iCs/>
                <w:color w:val="000000" w:themeColor="text1"/>
                <w:sz w:val="20"/>
                <w:szCs w:val="20"/>
              </w:rPr>
            </w:pPr>
          </w:p>
        </w:tc>
        <w:tc>
          <w:tcPr>
            <w:tcW w:w="675" w:type="pct"/>
            <w:hideMark/>
          </w:tcPr>
          <w:p w14:paraId="1530334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BSUC_4</w:t>
            </w:r>
          </w:p>
        </w:tc>
        <w:tc>
          <w:tcPr>
            <w:tcW w:w="581" w:type="pct"/>
            <w:hideMark/>
          </w:tcPr>
          <w:p w14:paraId="752BF68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0.682</w:t>
            </w:r>
          </w:p>
        </w:tc>
        <w:tc>
          <w:tcPr>
            <w:tcW w:w="728" w:type="pct"/>
            <w:vMerge/>
          </w:tcPr>
          <w:p w14:paraId="329E24D6" w14:textId="77777777" w:rsidR="00B31225" w:rsidRPr="009A515A" w:rsidRDefault="00B31225" w:rsidP="00654AD0">
            <w:pPr>
              <w:jc w:val="center"/>
              <w:rPr>
                <w:b/>
                <w:bCs/>
                <w:i/>
                <w:iCs/>
                <w:color w:val="000000" w:themeColor="text1"/>
                <w:sz w:val="20"/>
                <w:szCs w:val="20"/>
              </w:rPr>
            </w:pPr>
          </w:p>
        </w:tc>
        <w:tc>
          <w:tcPr>
            <w:tcW w:w="525" w:type="pct"/>
          </w:tcPr>
          <w:p w14:paraId="77F8069F" w14:textId="77777777" w:rsidR="00651853" w:rsidRPr="009A515A" w:rsidRDefault="00000000" w:rsidP="00654AD0">
            <w:pPr>
              <w:jc w:val="center"/>
            </w:pPr>
            <w:r w:rsidRPr="009A515A">
              <w:t>0.448</w:t>
            </w:r>
          </w:p>
        </w:tc>
        <w:tc>
          <w:tcPr>
            <w:tcW w:w="789" w:type="pct"/>
          </w:tcPr>
          <w:p w14:paraId="0122FCA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36431B9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7861492"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2B136A" w:rsidRDefault="007716D8" w:rsidP="002B136A">
      <w:pPr>
        <w:rPr>
          <w:b/>
          <w:bCs/>
          <w:i/>
          <w:iCs/>
          <w:color w:val="000000" w:themeColor="text1"/>
          <w:sz w:val="20"/>
          <w:szCs w:val="20"/>
        </w:rPr>
      </w:pPr>
      <w:r w:rsidRPr="002B136A">
        <w:rPr>
          <w:i/>
          <w:iCs/>
        </w:rPr>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46DB9194" w14:textId="77777777" w:rsidR="002B136A" w:rsidRDefault="002B136A" w:rsidP="0069183E">
      <w:pPr>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 Data Analysis using </w:t>
      </w:r>
      <w:r w:rsidR="00202EAC" w:rsidRPr="009A515A">
        <w:rPr>
          <w:b/>
          <w:bCs/>
          <w:i/>
          <w:iCs/>
          <w:color w:val="000000" w:themeColor="text1"/>
        </w:rPr>
        <w:t>FsQCA</w:t>
      </w:r>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lastRenderedPageBreak/>
        <w:t xml:space="preserve">5.3.1. Data Driven Results from </w:t>
      </w:r>
      <w:r w:rsidR="00202EAC" w:rsidRPr="009A515A">
        <w:rPr>
          <w:b/>
          <w:bCs/>
          <w:i/>
          <w:iCs/>
          <w:color w:val="000000" w:themeColor="text1"/>
        </w:rPr>
        <w:t>FsQCA</w:t>
      </w:r>
    </w:p>
    <w:p w14:paraId="16F19EE3" w14:textId="77777777" w:rsidR="007648C5" w:rsidRPr="009A515A" w:rsidRDefault="004309B6" w:rsidP="007648C5">
      <w:pPr>
        <w:tabs>
          <w:tab w:val="left" w:pos="426"/>
        </w:tabs>
        <w:spacing w:line="360" w:lineRule="auto"/>
        <w:jc w:val="both"/>
        <w:rPr>
          <w:color w:val="000000" w:themeColor="text1"/>
        </w:rPr>
      </w:pPr>
      <w:r w:rsidRPr="009A515A">
        <w:t>To analyse UE, UX, BSAT and BSUC, raw responses were calibrated (Ragin, 2008) into fuzzy-set membership scores, each expressing how far a case belongs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used three anchors: the 95th percentile for full membership (0.95), the 50th as the crossover point (0.50), and the 5th for full non-membership (0.05), which keeps scores between 0 and 1 (Ragin, 2008; Douglas et al., 2020). This shared scale lets us compare the calibrated UE, UX, BSAT and BSUC values directly.</w:t>
      </w:r>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Table 2. Necessity and Sufficiency Analysis of Conditions and Configurations for High Brand Success (BSUC)</w:t>
      </w:r>
    </w:p>
    <w:tbl>
      <w:tblPr>
        <w:tblStyle w:val="TableGrid"/>
        <w:tblW w:type="auto" w:w="0"/>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b/>
                <w:bCs/>
                <w:sz w:val="18"/>
                <w:szCs w:val="20"/>
              </w:rPr>
              <w:t>Condition / configuration</w:t>
            </w:r>
          </w:p>
        </w:tc>
        <w:tc>
          <w:tcPr>
            <w:tcW w:type="dxa" w:w="1128"/>
          </w:tcPr>
          <w:p>
            <w:pPr>
              <w:jc w:val="center"/>
            </w:pPr>
            <w:r>
              <w:rPr>
                <w:b/>
                <w:bCs/>
                <w:sz w:val="18"/>
                <w:szCs w:val="20"/>
              </w:rPr>
              <w:t>BSAT</w:t>
            </w:r>
          </w:p>
        </w:tc>
        <w:tc>
          <w:tcPr>
            <w:tcW w:type="dxa" w:w="1128"/>
          </w:tcPr>
          <w:p>
            <w:pPr>
              <w:jc w:val="center"/>
            </w:pPr>
            <w:r>
              <w:rPr>
                <w:b/>
                <w:bCs/>
                <w:sz w:val="18"/>
                <w:szCs w:val="20"/>
              </w:rPr>
              <w:t>UX</w:t>
            </w:r>
          </w:p>
        </w:tc>
        <w:tc>
          <w:tcPr>
            <w:tcW w:type="dxa" w:w="1128"/>
          </w:tcPr>
          <w:p>
            <w:pPr>
              <w:jc w:val="center"/>
            </w:pPr>
            <w:r>
              <w:rPr>
                <w:b/>
                <w:bCs/>
                <w:sz w:val="18"/>
                <w:szCs w:val="20"/>
              </w:rPr>
              <w:t>UE</w:t>
            </w:r>
          </w:p>
        </w:tc>
        <w:tc>
          <w:tcPr>
            <w:tcW w:type="dxa" w:w="1128"/>
          </w:tcPr>
          <w:p>
            <w:pPr>
              <w:jc w:val="center"/>
            </w:pPr>
            <w:r>
              <w:rPr>
                <w:b/>
                <w:bCs/>
                <w:sz w:val="18"/>
                <w:szCs w:val="20"/>
              </w:rPr>
              <w:t>Consistency</w:t>
            </w:r>
          </w:p>
        </w:tc>
        <w:tc>
          <w:tcPr>
            <w:tcW w:type="dxa" w:w="1128"/>
          </w:tcPr>
          <w:p>
            <w:pPr>
              <w:jc w:val="center"/>
            </w:pPr>
            <w:r>
              <w:rPr>
                <w:b/>
                <w:bCs/>
                <w:sz w:val="18"/>
                <w:szCs w:val="20"/>
              </w:rPr>
              <w:t>Raw coverage</w:t>
            </w:r>
          </w:p>
        </w:tc>
        <w:tc>
          <w:tcPr>
            <w:tcW w:type="dxa" w:w="1128"/>
          </w:tcPr>
          <w:p>
            <w:pPr>
              <w:jc w:val="center"/>
            </w:pPr>
            <w:r>
              <w:rPr>
                <w:b/>
                <w:bCs/>
                <w:sz w:val="18"/>
                <w:szCs w:val="20"/>
              </w:rPr>
              <w:t>Unique coverage</w:t>
            </w:r>
          </w:p>
        </w:tc>
        <w:tc>
          <w:tcPr>
            <w:tcW w:type="dxa" w:w="1128"/>
          </w:tcPr>
          <w:p>
            <w:pPr>
              <w:jc w:val="center"/>
            </w:pPr>
            <w:r>
              <w:rPr>
                <w:b/>
                <w:bCs/>
                <w:sz w:val="18"/>
                <w:szCs w:val="20"/>
              </w:rPr>
              <w:t>Combined coverage</w:t>
            </w:r>
          </w:p>
        </w:tc>
      </w:tr>
      <w:tr>
        <w:tc>
          <w:tcPr>
            <w:tcW w:type="dxa" w:w="1128"/>
          </w:tcPr>
          <w:p>
            <w:r>
              <w:rPr>
                <w:b/>
                <w:bCs/>
                <w:sz w:val="18"/>
                <w:szCs w:val="20"/>
              </w:rPr>
              <w:t>BSAT × UX × UE (triadic path)</w:t>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t>0.713</w:t>
            </w:r>
          </w:p>
        </w:tc>
        <w:tc>
          <w:tcPr>
            <w:tcW w:type="dxa" w:w="1128"/>
          </w:tcPr>
          <w:p>
            <w:pPr>
              <w:jc w:val="center"/>
            </w:pPr>
            <w:r>
              <w:rPr>
                <w:b/>
                <w:bCs/>
                <w:sz w:val="18"/>
                <w:szCs w:val="20"/>
              </w:rPr>
              <w:t>0.172</w:t>
            </w:r>
          </w:p>
        </w:tc>
        <w:tc>
          <w:tcPr>
            <w:tcW w:type="dxa" w:w="1128"/>
          </w:tcPr>
          <w:p>
            <w:pPr>
              <w:jc w:val="center"/>
            </w:pPr>
            <w:r>
              <w:rPr>
                <w:b/>
                <w:bCs/>
                <w:sz w:val="18"/>
                <w:szCs w:val="20"/>
              </w:rPr>
              <w:t>-</w:t>
            </w:r>
          </w:p>
        </w:tc>
        <w:tc>
          <w:tcPr>
            <w:tcW w:type="dxa" w:w="1128"/>
          </w:tcPr>
          <w:p>
            <w:pPr>
              <w:jc w:val="center"/>
            </w:pPr>
            <w:r>
              <w:rPr>
                <w:b/>
                <w:bCs/>
                <w:sz w:val="18"/>
                <w:szCs w:val="20"/>
              </w:rPr>
              <w:t>0.305</w:t>
            </w:r>
          </w:p>
        </w:tc>
      </w:tr>
      <w:tr>
        <w:tc>
          <w:tcPr>
            <w:tcW w:type="dxa" w:w="1128"/>
          </w:tcPr>
          <w:p>
            <w:r>
              <w:rPr>
                <w:b/>
                <w:bCs/>
                <w:sz w:val="18"/>
                <w:szCs w:val="20"/>
              </w:rPr>
              <w:t>BSAT × UE</w:t>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t>0.669</w:t>
            </w:r>
          </w:p>
        </w:tc>
        <w:tc>
          <w:tcPr>
            <w:tcW w:type="dxa" w:w="1128"/>
          </w:tcPr>
          <w:p>
            <w:pPr>
              <w:jc w:val="center"/>
            </w:pPr>
            <w:r>
              <w:rPr>
                <w:b/>
                <w:bCs/>
                <w:sz w:val="18"/>
                <w:szCs w:val="20"/>
              </w:rPr>
              <w:t>0.241</w:t>
            </w:r>
          </w:p>
        </w:tc>
        <w:tc>
          <w:tcPr>
            <w:tcW w:type="dxa" w:w="1128"/>
          </w:tcPr>
          <w:p>
            <w:pPr>
              <w:jc w:val="center"/>
            </w:pPr>
            <w:r>
              <w:rPr>
                <w:b/>
                <w:bCs/>
                <w:sz w:val="18"/>
                <w:szCs w:val="20"/>
              </w:rPr>
              <w:t>0.069</w:t>
            </w:r>
          </w:p>
        </w:tc>
        <w:tc>
          <w:tcPr>
            <w:tcW w:type="dxa" w:w="1128"/>
          </w:tcPr>
          <w:p>
            <w:pPr>
              <w:jc w:val="center"/>
            </w:pPr>
            <w:r>
              <w:rPr>
                <w:b/>
                <w:bCs/>
                <w:sz w:val="18"/>
                <w:szCs w:val="20"/>
              </w:rPr>
              <w:t>0.295</w:t>
            </w:r>
          </w:p>
        </w:tc>
      </w:tr>
      <w:tr>
        <w:tc>
          <w:tcPr>
            <w:tcW w:type="dxa" w:w="1128"/>
          </w:tcPr>
          <w:p>
            <w:r>
              <w:rPr>
                <w:b/>
                <w:bCs/>
                <w:sz w:val="18"/>
                <w:szCs w:val="20"/>
              </w:rPr>
              <w:t>BSAT × UX</w:t>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t>0.650</w:t>
            </w:r>
          </w:p>
        </w:tc>
        <w:tc>
          <w:tcPr>
            <w:tcW w:type="dxa" w:w="1128"/>
          </w:tcPr>
          <w:p>
            <w:pPr>
              <w:jc w:val="center"/>
            </w:pPr>
            <w:r>
              <w:rPr>
                <w:b/>
                <w:bCs/>
                <w:sz w:val="18"/>
                <w:szCs w:val="20"/>
              </w:rPr>
              <w:t>0.208</w:t>
            </w:r>
          </w:p>
        </w:tc>
        <w:tc>
          <w:tcPr>
            <w:tcW w:type="dxa" w:w="1128"/>
          </w:tcPr>
          <w:p>
            <w:pPr>
              <w:jc w:val="center"/>
            </w:pPr>
            <w:r>
              <w:rPr>
                <w:b/>
                <w:bCs/>
                <w:sz w:val="18"/>
                <w:szCs w:val="20"/>
              </w:rPr>
              <w:t>0.036</w:t>
            </w:r>
          </w:p>
        </w:tc>
        <w:tc>
          <w:tcPr>
            <w:tcW w:type="dxa" w:w="1128"/>
          </w:tcPr>
          <w:p>
            <w:pPr>
              <w:jc w:val="center"/>
            </w:pPr>
            <w:r>
              <w:rPr>
                <w:b/>
                <w:bCs/>
                <w:sz w:val="18"/>
                <w:szCs w:val="20"/>
              </w:rPr>
              <w:t>0.246</w:t>
            </w:r>
          </w:p>
        </w:tc>
      </w:tr>
      <w:tr>
        <w:tc>
          <w:tcPr>
            <w:tcW w:type="dxa" w:w="1128"/>
          </w:tcPr>
          <w:p>
            <w:r>
              <w:rPr>
                <w:b/>
                <w:bCs/>
                <w:sz w:val="18"/>
                <w:szCs w:val="20"/>
              </w:rPr>
              <w:t>UX × UE</w:t>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t>0.600</w:t>
            </w:r>
          </w:p>
        </w:tc>
        <w:tc>
          <w:tcPr>
            <w:tcW w:type="dxa" w:w="1128"/>
          </w:tcPr>
          <w:p>
            <w:pPr>
              <w:jc w:val="center"/>
            </w:pPr>
            <w:r>
              <w:rPr>
                <w:b/>
                <w:bCs/>
                <w:sz w:val="18"/>
                <w:szCs w:val="20"/>
              </w:rPr>
              <w:t>0.219</w:t>
            </w:r>
          </w:p>
        </w:tc>
        <w:tc>
          <w:tcPr>
            <w:tcW w:type="dxa" w:w="1128"/>
          </w:tcPr>
          <w:p>
            <w:pPr>
              <w:jc w:val="center"/>
            </w:pPr>
            <w:r>
              <w:rPr>
                <w:b/>
                <w:bCs/>
                <w:sz w:val="18"/>
                <w:szCs w:val="20"/>
              </w:rPr>
              <w:t>0.046</w:t>
            </w:r>
          </w:p>
        </w:tc>
        <w:tc>
          <w:tcPr>
            <w:tcW w:type="dxa" w:w="1128"/>
          </w:tcPr>
          <w:p>
            <w:pPr>
              <w:jc w:val="center"/>
            </w:pPr>
            <w:r>
              <w:rPr>
                <w:b/>
                <w:bCs/>
                <w:sz w:val="18"/>
                <w:szCs w:val="20"/>
              </w:rPr>
              <w:t>0.181</w:t>
            </w:r>
          </w:p>
        </w:tc>
      </w:tr>
      <w:tr>
        <w:tc>
          <w:tcPr>
            <w:tcW w:type="dxa" w:w="1128"/>
          </w:tcPr>
          <w:p>
            <w:r>
              <w:rPr>
                <w:b/>
                <w:bCs/>
                <w:sz w:val="18"/>
                <w:szCs w:val="20"/>
              </w:rPr>
              <w:t>BSAT (single condition)</w:t>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r>
          </w:p>
        </w:tc>
        <w:tc>
          <w:tcPr>
            <w:tcW w:type="dxa" w:w="1128"/>
          </w:tcPr>
          <w:p>
            <w:pPr>
              <w:jc w:val="center"/>
            </w:pPr>
            <w:r>
              <w:rPr>
                <w:b/>
                <w:bCs/>
                <w:sz w:val="18"/>
                <w:szCs w:val="20"/>
              </w:rPr>
              <w:t>0.410</w:t>
            </w:r>
          </w:p>
        </w:tc>
        <w:tc>
          <w:tcPr>
            <w:tcW w:type="dxa" w:w="1128"/>
          </w:tcPr>
          <w:p>
            <w:pPr>
              <w:jc w:val="center"/>
            </w:pPr>
            <w:r>
              <w:rPr>
                <w:b/>
                <w:bCs/>
                <w:sz w:val="18"/>
                <w:szCs w:val="20"/>
              </w:rPr>
              <w:t>0.368</w:t>
            </w:r>
          </w:p>
        </w:tc>
        <w:tc>
          <w:tcPr>
            <w:tcW w:type="dxa" w:w="1128"/>
          </w:tcPr>
          <w:p>
            <w:pPr>
              <w:jc w:val="center"/>
            </w:pPr>
            <w:r>
              <w:rPr>
                <w:b/>
                <w:bCs/>
                <w:sz w:val="18"/>
                <w:szCs w:val="20"/>
              </w:rPr>
              <w:t>-</w:t>
            </w:r>
          </w:p>
        </w:tc>
        <w:tc>
          <w:tcPr>
            <w:tcW w:type="dxa" w:w="1128"/>
          </w:tcPr>
          <w:p>
            <w:pPr>
              <w:jc w:val="center"/>
            </w:pPr>
            <w:r>
              <w:rPr>
                <w:b/>
                <w:bCs/>
                <w:sz w:val="18"/>
                <w:szCs w:val="20"/>
              </w:rPr>
              <w:t>0.086</w:t>
            </w:r>
          </w:p>
        </w:tc>
      </w:tr>
      <w:tr>
        <w:tc>
          <w:tcPr>
            <w:tcW w:type="dxa" w:w="1128"/>
          </w:tcPr>
          <w:p>
            <w:r>
              <w:rPr>
                <w:b/>
                <w:bCs/>
                <w:sz w:val="18"/>
                <w:szCs w:val="20"/>
              </w:rPr>
              <w:t>UE (single condition)</w:t>
            </w:r>
          </w:p>
        </w:tc>
        <w:tc>
          <w:tcPr>
            <w:tcW w:type="dxa" w:w="1128"/>
          </w:tcPr>
          <w:p>
            <w:pPr>
              <w:jc w:val="center"/>
            </w:pPr>
            <w:r>
              <w:rPr>
                <w:b/>
                <w:bCs/>
                <w:sz w:val="18"/>
                <w:szCs w:val="20"/>
              </w:rPr>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t>0.373</w:t>
            </w:r>
          </w:p>
        </w:tc>
        <w:tc>
          <w:tcPr>
            <w:tcW w:type="dxa" w:w="1128"/>
          </w:tcPr>
          <w:p>
            <w:pPr>
              <w:jc w:val="center"/>
            </w:pPr>
            <w:r>
              <w:rPr>
                <w:b/>
                <w:bCs/>
                <w:sz w:val="18"/>
                <w:szCs w:val="20"/>
              </w:rPr>
              <w:t>0.349</w:t>
            </w:r>
          </w:p>
        </w:tc>
        <w:tc>
          <w:tcPr>
            <w:tcW w:type="dxa" w:w="1128"/>
          </w:tcPr>
          <w:p>
            <w:pPr>
              <w:jc w:val="center"/>
            </w:pPr>
            <w:r>
              <w:rPr>
                <w:b/>
                <w:bCs/>
                <w:sz w:val="18"/>
                <w:szCs w:val="20"/>
              </w:rPr>
              <w:t>-</w:t>
            </w:r>
          </w:p>
        </w:tc>
        <w:tc>
          <w:tcPr>
            <w:tcW w:type="dxa" w:w="1128"/>
          </w:tcPr>
          <w:p>
            <w:pPr>
              <w:jc w:val="center"/>
            </w:pPr>
            <w:r>
              <w:rPr>
                <w:b/>
                <w:bCs/>
                <w:sz w:val="18"/>
                <w:szCs w:val="20"/>
              </w:rPr>
              <w:t>0.084</w:t>
            </w:r>
          </w:p>
        </w:tc>
      </w:tr>
      <w:tr>
        <w:tc>
          <w:tcPr>
            <w:tcW w:type="dxa" w:w="1128"/>
          </w:tcPr>
          <w:p>
            <w:r>
              <w:rPr>
                <w:b/>
                <w:bCs/>
                <w:sz w:val="18"/>
                <w:szCs w:val="20"/>
              </w:rPr>
              <w:t>UX (single condition)</w:t>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t>0.362</w:t>
            </w:r>
          </w:p>
        </w:tc>
        <w:tc>
          <w:tcPr>
            <w:tcW w:type="dxa" w:w="1128"/>
          </w:tcPr>
          <w:p>
            <w:pPr>
              <w:jc w:val="center"/>
            </w:pPr>
            <w:r>
              <w:rPr>
                <w:b/>
                <w:bCs/>
                <w:sz w:val="18"/>
                <w:szCs w:val="20"/>
              </w:rPr>
              <w:t>0.349</w:t>
            </w:r>
          </w:p>
        </w:tc>
        <w:tc>
          <w:tcPr>
            <w:tcW w:type="dxa" w:w="1128"/>
          </w:tcPr>
          <w:p>
            <w:pPr>
              <w:jc w:val="center"/>
            </w:pPr>
            <w:r>
              <w:rPr>
                <w:b/>
                <w:bCs/>
                <w:sz w:val="18"/>
                <w:szCs w:val="20"/>
              </w:rPr>
              <w:t>-</w:t>
            </w:r>
          </w:p>
        </w:tc>
        <w:tc>
          <w:tcPr>
            <w:tcW w:type="dxa" w:w="1128"/>
          </w:tcPr>
          <w:p>
            <w:pPr>
              <w:jc w:val="center"/>
            </w:pPr>
            <w:r>
              <w:rPr>
                <w:b/>
                <w:bCs/>
                <w:sz w:val="18"/>
                <w:szCs w:val="20"/>
              </w:rPr>
              <w:t>0.084</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Note: Model BSUC = f (BSAT, UX, UE). ● = condition present in the configuration; blank = "don’t care" (condition irrelevant for that configuration). Unique coverage is reported for the three sufficient configurations of the intermediate solution. Overall solution coverage: 0.323827; overall solution consistency: 0.756327. A condition qualifies as necessary only where consistency exceeds 0.90.</w:t>
        <w:tab/>
        <w:t>Source: Authors</w:t>
      </w:r>
    </w:p>
    <w:p w14:paraId="12BDFECC" w14:textId="77777777" w:rsidR="002066CD" w:rsidRPr="009A515A" w:rsidRDefault="002066CD" w:rsidP="009C6E49">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Table 2 reports the intermediate solution for BSUC = f(BSAT, UX, UE). Three two-condition configurations BSAT × UX, BSAT × UE and UX × UE are each sufficient for high brand success, and together they account for roughly 32% of the outcome at an overall solution consistency of 0.756.</w:t>
      </w:r>
    </w:p>
    <w:p w14:paraId="4177F0DE" w14:textId="77777777" w:rsidR="009D2FA9" w:rsidRPr="009A515A" w:rsidRDefault="00AF1DC4" w:rsidP="008871CF">
      <w:pPr>
        <w:spacing w:line="360" w:lineRule="auto"/>
        <w:ind w:firstLine="426"/>
        <w:jc w:val="both"/>
        <w:rPr>
          <w:color w:val="000000" w:themeColor="text1"/>
        </w:rPr>
      </w:pPr>
      <w:r w:rsidRPr="009A515A">
        <w:t>Figure 1 sets out the framework for brand success, with UX, UE and BSAT as antecedent conditions for BSUC. The subset–superset analysis asks which combinations are jointly sufficient for high brand success rather than estimating one directional path, which anchors the conceptual model in the empirical configurations.</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lastRenderedPageBreak/>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t>Figure 1. Conceptual model and hypotheses (H1–H3): user engagement (UE) and user experience (UX) as antecedents, brand satisfaction (BSAT) as mediator, and brand success (BSUC) as the outcome, framed by Flow Theory and Self-Determination Theory.</w:t>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6CA2DFC" w14:textId="77777777" w:rsidR="005E0F58" w:rsidRPr="009A515A" w:rsidRDefault="005E0F58" w:rsidP="005208D3">
      <w:pPr>
        <w:jc w:val="both"/>
        <w:rPr>
          <w:i/>
          <w:iCs/>
          <w:color w:val="000000" w:themeColor="text1"/>
        </w:rPr>
      </w:pP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The configurational results make equifinality plain: several distinct paths reach the same outcome (Ragin, 2008). No single factor BSAT, UX or UE is necessary on its own; it is their interaction that drives brand outcomes in immersive digital environments.</w:t>
      </w:r>
    </w:p>
    <w:p w14:paraId="7F1AD3D2" w14:textId="77777777" w:rsidR="00596F8F" w:rsidRPr="009A515A" w:rsidRDefault="00581E44" w:rsidP="00596F8F">
      <w:pPr>
        <w:spacing w:line="360" w:lineRule="auto"/>
        <w:ind w:firstLine="426"/>
        <w:jc w:val="both"/>
        <w:rPr>
          <w:color w:val="000000" w:themeColor="text1"/>
        </w:rPr>
      </w:pPr>
      <w:r w:rsidRPr="009A515A">
        <w:t>Each sufficient path carries a distinct meaning. BSAT × UX delivers brand success even without strong engagement, since satisfied users with positive immersive experiences form lasting relationships (Bilgihan et al., 2024); BSAT × UE pairs satisfaction with active participation, lifting loyalty and advocacy (Hollebeek et al., 2022); and UX × UE shows that immersive interactive environments yield favourable outcomes even without reported satisfaction, which supports Flow Theory (Csikszentmihalyi, 1990).</w:t>
      </w:r>
    </w:p>
    <w:p w14:paraId="433D2809" w14:textId="140490A5" w:rsidR="00596F8F" w:rsidRPr="009A515A" w:rsidRDefault="00581E44" w:rsidP="00596F8F">
      <w:pPr>
        <w:spacing w:line="360" w:lineRule="auto"/>
        <w:ind w:firstLine="426"/>
        <w:jc w:val="both"/>
        <w:rPr>
          <w:color w:val="000000" w:themeColor="text1"/>
        </w:rPr>
      </w:pPr>
      <w:r w:rsidRPr="009A515A">
        <w:t>The subset–superset analysis widens the picture. The triadic path (BSAT × UX × UE) records the highest consistency and combined coverage: satisfied, engaged and immersed users push brand success to its peak, in step with service-dominant logic and value co-creation. The remaining paths show room to manoeuvre, since satisfaction combined with either experience or engagement suffices, so brands can tailor strategies to their strengths, while UX × UE, despite lower consistency, backs immersive participatory experiences (Shin, 2019).</w:t>
      </w:r>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34CCD0A5" w:rsidR="00112445" w:rsidRPr="009A515A" w:rsidRDefault="00AE1AAA" w:rsidP="00732C9D">
      <w:pPr>
        <w:spacing w:line="360" w:lineRule="auto"/>
        <w:jc w:val="both"/>
        <w:rPr>
          <w:color w:val="000000" w:themeColor="text1"/>
        </w:rPr>
      </w:pPr>
      <w:r w:rsidRPr="00AE1AAA">
        <w:t>The necessity analysis determines whether a condition must be present for the outcome, and a condition is necessary only if its consistency exceeds 0.90 (Schneider and Wagemann, 2012). As Table 2 shows, none of the single conditions came close to that threshold. Combinations are the key to high brand success, not any one essential condition, and that is why we turn to the sufficiency analysis.</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which configurations are jointly sufficient. UE, UX and BSAT were entered into the truth table with consistency and frequency thresholds applied (Ragin, 2008; Schneider and Wagemann, 2012). As Table 2 reports, brand satisfaction turns up in every high-consistency sufficient path, while engagement and experience contribute in combination rather than in isolation a pattern that sits well with prior evidence on engagement–loyalty links (Jeong and Kim, 2019) and social-media effects on customer equity (Ebrahim, 2020).</w:t>
      </w:r>
    </w:p>
    <w:p w14:paraId="3969A90C" w14:textId="77777777" w:rsidR="003F0E63" w:rsidRPr="009A515A" w:rsidRDefault="007648C5" w:rsidP="007648C5">
      <w:pPr>
        <w:tabs>
          <w:tab w:val="left" w:pos="426"/>
        </w:tabs>
        <w:spacing w:line="360" w:lineRule="auto"/>
        <w:jc w:val="both"/>
        <w:rPr>
          <w:color w:val="000000" w:themeColor="text1"/>
        </w:rPr>
      </w:pPr>
      <w:r w:rsidRPr="009A515A">
        <w:t>User engagement here is multifaceted asset trading, event attendance, social interaction and content creation and it reflects psychological, social and experiential motivations, which the UE and UX constructs capture rather than any platform-specific variables.</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470F70" w:rsidRDefault="00000000">
      <w:pPr>
        <w:rPr>
          <w:b/>
          <w:bCs/>
        </w:rPr>
      </w:pPr>
      <w:r w:rsidRPr="00470F70">
        <w:rPr>
          <w:b/>
          <w:bCs/>
        </w:rPr>
        <w:t>5.4 Structural Model and Hypothesis Evaluation</w:t>
      </w:r>
    </w:p>
    <w:p w14:paraId="2F1F4272" w14:textId="77777777" w:rsidR="00651853" w:rsidRPr="009A515A" w:rsidRDefault="00000000" w:rsidP="004A788B">
      <w:pPr>
        <w:spacing w:line="360" w:lineRule="auto"/>
        <w:jc w:val="both"/>
      </w:pPr>
      <w:r w:rsidRPr="009A515A">
        <w:t>fsQCA tests sufficiency, not net linear effects, so the hypotheses are evaluated configurationally against Table 2. In line with the necessity result, user engagement and user experience are not sufficient alone; they support brand success only in combination, which backs H1 and H2 within sufficient configurations. Brand satisfaction shows up in every high-consistency path and posts the highest single-condition consistency, a sign of the central, mediation-consistent role that supports H3. A formal bootstrap mediation test would make a useful complement.</w:t>
      </w:r>
    </w:p>
    <w:p w14:paraId="7CCE7D31" w14:textId="77777777" w:rsidR="001E09DE" w:rsidRPr="009A515A" w:rsidRDefault="001E09DE" w:rsidP="002F08A5">
      <w:pPr>
        <w:spacing w:line="360" w:lineRule="auto"/>
        <w:jc w:val="both"/>
      </w:pPr>
    </w:p>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findings clarify how combinations of UE, UX and BSAT contribute to brand success in the metaverse, and they mark out the main pathways to favourable outcomes.</w:t>
      </w:r>
    </w:p>
    <w:p w14:paraId="2D8738D2" w14:textId="77777777" w:rsidR="00DE541C" w:rsidRDefault="00DE541C" w:rsidP="00DE541C">
      <w:pPr>
        <w:spacing w:line="360" w:lineRule="auto"/>
        <w:ind w:firstLine="360"/>
        <w:jc w:val="both"/>
      </w:pPr>
      <w:r>
        <w:t>The BSAT × UX configuration proved substantively important: satisfied users who feel they have a high-quality immersive experience become loyal advocates, which is consistent with previous research on the relationship between satisfaction, experience and emotional connection (Thaichon et al., 2022; Bilgihan et al., 2024). Brands should prioritise seamless immersive experiences while facing up to ethical concerns such as data-privacy risks and excessive use.</w:t>
      </w:r>
    </w:p>
    <w:p w14:paraId="379BA735" w14:textId="77777777" w:rsidR="00DE541C" w:rsidRDefault="00DE541C" w:rsidP="00DE541C">
      <w:pPr>
        <w:spacing w:line="360" w:lineRule="auto"/>
        <w:ind w:firstLine="360"/>
        <w:jc w:val="both"/>
      </w:pPr>
      <w:r>
        <w:t>The association of BSAT × UE was similarly strong, echoing established engagement–equity links (Jeong and Kim, 2019): brands need to promote gamified and co-creation activities that further engage the customer without compromising satisfaction. UX × UE, although less consistent, indicates that engagement is best achieved where experience quality is high even when satisfaction is not reported, which aligns with the challenge–skill balance (Csikszentmihalyi, 1990; Shin, 2019).</w:t>
      </w:r>
    </w:p>
    <w:p w14:paraId="37561B03" w14:textId="7F3971D8" w:rsidR="00B4046B" w:rsidRPr="009A515A" w:rsidRDefault="00B4046B" w:rsidP="00B4046B">
      <w:pPr>
        <w:spacing w:line="360" w:lineRule="auto"/>
        <w:ind w:firstLine="360"/>
        <w:jc w:val="both"/>
        <w:rPr>
          <w:color w:val="000000" w:themeColor="text1"/>
        </w:rPr>
      </w:pPr>
      <w:r w:rsidRPr="009A515A">
        <w:t>Individual factors scored lower consistency than their combinations, which argues for holistic strategies: the triadic path reached the highest consistency, reinforcing Flow Theory’s premise that optimal engagement grows out of a balance between challenge and skill in immersive environments (Csikszentmihalyi, 1990).</w:t>
      </w:r>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brings SDT and Flow Theory together inside immersive, digitally mediated environments defined by persistent communities, avatar-based identity and interactive interfaces, clarifying how psychological needs and experiential states jointly shape engagement, satisfaction and brand outcomes. Earlier applications sat in traditional or gamified settings; metaverse interactions instead blend intrinsic motivation and experiential absorption in a distinctive way, which carries both theories into co-created domains.</w:t>
      </w:r>
    </w:p>
    <w:p w14:paraId="7DADEC4C" w14:textId="77777777" w:rsidR="00BE64E6" w:rsidRPr="009A515A" w:rsidRDefault="00BE64E6" w:rsidP="00BE64E6">
      <w:pPr>
        <w:spacing w:line="360" w:lineRule="auto"/>
        <w:ind w:firstLine="426"/>
        <w:jc w:val="both"/>
        <w:rPr>
          <w:color w:val="000000" w:themeColor="text1"/>
        </w:rPr>
      </w:pPr>
      <w:r w:rsidRPr="009A515A">
        <w:t>Within SDT, autonomy, competence and relatedness take distinctive forms: autonomy through customisable avatars and digital-asset ownership, competence through skill-based challenges, and relatedness through persistent social interaction in branded communities (Bilgihan et al., 2024). We advance these as conceptual mechanisms behind engagement and experience, not as separately measured effects.</w:t>
      </w:r>
    </w:p>
    <w:p w14:paraId="144F2C07" w14:textId="29C2D2FA" w:rsidR="00BE64E6" w:rsidRPr="009A515A" w:rsidRDefault="00BE64E6" w:rsidP="00BE64E6">
      <w:pPr>
        <w:spacing w:line="360" w:lineRule="auto"/>
        <w:ind w:firstLine="426"/>
        <w:jc w:val="both"/>
        <w:rPr>
          <w:color w:val="000000" w:themeColor="text1"/>
        </w:rPr>
      </w:pPr>
      <w:r w:rsidRPr="009A515A">
        <w:t>We extend Flow Theory by proposing that experiential immersion depends on matching task challenge to user skill, tuned by digital affordances and interaction design (Zhong and Hamouda, 2024), with gamified missions and event-based interactions acting as flow facilitators. Deep immersive engagement can therefore yield favourable outcomes even when satisfaction is not the dominant condition.</w:t>
      </w:r>
    </w:p>
    <w:p w14:paraId="3576835E" w14:textId="77777777" w:rsidR="00BE64E6" w:rsidRPr="009A515A" w:rsidRDefault="00BE64E6" w:rsidP="00BE64E6">
      <w:pPr>
        <w:spacing w:line="360" w:lineRule="auto"/>
        <w:ind w:firstLine="426"/>
        <w:jc w:val="both"/>
        <w:rPr>
          <w:color w:val="000000" w:themeColor="text1"/>
        </w:rPr>
      </w:pPr>
      <w:r w:rsidRPr="009A515A">
        <w:t>Taken together, the confluence of need satisfaction and experiential immersion is associated with engagement, satisfaction and brand performance, extending SDT and Flow Theory into co-created digital domains while keeping tested associations separate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User experience recurs across the configurations associated with success, so crafting engaging, interactive and personalised metaverse experiences is central to sustaining engagement and long-term brand success.</w:t>
      </w:r>
    </w:p>
    <w:p w14:paraId="16AC7CBD" w14:textId="77777777" w:rsidR="005E7707" w:rsidRPr="009A515A" w:rsidRDefault="005E7707" w:rsidP="005E7707">
      <w:pPr>
        <w:spacing w:line="360" w:lineRule="auto"/>
        <w:ind w:firstLine="426"/>
        <w:jc w:val="both"/>
        <w:rPr>
          <w:color w:val="000000" w:themeColor="text1"/>
        </w:rPr>
      </w:pPr>
      <w:r w:rsidRPr="009A515A">
        <w:t>Brands should build immersive experiences tied to users’ virtual identities: customisable avatars and interactive environments let users express who they are and strengthen presence, reinforcing the emotional bond. When a brand’s virtual presence matches users’ self-concept, tailored experiences deepen engagement, loyalty and advocacy (Thaichon et al., 2022; Xie and Muralidharan, 2023).</w:t>
      </w:r>
    </w:p>
    <w:p w14:paraId="723A13EE" w14:textId="6CB21AB9" w:rsidR="005E7707" w:rsidRPr="009A515A" w:rsidRDefault="005E7707" w:rsidP="005E7707">
      <w:pPr>
        <w:spacing w:line="360" w:lineRule="auto"/>
        <w:ind w:firstLine="426"/>
        <w:jc w:val="both"/>
        <w:rPr>
          <w:color w:val="000000" w:themeColor="text1"/>
        </w:rPr>
      </w:pPr>
      <w:r w:rsidRPr="009A515A">
        <w:t>Frequently discussed features NFT interoperability, smart contracts and rarity dynamics may strengthen exclusivity and trust, but they were not measured here and are therefore presented as future avenues rather than findings.</w:t>
      </w:r>
    </w:p>
    <w:p w14:paraId="391B9749" w14:textId="4BB81894" w:rsidR="005E7707" w:rsidRPr="009A515A" w:rsidRDefault="005E7707" w:rsidP="005E7707">
      <w:pPr>
        <w:spacing w:line="360" w:lineRule="auto"/>
        <w:ind w:firstLine="426"/>
        <w:jc w:val="both"/>
        <w:rPr>
          <w:color w:val="000000" w:themeColor="text1"/>
        </w:rPr>
      </w:pPr>
      <w:r w:rsidRPr="009A515A">
        <w:t>The results also show synergy between satisfaction and engagement (Jeong and Kim, 2019): managers should build gamified, co-creation and reward opportunities that deepen involvement, because a user’s sense of ownership reinforces attachment and long-term loyalty.</w:t>
      </w:r>
    </w:p>
    <w:p w14:paraId="557B7326" w14:textId="77777777" w:rsidR="00BE64E6" w:rsidRPr="009A515A" w:rsidRDefault="00BE64E6" w:rsidP="00BE64E6">
      <w:pPr>
        <w:spacing w:line="360" w:lineRule="auto"/>
        <w:ind w:firstLine="426"/>
        <w:jc w:val="both"/>
        <w:rPr>
          <w:color w:val="000000" w:themeColor="text1"/>
        </w:rPr>
      </w:pPr>
      <w:r w:rsidRPr="009A515A">
        <w:t>Immersive offerings must therefore be emotionally resonant, consistent and matched to users’ values and identities (Jung and Pawlowski, 2014); functional or visually appealing assets no longer cut it, and brands delivering high-quality interactive experiences build lasting engagement, loyalty and competitive advantage.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The study carries several limitations. The sample of 312 active, experienced users guarantees expertise but may tilt results toward highly engaged participants and underrepresent casual or novice users, which limits generalisability; a more diverse, representative sampling frame is needed.</w:t>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Inclusion and exclusion decisions may have missed relevant factors, and the lack of a control group limits causal attribution. fsQCA handles complex causal analysis well, yet its small-N, qualitative orientation trims robustness next to larger quantitative models and limits methodological triangulation.</w:t>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The cross-sectional design cannot track how engagement and experience change over time; longitudinal studies are needed to test whether engagement holds up. Ethical questions privacy, addiction, cyberbullying, exploitation stay underexplored, and future work should build safeguards for user well-being.</w:t>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Several large technology firms have pulled back their metaverse investments, so we frame our contribution conservatively. The findings speak most directly to brands active on large, metaverse-like platforms game-based worlds such as Roblox and Fortnite, and social virtual reality and to the design of future immersive environments, since the psychological mechanisms engagement, experience and satisfaction are likely to persist across successive technological forms.</w:t>
      </w:r>
    </w:p>
    <w:p w14:paraId="19A4A3ED" w14:textId="1780B9F9" w:rsidR="00ED21A3" w:rsidRPr="00ED21A3" w:rsidRDefault="00ED21A3" w:rsidP="00ED21A3">
      <w:pPr>
        <w:spacing w:line="360" w:lineRule="auto"/>
        <w:ind w:right="-188"/>
        <w:jc w:val="both"/>
      </w:pPr>
      <w:r>
        <w:t xml:space="preserve">       </w:t>
      </w:r>
    </w:p>
    <w:p w14:paraId="19F7DF85" w14:textId="77777777" w:rsidR="00ED21A3" w:rsidRDefault="00ED21A3" w:rsidP="00ED21A3">
      <w:pPr>
        <w:spacing w:line="360" w:lineRule="auto"/>
        <w:jc w:val="both"/>
        <w:rPr>
          <w:b/>
          <w:bCs/>
        </w:rPr>
      </w:pPr>
    </w:p>
    <w:p w14:paraId="47679D0D" w14:textId="244F84C1" w:rsidR="00EE3E19" w:rsidRPr="00BE5026" w:rsidRDefault="00EE3E19" w:rsidP="00EE3E19">
      <w:pPr>
        <w:spacing w:line="360" w:lineRule="auto"/>
        <w:jc w:val="both"/>
        <w:rPr>
          <w:i/>
          <w:iCs/>
        </w:rPr>
      </w:pPr>
      <w:r w:rsidRPr="00811BA2">
        <w:rPr>
          <w:b/>
          <w:bCs/>
        </w:rPr>
        <w:t xml:space="preserve">Funding: </w:t>
      </w:r>
      <w:r w:rsidRPr="00BE5026">
        <w:rPr>
          <w:i/>
          <w:iCs/>
        </w:rPr>
        <w:t>This research received no specific grant from any funding agency in the public, commercial, or not-for-profit sectors.</w:t>
      </w:r>
    </w:p>
    <w:p w14:paraId="3931A86D" w14:textId="022C3EE7" w:rsidR="00816F08" w:rsidRPr="00BE5026" w:rsidRDefault="00EE3E19" w:rsidP="001F1C59">
      <w:pPr>
        <w:spacing w:line="360" w:lineRule="auto"/>
        <w:jc w:val="both"/>
        <w:rPr>
          <w:i/>
          <w:iCs/>
        </w:rPr>
      </w:pPr>
      <w:r w:rsidRPr="00811BA2">
        <w:rPr>
          <w:b/>
          <w:bCs/>
        </w:rPr>
        <w:t xml:space="preserve">Conflicts of Interest: </w:t>
      </w:r>
      <w:r w:rsidRPr="00BE5026">
        <w:rPr>
          <w:i/>
          <w:iCs/>
        </w:rPr>
        <w:t>The authors declare no conflicts of interest.</w:t>
      </w:r>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Table 1.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1.</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w:t>
            </w:r>
            <w:r w:rsidRPr="009A515A">
              <w:lastRenderedPageBreak/>
              <w:t>(2024); Cadet and Chainay (2020)</w:t>
            </w:r>
          </w:p>
        </w:tc>
        <w:tc>
          <w:tcPr>
            <w:tcW w:w="3009" w:type="dxa"/>
          </w:tcPr>
          <w:p w14:paraId="180EF302" w14:textId="77777777" w:rsidR="00651853" w:rsidRPr="009A515A" w:rsidRDefault="00000000">
            <w:r w:rsidRPr="009A515A">
              <w:lastRenderedPageBreak/>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Mathwick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lastRenderedPageBreak/>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7921F336" w14:textId="77777777" w:rsidR="001F4649" w:rsidRPr="009A515A" w:rsidRDefault="001F4649" w:rsidP="00D05FD0">
      <w:pPr>
        <w:shd w:val="clear" w:color="auto" w:fill="FFFFFF" w:themeFill="background1"/>
        <w:spacing w:line="360" w:lineRule="auto"/>
        <w:ind w:left="720" w:hanging="720"/>
        <w:jc w:val="both"/>
      </w:pPr>
      <w:r w:rsidRPr="009A515A">
        <w:t>Anderson, K. C., Hansen, H., and Laverie, D. (2024). Technology has Agency too! Disentangling Technology's Causal and Structural Agency in a Service System. </w:t>
      </w:r>
      <w:r w:rsidRPr="009A515A">
        <w:rPr>
          <w:i/>
          <w:iCs/>
        </w:rPr>
        <w:t>Journal of Macromarketing</w:t>
      </w:r>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Arya, V., Sethi, D., and Hollebeek, L. D. (2024b). Using augmented reality to strengthen consumer/brand relationships: the case of luxury brands. </w:t>
      </w:r>
      <w:r w:rsidRPr="009A515A">
        <w:rPr>
          <w:i/>
          <w:iCs/>
        </w:rPr>
        <w:t>Journal of Consumer Behaviour</w:t>
      </w:r>
      <w:r w:rsidRPr="009A515A">
        <w:t xml:space="preserve">. </w:t>
      </w:r>
      <w:hyperlink r:id="rId11"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Bilgihan,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2" w:name="_Hlk199423080"/>
      <w:r w:rsidRPr="009A515A">
        <w:t>Brandes, L., and Dölp, K. (2025)</w:t>
      </w:r>
      <w:bookmarkEnd w:id="2"/>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Brodie, R. J., Hollebeek,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3" w:name="_Hlk199422160"/>
      <w:r w:rsidRPr="009A515A">
        <w:lastRenderedPageBreak/>
        <w:t>Brouard</w:t>
      </w:r>
      <w:bookmarkEnd w:id="3"/>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r w:rsidRPr="009A515A">
        <w:rPr>
          <w:lang w:val="fr-FR"/>
        </w:rPr>
        <w:t xml:space="preserve">Buhalis,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4" w:name="_Hlk199421309"/>
      <w:r w:rsidRPr="009A515A">
        <w:t>Cadet</w:t>
      </w:r>
      <w:bookmarkEnd w:id="4"/>
      <w:r w:rsidRPr="009A515A">
        <w:t xml:space="preserve">, L. B., and </w:t>
      </w:r>
      <w:bookmarkStart w:id="5" w:name="_Hlk199421317"/>
      <w:r w:rsidRPr="009A515A">
        <w:t>Chainay</w:t>
      </w:r>
      <w:bookmarkEnd w:id="5"/>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Chandra, S., Verma, S., Lim, W. M., Kumar, S., and Donthu,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Acta Psychologica</w:t>
      </w:r>
      <w:r w:rsidRPr="009A515A">
        <w:rPr>
          <w:color w:val="000000" w:themeColor="text1"/>
        </w:rPr>
        <w:t>, </w:t>
      </w:r>
      <w:r w:rsidRPr="009A515A">
        <w:rPr>
          <w:i/>
          <w:iCs/>
          <w:color w:val="000000" w:themeColor="text1"/>
        </w:rPr>
        <w:t>248</w:t>
      </w:r>
      <w:r w:rsidRPr="009A515A">
        <w:rPr>
          <w:color w:val="000000" w:themeColor="text1"/>
        </w:rPr>
        <w:t>, 104424.</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6" w:name="_Hlk199324780"/>
      <w:r w:rsidRPr="009A515A">
        <w:t>Daassi</w:t>
      </w:r>
      <w:bookmarkEnd w:id="6"/>
      <w:r w:rsidRPr="009A515A">
        <w:t>, M., and Debbabi,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Deci, E. L., and Ryan, R. M. (2000). The “What” and “Why” of Goal Pursuits: Human Needs and the Self-Determination of Behavior.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7" w:name="_Hlk199356571"/>
      <w:r w:rsidRPr="009A515A">
        <w:rPr>
          <w:color w:val="000000" w:themeColor="text1"/>
        </w:rPr>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7"/>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Duong, C. D., Ngo, T. V. N., Khuc, T. A., Tran, N. M., and Nguyen, T. P. T. (2025). Unraveling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15064"/>
      <w:r w:rsidRPr="009A515A">
        <w:rPr>
          <w:color w:val="000000" w:themeColor="text1"/>
        </w:rPr>
        <w:t>Dwivedi</w:t>
      </w:r>
      <w:bookmarkEnd w:id="8"/>
      <w:r w:rsidRPr="009A515A">
        <w:rPr>
          <w:color w:val="000000" w:themeColor="text1"/>
        </w:rPr>
        <w:t>, Y. K., Hughes, L., Wang, Y., Alalwan,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lastRenderedPageBreak/>
        <w:t>Eggenschwiler, M., Linzmajer,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6CD561AB" w14:textId="77777777" w:rsidR="001F4649" w:rsidRPr="009A515A" w:rsidRDefault="001F4649" w:rsidP="00D05FD0">
      <w:pPr>
        <w:shd w:val="clear" w:color="auto" w:fill="FFFFFF" w:themeFill="background1"/>
        <w:spacing w:line="360" w:lineRule="auto"/>
        <w:ind w:left="720" w:hanging="720"/>
        <w:jc w:val="both"/>
      </w:pPr>
      <w:bookmarkStart w:id="9" w:name="_Hlk199324225"/>
      <w:r w:rsidRPr="009A515A">
        <w:t>Fan</w:t>
      </w:r>
      <w:bookmarkEnd w:id="9"/>
      <w:r w:rsidRPr="009A515A">
        <w:t>, X., Jiang, X., and Deng, N. (2022). Immersive technology: A meta-analysis of augmented/virtual reality applications and their impact on tourism experience. </w:t>
      </w:r>
      <w:r w:rsidRPr="009A515A">
        <w:rPr>
          <w:i/>
          <w:iCs/>
        </w:rPr>
        <w:t>Tourism Management</w:t>
      </w:r>
      <w:r w:rsidRPr="009A515A">
        <w:t>, </w:t>
      </w:r>
      <w:r w:rsidRPr="009A515A">
        <w:rPr>
          <w:i/>
          <w:iCs/>
        </w:rPr>
        <w:t>91</w:t>
      </w:r>
      <w:r w:rsidRPr="009A515A">
        <w:t>, 104534.</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Fornell, Claes, Michael D. Johnson, Eugene W. Anderson, Jaesung Cha, and Barbara Everitt Bryant. "The American customer satisfaction index: nature, purpose, and findings." </w:t>
      </w:r>
      <w:r w:rsidRPr="009A515A">
        <w:rPr>
          <w:i/>
          <w:iCs/>
        </w:rPr>
        <w:t>Journal of Marketing</w:t>
      </w:r>
      <w:r w:rsidRPr="009A515A">
        <w:t> 60, no. 4 (1996): 7-18.</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0" w:name="_Hlk199356732"/>
      <w:r w:rsidRPr="009A515A">
        <w:rPr>
          <w:color w:val="000000" w:themeColor="text1"/>
          <w:lang w:val="fr-FR"/>
        </w:rPr>
        <w:t>Habachi</w:t>
      </w:r>
      <w:bookmarkEnd w:id="10"/>
      <w:r w:rsidRPr="009A515A">
        <w:rPr>
          <w:color w:val="000000" w:themeColor="text1"/>
          <w:lang w:val="fr-FR"/>
        </w:rPr>
        <w:t xml:space="preserve">, S., Matute, J., and Palau-Saumell, R. (2024). </w:t>
      </w:r>
      <w:r w:rsidRPr="009A515A">
        <w:rPr>
          <w:color w:val="000000" w:themeColor="text1"/>
        </w:rPr>
        <w:t>Gamify, engage, build loyalty: exploring the benefits of gameful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Hennig-Thurau, T., Aliman, D. N., Herting, A. M., Cziehso,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Henseler, J., Ringle, C. M., &amp; Sarstedt, M. (2015). A new criterion for assessing discriminant validity in variance-based structural equation modeling.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r w:rsidRPr="009A515A">
        <w:rPr>
          <w:i/>
          <w:iCs/>
          <w:lang w:val="fr-FR"/>
        </w:rPr>
        <w:t>RandD Management</w:t>
      </w:r>
      <w:r w:rsidRPr="009A515A">
        <w:rPr>
          <w:lang w:val="fr-FR"/>
        </w:rPr>
        <w:t>, </w:t>
      </w:r>
      <w:r w:rsidRPr="009A515A">
        <w:rPr>
          <w:i/>
          <w:iCs/>
          <w:lang w:val="fr-FR"/>
        </w:rPr>
        <w:t>55</w:t>
      </w:r>
      <w:r w:rsidRPr="009A515A">
        <w:rPr>
          <w:lang w:val="fr-FR"/>
        </w:rPr>
        <w:t>(2), 420-437.</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1" w:name="_Hlk207269168"/>
      <w:r w:rsidRPr="009A515A">
        <w:rPr>
          <w:rFonts w:eastAsia="inter"/>
          <w:bCs/>
          <w:color w:val="000000"/>
          <w:sz w:val="22"/>
        </w:rPr>
        <w:lastRenderedPageBreak/>
        <w:t>Hyeon Jo, Jae Kwang Lee</w:t>
      </w:r>
      <w:bookmarkEnd w:id="11"/>
      <w:r w:rsidRPr="009A515A">
        <w:rPr>
          <w:rFonts w:eastAsia="inter"/>
          <w:bCs/>
          <w:color w:val="000000"/>
          <w:sz w:val="22"/>
        </w:rPr>
        <w:t>; Key Drivers of User Engagement in Game-Based Metaverses: Enjoyment, Escapism, Reward, and Spontaneity. </w:t>
      </w:r>
      <w:r w:rsidRPr="009A515A">
        <w:rPr>
          <w:rFonts w:eastAsia="inter"/>
          <w:bCs/>
          <w:i/>
          <w:iCs/>
          <w:color w:val="000000"/>
          <w:sz w:val="22"/>
        </w:rPr>
        <w:t>PRESENCE: Virtual and Augmented Reality</w:t>
      </w:r>
      <w:r w:rsidRPr="009A515A">
        <w:rPr>
          <w:rFonts w:eastAsia="inter"/>
          <w:bCs/>
          <w:color w:val="000000"/>
          <w:sz w:val="22"/>
        </w:rPr>
        <w:t> 2025; 34 219–241.</w:t>
      </w:r>
    </w:p>
    <w:p w14:paraId="029504BF" w14:textId="77777777" w:rsidR="001F4649" w:rsidRPr="009A515A" w:rsidRDefault="001F4649" w:rsidP="00D05FD0">
      <w:pPr>
        <w:shd w:val="clear" w:color="auto" w:fill="FFFFFF" w:themeFill="background1"/>
        <w:spacing w:line="360" w:lineRule="auto"/>
        <w:ind w:left="720" w:hanging="720"/>
        <w:jc w:val="both"/>
      </w:pPr>
      <w:bookmarkStart w:id="12" w:name="_Hlk199329375"/>
      <w:r w:rsidRPr="009A515A">
        <w:rPr>
          <w:lang w:val="fr-FR"/>
        </w:rPr>
        <w:t>İlkan</w:t>
      </w:r>
      <w:bookmarkEnd w:id="12"/>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3A2FF2C3" w14:textId="77777777" w:rsidR="001F4649" w:rsidRPr="009A515A" w:rsidRDefault="001F4649" w:rsidP="00D05FD0">
      <w:pPr>
        <w:shd w:val="clear" w:color="auto" w:fill="FFFFFF" w:themeFill="background1"/>
        <w:spacing w:line="360" w:lineRule="auto"/>
        <w:ind w:left="720" w:hanging="720"/>
        <w:jc w:val="both"/>
      </w:pPr>
      <w:r w:rsidRPr="009A515A">
        <w:t>Koohang,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r w:rsidRPr="009A515A">
        <w:t>Kopalle, P. K., Gangwar, M., and Uppal, A. (2024). Commentary on “AI is Changing the World: For Better or for Worse?”. </w:t>
      </w:r>
      <w:r w:rsidRPr="009A515A">
        <w:rPr>
          <w:i/>
          <w:iCs/>
        </w:rPr>
        <w:t>Journal of Macromarketing</w:t>
      </w:r>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r w:rsidRPr="009A515A">
        <w:t>Kozinets, R. V. (2023). Immersive netnography: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04F0EDA8"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Kyriakou, T., de la Campa Crespo, M.Á., Panayiotou, A., Chrysanthou, Y., Charalambous, P. and Aristidou, A. (2024), Virtual Instrument Performances (VIP): A Comprehensive Review. </w:t>
      </w:r>
      <w:r w:rsidRPr="009A515A">
        <w:rPr>
          <w:i/>
          <w:iCs/>
          <w:color w:val="000000" w:themeColor="text1"/>
        </w:rPr>
        <w:t>Computer Graphics Forum</w:t>
      </w:r>
      <w:r w:rsidRPr="009A515A">
        <w:rPr>
          <w:color w:val="000000" w:themeColor="text1"/>
        </w:rPr>
        <w:t>, 43: e15065. </w:t>
      </w:r>
      <w:hyperlink r:id="rId14" w:history="1">
        <w:r w:rsidRPr="009A515A">
          <w:rPr>
            <w:rStyle w:val="Hyperlink"/>
          </w:rPr>
          <w:t>https://doi.org/10.1111/cgf.15065</w:t>
        </w:r>
      </w:hyperlink>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3" w:name="_Hlk199423172"/>
      <w:bookmarkStart w:id="14" w:name="_Hlk199355416"/>
      <w:r w:rsidRPr="009A515A">
        <w:t>Lee</w:t>
      </w:r>
      <w:bookmarkEnd w:id="13"/>
      <w:r w:rsidRPr="009A515A">
        <w:t xml:space="preserve">, C. T., and Shen, Y. C. (2024). </w:t>
      </w:r>
      <w:bookmarkEnd w:id="14"/>
      <w:r w:rsidRPr="009A515A">
        <w:t>Exploring determinants of non-fungible token creators’ engagement behaviors on metaverse-based NFT platforms: A multi-analytical SEM-IPMA method. </w:t>
      </w:r>
      <w:r w:rsidRPr="009A515A">
        <w:rPr>
          <w:i/>
          <w:iCs/>
        </w:rPr>
        <w:t>Journal of Business Research</w:t>
      </w:r>
      <w:r w:rsidRPr="009A515A">
        <w:t>, </w:t>
      </w:r>
      <w:r w:rsidRPr="009A515A">
        <w:rPr>
          <w:i/>
          <w:iCs/>
        </w:rPr>
        <w:t>185</w:t>
      </w:r>
      <w:r w:rsidRPr="009A515A">
        <w:t>, 114920.</w:t>
      </w:r>
    </w:p>
    <w:p w14:paraId="2B94237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4774"/>
      <w:r w:rsidRPr="009A515A">
        <w:rPr>
          <w:color w:val="000000" w:themeColor="text1"/>
        </w:rPr>
        <w:lastRenderedPageBreak/>
        <w:t>Li, Y., and Shang, H. (2023)</w:t>
      </w:r>
      <w:bookmarkEnd w:id="15"/>
      <w:r w:rsidRPr="009A515A">
        <w:rPr>
          <w:color w:val="000000" w:themeColor="text1"/>
        </w:rPr>
        <w:t>. How does e-government use affect citizens’ trust in government? Empirical evidence from China. </w:t>
      </w:r>
      <w:r w:rsidRPr="009A515A">
        <w:rPr>
          <w:i/>
          <w:iCs/>
          <w:color w:val="000000" w:themeColor="text1"/>
        </w:rPr>
        <w:t>Information and Management</w:t>
      </w:r>
      <w:r w:rsidRPr="009A515A">
        <w:rPr>
          <w:color w:val="000000" w:themeColor="text1"/>
        </w:rPr>
        <w:t>, </w:t>
      </w:r>
      <w:r w:rsidRPr="009A515A">
        <w:rPr>
          <w:i/>
          <w:iCs/>
          <w:color w:val="000000" w:themeColor="text1"/>
        </w:rPr>
        <w:t>60</w:t>
      </w:r>
      <w:r w:rsidRPr="009A515A">
        <w:rPr>
          <w:color w:val="000000" w:themeColor="text1"/>
        </w:rPr>
        <w:t>(7), 103844.</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Liang, Y., Zhang, X., Wang, H., and Liu, M. (2024). Users' Willingness To Adopt Metaverse Drawing on Flow Theory: An Empirical Study Using PLS-SEM and FsQCA. </w:t>
      </w:r>
      <w:r w:rsidRPr="009A515A">
        <w:rPr>
          <w:rFonts w:eastAsia="inter"/>
          <w:bCs/>
          <w:i/>
          <w:iCs/>
          <w:color w:val="000000"/>
          <w:sz w:val="22"/>
        </w:rPr>
        <w:t>Heliyon</w:t>
      </w:r>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Lu, Y., and Lau, S. K. (2025). Examining the ecological validity of VR experiments in soundscape and landscape research. </w:t>
      </w:r>
      <w:r w:rsidRPr="009A515A">
        <w:rPr>
          <w:i/>
          <w:iCs/>
          <w:color w:val="000000" w:themeColor="text1"/>
        </w:rPr>
        <w:t>Computers in Human Behavior</w:t>
      </w:r>
      <w:r w:rsidRPr="009A515A">
        <w:rPr>
          <w:color w:val="000000" w:themeColor="text1"/>
        </w:rPr>
        <w:t>, </w:t>
      </w:r>
      <w:r w:rsidRPr="009A515A">
        <w:rPr>
          <w:i/>
          <w:iCs/>
          <w:color w:val="000000" w:themeColor="text1"/>
        </w:rPr>
        <w:t>162</w:t>
      </w:r>
      <w:r w:rsidRPr="009A515A">
        <w:rPr>
          <w:color w:val="000000" w:themeColor="text1"/>
        </w:rPr>
        <w:t>, 108462.</w:t>
      </w:r>
    </w:p>
    <w:p w14:paraId="3D2AF4A4" w14:textId="77777777" w:rsidR="001F4649" w:rsidRPr="009A515A" w:rsidRDefault="001F4649" w:rsidP="00D05FD0">
      <w:pPr>
        <w:shd w:val="clear" w:color="auto" w:fill="FFFFFF" w:themeFill="background1"/>
        <w:spacing w:line="360" w:lineRule="auto"/>
        <w:ind w:left="720" w:hanging="720"/>
        <w:jc w:val="both"/>
      </w:pPr>
      <w:bookmarkStart w:id="16" w:name="_Hlk199354311"/>
      <w:r w:rsidRPr="009A515A">
        <w:t>Lycett, M., and Radwan, O. (2019)</w:t>
      </w:r>
      <w:bookmarkEnd w:id="16"/>
      <w:r w:rsidRPr="009A515A">
        <w:t>. Developing a quality of experience (QoE) model for web applications. </w:t>
      </w:r>
      <w:r w:rsidRPr="009A515A">
        <w:rPr>
          <w:i/>
          <w:iCs/>
        </w:rPr>
        <w:t>Information Systems Journal</w:t>
      </w:r>
      <w:r w:rsidRPr="009A515A">
        <w:t>, </w:t>
      </w:r>
      <w:r w:rsidRPr="009A515A">
        <w:rPr>
          <w:i/>
          <w:iCs/>
        </w:rPr>
        <w:t>29</w:t>
      </w:r>
      <w:r w:rsidRPr="009A515A">
        <w:t>(1), 175-199.</w:t>
      </w:r>
    </w:p>
    <w:p w14:paraId="33F80594" w14:textId="77777777" w:rsidR="001F4649" w:rsidRPr="009A515A" w:rsidRDefault="001F4649" w:rsidP="00D05FD0">
      <w:pPr>
        <w:shd w:val="clear" w:color="auto" w:fill="FFFFFF" w:themeFill="background1"/>
        <w:spacing w:line="360" w:lineRule="auto"/>
        <w:ind w:left="720" w:hanging="720"/>
        <w:jc w:val="both"/>
      </w:pPr>
      <w:bookmarkStart w:id="17" w:name="_Hlk199232544"/>
      <w:r w:rsidRPr="009A515A">
        <w:t>Marvi</w:t>
      </w:r>
      <w:bookmarkEnd w:id="17"/>
      <w:r w:rsidRPr="009A515A">
        <w:t>, R., Zha, D., and Foroudi,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r w:rsidRPr="009A515A">
        <w:t>Mathwick, C., Wiertz,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26FEF32A" w14:textId="7D33E7BB" w:rsidR="001F4649" w:rsidRPr="009A515A" w:rsidRDefault="001F4649" w:rsidP="00F27C49">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5" w:history="1">
        <w:r w:rsidRPr="009A515A">
          <w:rPr>
            <w:rStyle w:val="Hyperlink"/>
          </w:rPr>
          <w:t>https://escholarship.org/uc/item/8h51c6s0</w:t>
        </w:r>
      </w:hyperlink>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Payal, R., Sharma, N., and Dwivedi, Y. K. (2024). Unlocking the impact of brand engagement in the metaverse on Real-World purchase intentions: Analyzing Pre-Adoption behavior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t>Podsakoff, P. M., MacKenzie, S. B., Lee, J. Y., &amp; Podsakoff, N. P. (2003). Common method biases in behavioral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lastRenderedPageBreak/>
        <w:t>Poeschl, S., and Doering, N. (2015). Measuring co-presence and social presence in virtual environments–psychometric construction of a german scale for a fear of public speaking scenario. </w:t>
      </w:r>
      <w:r w:rsidRPr="009A515A">
        <w:rPr>
          <w:i/>
          <w:iCs/>
        </w:rPr>
        <w:t>Annual Review of Cybertherapy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Rather, R. A., Hollebeek, L. D., Vo‐Thanh, T., Ramkissoon, H., Leppiman,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6C26D407"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Rutrecht, H., Wittmann, M., Khoshnoud, S., and Igarzábal,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28A105CF"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(2000). Self-determination theory and the facilitation of intrinsic motivation, social development, and well-being. American Psychologist, 55 (1), 68–78.</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7B0331AB"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(2024). Self-determination theory. In Encyclopedia of quality of life and well-being research (pp. 6229–6235). Cham: Springer International Publishing.</w:t>
      </w:r>
    </w:p>
    <w:p w14:paraId="4495739E" w14:textId="77777777" w:rsidR="001F4649" w:rsidRPr="009A515A" w:rsidRDefault="001F4649" w:rsidP="00D05FD0">
      <w:pPr>
        <w:shd w:val="clear" w:color="auto" w:fill="FFFFFF" w:themeFill="background1"/>
        <w:spacing w:line="360" w:lineRule="auto"/>
        <w:ind w:left="720" w:hanging="720"/>
        <w:jc w:val="both"/>
      </w:pPr>
      <w:bookmarkStart w:id="18" w:name="_Hlk199323363"/>
      <w:r w:rsidRPr="009A515A">
        <w:t>Scheider</w:t>
      </w:r>
      <w:bookmarkEnd w:id="18"/>
      <w:r w:rsidRPr="009A515A">
        <w:t>, S., Lauf, F., Möller, F., and Otto, B. (2023). A reference system architecture with data sovereignty for human-centric data ecosystems. </w:t>
      </w:r>
      <w:r w:rsidRPr="009A515A">
        <w:rPr>
          <w:i/>
          <w:iCs/>
        </w:rPr>
        <w:t>Business and Information Systems Engineering</w:t>
      </w:r>
      <w:r w:rsidRPr="009A515A">
        <w:t>, </w:t>
      </w:r>
      <w:r w:rsidRPr="009A515A">
        <w:rPr>
          <w:i/>
          <w:iCs/>
        </w:rPr>
        <w:t>65</w:t>
      </w:r>
      <w:r w:rsidRPr="009A515A">
        <w:t>(5), 577-595.</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19" w:name="_Hlk199355676"/>
      <w:r w:rsidRPr="009A515A">
        <w:lastRenderedPageBreak/>
        <w:t>Simonetti</w:t>
      </w:r>
      <w:bookmarkEnd w:id="19"/>
      <w:r w:rsidRPr="009A515A">
        <w:t>, A., Bigne,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0" w:name="_Hlk199329402"/>
      <w:r w:rsidRPr="009A515A">
        <w:t xml:space="preserve">Soltani </w:t>
      </w:r>
      <w:bookmarkEnd w:id="20"/>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16"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21" w:name="_Hlk199420459"/>
      <w:r w:rsidRPr="009A515A">
        <w:t>Su</w:t>
      </w:r>
      <w:bookmarkEnd w:id="21"/>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7CA8A190" w14:textId="77777777" w:rsidR="001F4649" w:rsidRPr="009A515A" w:rsidRDefault="001F4649" w:rsidP="00D05FD0">
      <w:pPr>
        <w:shd w:val="clear" w:color="auto" w:fill="FFFFFF" w:themeFill="background1"/>
        <w:spacing w:line="360" w:lineRule="auto"/>
        <w:ind w:left="720" w:hanging="720"/>
        <w:jc w:val="both"/>
      </w:pPr>
      <w:bookmarkStart w:id="22" w:name="_Hlk199425418"/>
      <w:r w:rsidRPr="009A515A">
        <w:t>Takano, M., and Taka, F. (2022)</w:t>
      </w:r>
      <w:bookmarkEnd w:id="22"/>
      <w:r w:rsidRPr="009A515A">
        <w:t>. Fancy avatar identification and behaviors in the virtual world: Preceding avatar customization and succeeding communication. </w:t>
      </w:r>
      <w:r w:rsidRPr="009A515A">
        <w:rPr>
          <w:i/>
          <w:iCs/>
        </w:rPr>
        <w:t>Computers in Human Behavior Reports</w:t>
      </w:r>
      <w:r w:rsidRPr="009A515A">
        <w:t>, </w:t>
      </w:r>
      <w:r w:rsidRPr="009A515A">
        <w:rPr>
          <w:i/>
          <w:iCs/>
        </w:rPr>
        <w:t>6</w:t>
      </w:r>
      <w:r w:rsidRPr="009A515A">
        <w:t>, 100176.</w:t>
      </w:r>
    </w:p>
    <w:p w14:paraId="6C4AFBEF" w14:textId="77777777" w:rsidR="001F4649" w:rsidRPr="009A515A" w:rsidRDefault="001F4649" w:rsidP="00D05FD0">
      <w:pPr>
        <w:shd w:val="clear" w:color="auto" w:fill="FFFFFF" w:themeFill="background1"/>
        <w:spacing w:line="360" w:lineRule="auto"/>
        <w:ind w:left="720" w:hanging="720"/>
        <w:jc w:val="both"/>
      </w:pPr>
      <w:bookmarkStart w:id="23" w:name="_Hlk199421848"/>
      <w:r w:rsidRPr="009A515A">
        <w:t>Thaichon</w:t>
      </w:r>
      <w:bookmarkEnd w:id="23"/>
      <w:r w:rsidRPr="009A515A">
        <w:t>, P., Phau, I., and Weaven,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13AFEBF3" w14:textId="77777777" w:rsidR="001F4649" w:rsidRPr="009A515A" w:rsidRDefault="001F4649" w:rsidP="00A12512">
      <w:pPr>
        <w:shd w:val="clear" w:color="auto" w:fill="FFFFFF" w:themeFill="background1"/>
        <w:spacing w:line="360" w:lineRule="auto"/>
        <w:ind w:left="720" w:hanging="720"/>
        <w:jc w:val="both"/>
      </w:pPr>
      <w:r w:rsidRPr="009A515A">
        <w:t xml:space="preserve">Thorndike, R. M. (1995). Book Review : Psychometric Theory (3rd ed.) by Jum Nunnally and Ira Bernstein New York: McGraw-Hill, 1994, xxiv + 752 pp. </w:t>
      </w:r>
      <w:r w:rsidRPr="009A515A">
        <w:rPr>
          <w:i/>
          <w:iCs/>
        </w:rPr>
        <w:t>Applied Psychological Measurement</w:t>
      </w:r>
      <w:r w:rsidRPr="009A515A">
        <w:t xml:space="preserve">, </w:t>
      </w:r>
      <w:r w:rsidRPr="009A515A">
        <w:rPr>
          <w:i/>
          <w:iCs/>
        </w:rPr>
        <w:t>19</w:t>
      </w:r>
      <w:r w:rsidRPr="009A515A">
        <w:t>(3), 303-305.</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7"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24" w:name="_Hlk199323672"/>
      <w:r w:rsidRPr="009A515A">
        <w:t>Vo</w:t>
      </w:r>
      <w:bookmarkEnd w:id="24"/>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5" w:name="_Hlk199355812"/>
      <w:r w:rsidRPr="009A515A">
        <w:rPr>
          <w:color w:val="000000" w:themeColor="text1"/>
        </w:rPr>
        <w:t>Wang</w:t>
      </w:r>
      <w:bookmarkEnd w:id="25"/>
      <w:r w:rsidRPr="009A515A">
        <w:rPr>
          <w:color w:val="000000" w:themeColor="text1"/>
        </w:rPr>
        <w:t>, X., Sung, B., and Phau,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Wiertz,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26" w:name="_Hlk207269373"/>
      <w:r w:rsidRPr="009A515A">
        <w:rPr>
          <w:rFonts w:eastAsia="inter"/>
          <w:bCs/>
          <w:color w:val="000000"/>
          <w:sz w:val="22"/>
        </w:rPr>
        <w:t>Wu</w:t>
      </w:r>
      <w:bookmarkEnd w:id="26"/>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27" w:name="_Hlk199355648"/>
      <w:r w:rsidRPr="009A515A">
        <w:lastRenderedPageBreak/>
        <w:t>Xie</w:t>
      </w:r>
      <w:bookmarkEnd w:id="27"/>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Xie, Q., Muralidharan, S., Edwards, S. M., and La Ferle,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8" w:name="_Hlk199402959"/>
      <w:r w:rsidRPr="009A515A">
        <w:rPr>
          <w:color w:val="000000" w:themeColor="text1"/>
        </w:rPr>
        <w:t>Xu</w:t>
      </w:r>
      <w:bookmarkEnd w:id="28"/>
      <w:r w:rsidRPr="009A515A">
        <w:rPr>
          <w:color w:val="000000" w:themeColor="text1"/>
        </w:rPr>
        <w:t>, S., Bauman, M. J., Ponting, S. S. A., Slevitch, L., Webster, C., and Kirillova, K. (2024). Neolocalism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1A3151B2"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9" w:name="_Hlk199354713"/>
      <w:r w:rsidRPr="009A515A">
        <w:rPr>
          <w:color w:val="000000" w:themeColor="text1"/>
        </w:rPr>
        <w:t>Zhang</w:t>
      </w:r>
      <w:bookmarkEnd w:id="29"/>
      <w:r w:rsidRPr="009A515A">
        <w:rPr>
          <w:color w:val="000000" w:themeColor="text1"/>
        </w:rPr>
        <w:t xml:space="preserve">, B., </w:t>
      </w:r>
      <w:bookmarkStart w:id="30" w:name="_Hlk207148843"/>
      <w:r w:rsidRPr="009A515A">
        <w:rPr>
          <w:color w:val="000000" w:themeColor="text1"/>
        </w:rPr>
        <w:t>Peng</w:t>
      </w:r>
      <w:bookmarkEnd w:id="30"/>
      <w:r w:rsidRPr="009A515A">
        <w:rPr>
          <w:color w:val="000000" w:themeColor="text1"/>
        </w:rPr>
        <w:t>, G., Liu, C., Zhang, Z. J., and Jasimuddin, S. M. (2022). Adaptation behaviour in using one-stop smart governance apps: an exploratory study between digital immigrants and digital natives. </w:t>
      </w:r>
      <w:r w:rsidRPr="009A515A">
        <w:rPr>
          <w:i/>
          <w:iCs/>
          <w:color w:val="000000" w:themeColor="text1"/>
        </w:rPr>
        <w:t>Electronic Markets</w:t>
      </w:r>
      <w:r w:rsidRPr="009A515A">
        <w:rPr>
          <w:color w:val="000000" w:themeColor="text1"/>
        </w:rPr>
        <w:t>, </w:t>
      </w:r>
      <w:r w:rsidRPr="009A515A">
        <w:rPr>
          <w:i/>
          <w:iCs/>
          <w:color w:val="000000" w:themeColor="text1"/>
        </w:rPr>
        <w:t>32</w:t>
      </w:r>
      <w:r w:rsidRPr="009A515A">
        <w:rPr>
          <w:color w:val="000000" w:themeColor="text1"/>
        </w:rPr>
        <w:t>(4), 1971-1991.</w:t>
      </w:r>
    </w:p>
    <w:p w14:paraId="7117CE43" w14:textId="77777777" w:rsidR="001F4649" w:rsidRPr="009A515A" w:rsidRDefault="001F4649" w:rsidP="008F0D46">
      <w:pPr>
        <w:shd w:val="clear" w:color="auto" w:fill="FFFFFF" w:themeFill="background1"/>
        <w:spacing w:line="360" w:lineRule="auto"/>
        <w:ind w:left="720" w:hanging="720"/>
        <w:jc w:val="both"/>
        <w:rPr>
          <w:color w:val="000000" w:themeColor="text1"/>
        </w:rPr>
      </w:pPr>
      <w:bookmarkStart w:id="31" w:name="_Hlk199359872"/>
      <w:r w:rsidRPr="009A515A">
        <w:rPr>
          <w:color w:val="000000" w:themeColor="text1"/>
        </w:rPr>
        <w:t>Zhang</w:t>
      </w:r>
      <w:bookmarkEnd w:id="31"/>
      <w:r w:rsidRPr="009A515A">
        <w:rPr>
          <w:color w:val="000000" w:themeColor="text1"/>
        </w:rPr>
        <w:t>, L., Anjum, M. A., and Wang, Y. (2024). The impact of trust-building mechanisms on purchase intention towards metaverse shopping: the moderating role of age. </w:t>
      </w:r>
      <w:r w:rsidRPr="009A515A">
        <w:rPr>
          <w:i/>
          <w:iCs/>
          <w:color w:val="000000" w:themeColor="text1"/>
        </w:rPr>
        <w:t>International Journal of Human–Computer Interaction</w:t>
      </w:r>
      <w:r w:rsidRPr="009A515A">
        <w:rPr>
          <w:color w:val="000000" w:themeColor="text1"/>
        </w:rPr>
        <w:t>, </w:t>
      </w:r>
      <w:r w:rsidRPr="009A515A">
        <w:rPr>
          <w:i/>
          <w:iCs/>
          <w:color w:val="000000" w:themeColor="text1"/>
        </w:rPr>
        <w:t>40</w:t>
      </w:r>
      <w:r w:rsidRPr="009A515A">
        <w:rPr>
          <w:color w:val="000000" w:themeColor="text1"/>
        </w:rPr>
        <w:t>(12), 3185-3203.</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6C43"/>
    <w:rsid w:val="00077BA6"/>
    <w:rsid w:val="00082F6C"/>
    <w:rsid w:val="00085482"/>
    <w:rsid w:val="000863D4"/>
    <w:rsid w:val="00086510"/>
    <w:rsid w:val="00090895"/>
    <w:rsid w:val="00091686"/>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5DA"/>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77689"/>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2A7"/>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5C4C"/>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36A"/>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3D48"/>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07EAF"/>
    <w:rsid w:val="00411315"/>
    <w:rsid w:val="00416113"/>
    <w:rsid w:val="00416E76"/>
    <w:rsid w:val="0041750E"/>
    <w:rsid w:val="0042054F"/>
    <w:rsid w:val="00421599"/>
    <w:rsid w:val="00426866"/>
    <w:rsid w:val="004309B6"/>
    <w:rsid w:val="0043234C"/>
    <w:rsid w:val="004371DC"/>
    <w:rsid w:val="004467F4"/>
    <w:rsid w:val="0045186A"/>
    <w:rsid w:val="004547FD"/>
    <w:rsid w:val="00455128"/>
    <w:rsid w:val="00455887"/>
    <w:rsid w:val="00456656"/>
    <w:rsid w:val="0045735F"/>
    <w:rsid w:val="0045737F"/>
    <w:rsid w:val="00463B26"/>
    <w:rsid w:val="00464522"/>
    <w:rsid w:val="00464A78"/>
    <w:rsid w:val="004653A9"/>
    <w:rsid w:val="00466030"/>
    <w:rsid w:val="00466DAD"/>
    <w:rsid w:val="00467995"/>
    <w:rsid w:val="00467CAC"/>
    <w:rsid w:val="00470AB7"/>
    <w:rsid w:val="00470F70"/>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26CD"/>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6CD"/>
    <w:rsid w:val="00617D03"/>
    <w:rsid w:val="00623D91"/>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4AD0"/>
    <w:rsid w:val="00655765"/>
    <w:rsid w:val="00656A70"/>
    <w:rsid w:val="00662EA3"/>
    <w:rsid w:val="00664F3A"/>
    <w:rsid w:val="00666412"/>
    <w:rsid w:val="00667DD7"/>
    <w:rsid w:val="0067285B"/>
    <w:rsid w:val="00675BDA"/>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48BA"/>
    <w:rsid w:val="006A5E51"/>
    <w:rsid w:val="006B1F98"/>
    <w:rsid w:val="006B22CC"/>
    <w:rsid w:val="006B312B"/>
    <w:rsid w:val="006B5016"/>
    <w:rsid w:val="006C1955"/>
    <w:rsid w:val="006C3B90"/>
    <w:rsid w:val="006D0839"/>
    <w:rsid w:val="006D135B"/>
    <w:rsid w:val="006D1738"/>
    <w:rsid w:val="006D2177"/>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038"/>
    <w:rsid w:val="00715262"/>
    <w:rsid w:val="00715728"/>
    <w:rsid w:val="00715FF6"/>
    <w:rsid w:val="00721646"/>
    <w:rsid w:val="0072184A"/>
    <w:rsid w:val="00722EFF"/>
    <w:rsid w:val="00725184"/>
    <w:rsid w:val="00726246"/>
    <w:rsid w:val="00726315"/>
    <w:rsid w:val="00731A6E"/>
    <w:rsid w:val="00732057"/>
    <w:rsid w:val="00732C9D"/>
    <w:rsid w:val="00733507"/>
    <w:rsid w:val="00734627"/>
    <w:rsid w:val="00736643"/>
    <w:rsid w:val="00740769"/>
    <w:rsid w:val="0074623C"/>
    <w:rsid w:val="007502A5"/>
    <w:rsid w:val="007544D4"/>
    <w:rsid w:val="007545B3"/>
    <w:rsid w:val="007648C5"/>
    <w:rsid w:val="007652BC"/>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5BE2"/>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00E"/>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57AA"/>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C7B74"/>
    <w:rsid w:val="008D300D"/>
    <w:rsid w:val="008D5DA0"/>
    <w:rsid w:val="008E063D"/>
    <w:rsid w:val="008E1410"/>
    <w:rsid w:val="008E2C8F"/>
    <w:rsid w:val="008E4F8B"/>
    <w:rsid w:val="008F0D46"/>
    <w:rsid w:val="008F0EAB"/>
    <w:rsid w:val="008F1FDD"/>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27D98"/>
    <w:rsid w:val="00931A14"/>
    <w:rsid w:val="00931B6B"/>
    <w:rsid w:val="0093381E"/>
    <w:rsid w:val="00935C93"/>
    <w:rsid w:val="00940E8D"/>
    <w:rsid w:val="00943269"/>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4DBC"/>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5D3"/>
    <w:rsid w:val="00AD7835"/>
    <w:rsid w:val="00AE134B"/>
    <w:rsid w:val="00AE1AAA"/>
    <w:rsid w:val="00AE42C4"/>
    <w:rsid w:val="00AE5F5F"/>
    <w:rsid w:val="00AF1D04"/>
    <w:rsid w:val="00AF1DC4"/>
    <w:rsid w:val="00AF6169"/>
    <w:rsid w:val="00B06E14"/>
    <w:rsid w:val="00B12034"/>
    <w:rsid w:val="00B14B53"/>
    <w:rsid w:val="00B17348"/>
    <w:rsid w:val="00B20015"/>
    <w:rsid w:val="00B21534"/>
    <w:rsid w:val="00B2597B"/>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04AB"/>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5026"/>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28FC"/>
    <w:rsid w:val="00C134AC"/>
    <w:rsid w:val="00C13A8C"/>
    <w:rsid w:val="00C223B9"/>
    <w:rsid w:val="00C225CC"/>
    <w:rsid w:val="00C22A71"/>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66690"/>
    <w:rsid w:val="00C71845"/>
    <w:rsid w:val="00C7217C"/>
    <w:rsid w:val="00C7236E"/>
    <w:rsid w:val="00C736B0"/>
    <w:rsid w:val="00C7418F"/>
    <w:rsid w:val="00C760E5"/>
    <w:rsid w:val="00C77FCA"/>
    <w:rsid w:val="00C8121A"/>
    <w:rsid w:val="00C81F4E"/>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46C2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76020"/>
    <w:rsid w:val="00D82397"/>
    <w:rsid w:val="00D82608"/>
    <w:rsid w:val="00D830FA"/>
    <w:rsid w:val="00D86477"/>
    <w:rsid w:val="00D86F66"/>
    <w:rsid w:val="00D87314"/>
    <w:rsid w:val="00D91435"/>
    <w:rsid w:val="00D93102"/>
    <w:rsid w:val="00D9557D"/>
    <w:rsid w:val="00D96227"/>
    <w:rsid w:val="00D96535"/>
    <w:rsid w:val="00D965AD"/>
    <w:rsid w:val="00D96724"/>
    <w:rsid w:val="00D97246"/>
    <w:rsid w:val="00D97398"/>
    <w:rsid w:val="00DA27CD"/>
    <w:rsid w:val="00DA2B47"/>
    <w:rsid w:val="00DA5255"/>
    <w:rsid w:val="00DA6476"/>
    <w:rsid w:val="00DA757E"/>
    <w:rsid w:val="00DB2EBF"/>
    <w:rsid w:val="00DB66BA"/>
    <w:rsid w:val="00DB7208"/>
    <w:rsid w:val="00DC0736"/>
    <w:rsid w:val="00DD0E35"/>
    <w:rsid w:val="00DD394A"/>
    <w:rsid w:val="00DD47D3"/>
    <w:rsid w:val="00DD4E2C"/>
    <w:rsid w:val="00DD5D63"/>
    <w:rsid w:val="00DD752A"/>
    <w:rsid w:val="00DE3F0D"/>
    <w:rsid w:val="00DE541C"/>
    <w:rsid w:val="00DE61FC"/>
    <w:rsid w:val="00DF7521"/>
    <w:rsid w:val="00E0324D"/>
    <w:rsid w:val="00E041E6"/>
    <w:rsid w:val="00E044B0"/>
    <w:rsid w:val="00E10D88"/>
    <w:rsid w:val="00E14D29"/>
    <w:rsid w:val="00E15461"/>
    <w:rsid w:val="00E16418"/>
    <w:rsid w:val="00E263AF"/>
    <w:rsid w:val="00E276E2"/>
    <w:rsid w:val="00E30AFA"/>
    <w:rsid w:val="00E35F8E"/>
    <w:rsid w:val="00E37689"/>
    <w:rsid w:val="00E400A1"/>
    <w:rsid w:val="00E407DA"/>
    <w:rsid w:val="00E40815"/>
    <w:rsid w:val="00E47015"/>
    <w:rsid w:val="00E54E3E"/>
    <w:rsid w:val="00E55A23"/>
    <w:rsid w:val="00E564E7"/>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27C49"/>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1991"/>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1F3763"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1F3763"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2F5496"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www.kenresearch.com/industry-reports/india-metaverse-market" TargetMode="External"/><Relationship Id="rId2" Type="http://schemas.openxmlformats.org/officeDocument/2006/relationships/numbering" Target="numbering.xml"/><Relationship Id="rId16" Type="http://schemas.openxmlformats.org/officeDocument/2006/relationships/hyperlink" Target="https://www.statista.com/outlook/amo/metaverse/indi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escholarship.org/uc/item/8h51c6s0" TargetMode="External"/><Relationship Id="rId10" Type="http://schemas.openxmlformats.org/officeDocument/2006/relationships/hyperlink" Target="https://doi.org/10.1108/intr-01-2024-003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11/cgf.15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8475</Words>
  <Characters>48312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37</cp:revision>
  <dcterms:created xsi:type="dcterms:W3CDTF">2026-07-25T08:18:00Z</dcterms:created>
  <dcterms:modified xsi:type="dcterms:W3CDTF">2026-08-11T05:14:00Z</dcterms:modified>
</cp:coreProperties>
</file>