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0"/>
        </w:rPr>
        <w:t>Analysis Protocol, Codebook and Estimation Specification</w:t>
      </w:r>
    </w:p>
    <w:p>
      <w:pPr>
        <w:spacing w:after="120"/>
        <w:ind w:firstLine="0"/>
      </w:pPr>
      <w:r>
        <w:rPr>
          <w:i/>
        </w:rPr>
        <w:t>Companion to "From vision to measurable practice: circular accounting capability, chain transparency and the governance conditions of net-zero value creation in fragmented manufacturing networks"</w:t>
      </w:r>
    </w:p>
    <w:p>
      <w:pPr>
        <w:pStyle w:val="Heading1"/>
      </w:pPr>
      <w:r>
        <w:t>0. Status note and what I need from you</w:t>
      </w:r>
    </w:p>
    <w:p>
      <w:pPr>
        <w:spacing w:after="120"/>
        <w:ind w:firstLine="0"/>
      </w:pPr>
      <w:r>
        <w:t xml:space="preserve">Now that data exist, the submission moves to </w:t>
      </w:r>
      <w:r>
        <w:rPr>
          <w:b/>
        </w:rPr>
        <w:t>option (a)</w:t>
      </w:r>
      <w:r>
        <w:t xml:space="preserve"> in the editorial assessment: a conventional empirical </w:t>
      </w:r>
      <w:r>
        <w:rPr>
          <w:i/>
        </w:rPr>
        <w:t>IJPR</w:t>
      </w:r>
      <w:r>
        <w:t xml:space="preserve"> submission with an unusually strong measurement pedigree. This is the strongest available position. Section 12 of this document lists exactly what changes in the manuscript.</w:t>
      </w:r>
    </w:p>
    <w:p>
      <w:pPr>
        <w:spacing w:after="120"/>
        <w:ind w:firstLine="0"/>
      </w:pPr>
      <w:r>
        <w:rPr>
          <w:b/>
        </w:rPr>
        <w:t>One important caveat about the items.</w:t>
      </w:r>
      <w:r>
        <w:t xml:space="preserve"> The manuscript refers to the full instrument as "Table VI" (original) / "Appendix A" (revision), but </w:t>
      </w:r>
      <w:r>
        <w:rPr>
          <w:b/>
        </w:rPr>
        <w:t>that table is not present in the file you supplied.</w:t>
      </w:r>
      <w:r>
        <w:t xml:space="preserve"> Only one item is quoted anywhere in the document: </w:t>
      </w:r>
      <w:r>
        <w:rPr>
          <w:i/>
        </w:rPr>
        <w:t>"we write down how much fruit we reject or lose"</w:t>
      </w:r>
      <w:r>
        <w:t xml:space="preserve"> (a CAC item). Everything in Section 2 below is therefore a </w:t>
      </w:r>
      <w:r>
        <w:rPr>
          <w:b/>
        </w:rPr>
        <w:t>reconstruction</w:t>
      </w:r>
      <w:r>
        <w:t xml:space="preserve"> built to satisfy every constraint the manuscript states — 46 items; 9/5/6/6/11 focal allocation; the three CAC and three CVCP dimensions; the 22/11/10/3 source split; the specific item labels named in the text (CAC2, CGQ1, CGQ6, CVCI2, CIT3, IS1, IS2, IS3, MK1, MK3); current-state predictors and change-framed outcomes.</w:t>
      </w:r>
    </w:p>
    <w:p>
      <w:pPr>
        <w:spacing w:after="120"/>
        <w:ind w:firstLine="0"/>
      </w:pPr>
      <w:r>
        <w:rPr>
          <w:b/>
        </w:rPr>
        <w:t>You must reconcile it against the instrument you actually fielded.</w:t>
      </w:r>
      <w:r>
        <w:t xml:space="preserve"> Where they differ, your fielded version governs and this document's item IDs should be remapped. The codebook structure, model specification, protocol and code in Sections 3 to 11 are independent of the exact wordings and apply as-is.</w:t>
      </w:r>
    </w:p>
    <w:p>
      <w:pPr>
        <w:pStyle w:val="Heading2"/>
      </w:pPr>
      <w:r>
        <w:t>What I need from you to finalise this</w:t>
      </w:r>
    </w:p>
    <w:p>
      <w:pPr>
        <w:spacing w:after="120"/>
        <w:ind w:firstLine="0"/>
      </w:pPr>
      <w:r>
        <w:t xml:space="preserve">1. </w:t>
      </w:r>
      <w:r>
        <w:rPr>
          <w:b/>
        </w:rPr>
        <w:t>Achieved *n</w:t>
      </w:r>
      <w:r>
        <w:rPr>
          <w:i/>
        </w:rPr>
        <w:t xml:space="preserve"> and the realised composition by stratum against the Table 5 targets. Several protocol steps branch on </w:t>
      </w:r>
      <w:r>
        <w:t>n*.</w:t>
      </w:r>
    </w:p>
    <w:p>
      <w:pPr>
        <w:spacing w:after="120"/>
        <w:ind w:firstLine="0"/>
      </w:pPr>
      <w:r>
        <w:t xml:space="preserve">2. </w:t>
      </w:r>
      <w:r>
        <w:rPr>
          <w:b/>
        </w:rPr>
        <w:t>Your actual item list</w:t>
      </w:r>
      <w:r>
        <w:t>, so the codebook can be remapped rather than reconstructed.</w:t>
      </w:r>
    </w:p>
    <w:p>
      <w:pPr>
        <w:spacing w:after="120"/>
        <w:ind w:firstLine="0"/>
      </w:pPr>
      <w:r>
        <w:t>3. Whether all 46 items were fielded, or whether MK1 / IS2 / IS3 were dropped or revised first.</w:t>
      </w:r>
    </w:p>
    <w:p>
      <w:pPr>
        <w:spacing w:after="120"/>
        <w:ind w:firstLine="0"/>
      </w:pPr>
      <w:r>
        <w:t xml:space="preserve">4. Whether the </w:t>
      </w:r>
      <w:r>
        <w:rPr>
          <w:b/>
        </w:rPr>
        <w:t>fourth expert round</w:t>
      </w:r>
      <w:r>
        <w:t xml:space="preserve"> on the weak CAC items happened before fielding.</w:t>
      </w:r>
    </w:p>
    <w:p>
      <w:pPr>
        <w:spacing w:after="120"/>
        <w:ind w:firstLine="0"/>
      </w:pPr>
      <w:r>
        <w:t xml:space="preserve">5. Whether the </w:t>
      </w:r>
      <w:r>
        <w:rPr>
          <w:b/>
        </w:rPr>
        <w:t>objective-indicator subsample</w:t>
      </w:r>
      <w:r>
        <w:t xml:space="preserve"> (loss ratio, by-product value, realised vs modal price) was collected, and for how many cases.</w:t>
      </w:r>
    </w:p>
    <w:p>
      <w:pPr>
        <w:spacing w:after="120"/>
        <w:ind w:firstLine="0"/>
      </w:pPr>
      <w:r>
        <w:t xml:space="preserve">6. </w:t>
      </w:r>
      <w:r>
        <w:rPr>
          <w:b/>
        </w:rPr>
        <w:t>Software</w:t>
      </w:r>
      <w:r>
        <w:t>: SmartPLS 4, R, or both. Section 9 is a SmartPLS click-path; Section 10 is a complete R script.</w:t>
      </w:r>
    </w:p>
    <w:p>
      <w:pPr>
        <w:spacing w:after="120"/>
        <w:ind w:firstLine="0"/>
      </w:pPr>
      <w:r>
        <w:t xml:space="preserve">7. Whether ethics approval and informed consent are documented — </w:t>
      </w:r>
      <w:r>
        <w:rPr>
          <w:i/>
        </w:rPr>
        <w:t>IJPR</w:t>
      </w:r>
      <w:r>
        <w:t xml:space="preserve"> will require a statement.</w:t>
      </w:r>
    </w:p>
    <w:p>
      <w:pPr>
        <w:pStyle w:val="Heading1"/>
      </w:pPr>
      <w:r>
        <w:t>1. Construct system at a glance</w:t>
      </w:r>
    </w:p>
    <w:p>
      <w:pPr>
        <w:keepNext/>
        <w:spacing w:before="240" w:line="240" w:lineRule="auto"/>
      </w:pPr>
      <w:r>
        <w:rPr>
          <w:b/>
          <w:sz w:val="20"/>
        </w:rPr>
        <w:t>Table A1. Construct inventory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FEFEF"/>
          </w:tcPr>
          <w:p>
            <w:pPr>
              <w:spacing w:line="240" w:lineRule="auto" w:after="40" w:before="40"/>
            </w:pPr>
            <w:r>
              <w:rPr>
                <w:rFonts w:ascii="Times New Roman" w:hAnsi="Times New Roman"/>
                <w:b/>
                <w:sz w:val="18"/>
              </w:rPr>
              <w:t>Construct</w:t>
            </w:r>
          </w:p>
        </w:tc>
        <w:tc>
          <w:tcPr>
            <w:tcW w:type="dxa" w:w="1337"/>
            <w:shd w:val="clear" w:fill="EFEFEF"/>
          </w:tcPr>
          <w:p>
            <w:pPr>
              <w:spacing w:line="240" w:lineRule="auto" w:after="40" w:before="40"/>
            </w:pPr>
            <w:r>
              <w:rPr>
                <w:rFonts w:ascii="Times New Roman" w:hAnsi="Times New Roman"/>
                <w:b/>
                <w:sz w:val="18"/>
              </w:rPr>
              <w:t>Code</w:t>
            </w:r>
          </w:p>
        </w:tc>
        <w:tc>
          <w:tcPr>
            <w:tcW w:type="dxa" w:w="1337"/>
            <w:shd w:val="clear" w:fill="EFEFEF"/>
          </w:tcPr>
          <w:p>
            <w:pPr>
              <w:spacing w:line="240" w:lineRule="auto" w:after="40" w:before="40"/>
            </w:pPr>
            <w:r>
              <w:rPr>
                <w:rFonts w:ascii="Times New Roman" w:hAnsi="Times New Roman"/>
                <w:b/>
                <w:sz w:val="18"/>
              </w:rPr>
              <w:t>Specification</w:t>
            </w:r>
          </w:p>
        </w:tc>
        <w:tc>
          <w:tcPr>
            <w:tcW w:type="dxa" w:w="1337"/>
            <w:shd w:val="clear" w:fill="EFEFEF"/>
          </w:tcPr>
          <w:p>
            <w:pPr>
              <w:spacing w:line="240" w:lineRule="auto" w:after="40" w:before="40"/>
            </w:pPr>
            <w:r>
              <w:rPr>
                <w:rFonts w:ascii="Times New Roman" w:hAnsi="Times New Roman"/>
                <w:b/>
                <w:sz w:val="18"/>
              </w:rPr>
              <w:t>Mode</w:t>
            </w:r>
          </w:p>
        </w:tc>
        <w:tc>
          <w:tcPr>
            <w:tcW w:type="dxa" w:w="1337"/>
            <w:shd w:val="clear" w:fill="EFEFEF"/>
          </w:tcPr>
          <w:p>
            <w:pPr>
              <w:spacing w:line="240" w:lineRule="auto" w:after="40" w:before="40"/>
            </w:pPr>
            <w:r>
              <w:rPr>
                <w:rFonts w:ascii="Times New Roman" w:hAnsi="Times New Roman"/>
                <w:b/>
                <w:sz w:val="18"/>
              </w:rPr>
              <w:t>Dimensions</w:t>
            </w:r>
          </w:p>
        </w:tc>
        <w:tc>
          <w:tcPr>
            <w:tcW w:type="dxa" w:w="1337"/>
            <w:shd w:val="clear" w:fill="EFEFEF"/>
          </w:tcPr>
          <w:p>
            <w:pPr>
              <w:spacing w:line="240" w:lineRule="auto" w:after="40" w:before="40"/>
            </w:pPr>
            <w:r>
              <w:rPr>
                <w:rFonts w:ascii="Times New Roman" w:hAnsi="Times New Roman"/>
                <w:b/>
                <w:sz w:val="18"/>
              </w:rPr>
              <w:t>Items</w:t>
            </w:r>
          </w:p>
        </w:tc>
        <w:tc>
          <w:tcPr>
            <w:tcW w:type="dxa" w:w="1337"/>
            <w:shd w:val="clear" w:fill="EFEFEF"/>
          </w:tcPr>
          <w:p>
            <w:pPr>
              <w:spacing w:line="240" w:lineRule="auto" w:after="40" w:before="40"/>
            </w:pPr>
            <w:r>
              <w:rPr>
                <w:rFonts w:ascii="Times New Roman" w:hAnsi="Times New Roman"/>
                <w:b/>
                <w:sz w:val="18"/>
              </w:rPr>
              <w:t>Role in model</w:t>
            </w:r>
          </w:p>
        </w:tc>
      </w:tr>
      <w:tr>
        <w:tc>
          <w:tcPr>
            <w:tcW w:type="dxa" w:w="1337"/>
          </w:tcPr>
          <w:p>
            <w:pPr>
              <w:spacing w:line="240" w:lineRule="auto" w:after="40" w:before="40"/>
            </w:pPr>
            <w:r>
              <w:rPr>
                <w:rFonts w:ascii="Times New Roman" w:hAnsi="Times New Roman"/>
                <w:sz w:val="18"/>
              </w:rPr>
              <w:t>Circular Accounting Capability</w:t>
            </w:r>
          </w:p>
        </w:tc>
        <w:tc>
          <w:tcPr>
            <w:tcW w:type="dxa" w:w="1337"/>
          </w:tcPr>
          <w:p>
            <w:pPr>
              <w:spacing w:line="240" w:lineRule="auto" w:after="40" w:before="40"/>
            </w:pPr>
            <w:r>
              <w:rPr>
                <w:rFonts w:ascii="Times New Roman" w:hAnsi="Times New Roman"/>
                <w:sz w:val="18"/>
              </w:rPr>
              <w:t>CAC</w:t>
            </w:r>
          </w:p>
        </w:tc>
        <w:tc>
          <w:tcPr>
            <w:tcW w:type="dxa" w:w="1337"/>
          </w:tcPr>
          <w:p>
            <w:pPr>
              <w:spacing w:line="240" w:lineRule="auto" w:after="40" w:before="40"/>
            </w:pPr>
            <w:r>
              <w:rPr>
                <w:rFonts w:ascii="Times New Roman" w:hAnsi="Times New Roman"/>
                <w:sz w:val="18"/>
              </w:rPr>
              <w:t>Reflective-formative higher-order (Type II)</w:t>
            </w:r>
          </w:p>
        </w:tc>
        <w:tc>
          <w:tcPr>
            <w:tcW w:type="dxa" w:w="1337"/>
          </w:tcPr>
          <w:p>
            <w:pPr>
              <w:spacing w:line="240" w:lineRule="auto" w:after="40" w:before="40"/>
            </w:pPr>
            <w:r>
              <w:rPr>
                <w:rFonts w:ascii="Times New Roman" w:hAnsi="Times New Roman"/>
                <w:sz w:val="18"/>
              </w:rPr>
              <w:t>LOCs Mode A → HOC Mode B</w:t>
            </w:r>
          </w:p>
        </w:tc>
        <w:tc>
          <w:tcPr>
            <w:tcW w:type="dxa" w:w="1337"/>
          </w:tcPr>
          <w:p>
            <w:pPr>
              <w:spacing w:line="240" w:lineRule="auto" w:after="40" w:before="40"/>
            </w:pPr>
            <w:r>
              <w:rPr>
                <w:rFonts w:ascii="Times New Roman" w:hAnsi="Times New Roman"/>
                <w:sz w:val="18"/>
              </w:rPr>
              <w:t>3</w:t>
            </w:r>
          </w:p>
        </w:tc>
        <w:tc>
          <w:tcPr>
            <w:tcW w:type="dxa" w:w="1337"/>
          </w:tcPr>
          <w:p>
            <w:pPr>
              <w:spacing w:line="240" w:lineRule="auto" w:after="40" w:before="40"/>
            </w:pPr>
            <w:r>
              <w:rPr>
                <w:rFonts w:ascii="Times New Roman" w:hAnsi="Times New Roman"/>
                <w:sz w:val="18"/>
              </w:rPr>
              <w:t>9</w:t>
            </w:r>
          </w:p>
        </w:tc>
        <w:tc>
          <w:tcPr>
            <w:tcW w:type="dxa" w:w="1337"/>
          </w:tcPr>
          <w:p>
            <w:pPr>
              <w:spacing w:line="240" w:lineRule="auto" w:after="40" w:before="40"/>
            </w:pPr>
            <w:r>
              <w:rPr>
                <w:rFonts w:ascii="Times New Roman" w:hAnsi="Times New Roman"/>
                <w:sz w:val="18"/>
              </w:rPr>
              <w:t>Exogenous antecedent</w:t>
            </w:r>
          </w:p>
        </w:tc>
      </w:tr>
      <w:tr>
        <w:tc>
          <w:tcPr>
            <w:tcW w:type="dxa" w:w="1337"/>
          </w:tcPr>
          <w:p>
            <w:pPr>
              <w:spacing w:line="240" w:lineRule="auto" w:after="40" w:before="40"/>
            </w:pPr>
            <w:r>
              <w:rPr>
                <w:rFonts w:ascii="Times New Roman" w:hAnsi="Times New Roman"/>
                <w:sz w:val="18"/>
              </w:rPr>
              <w:t>Circular Information Transparency</w:t>
            </w:r>
          </w:p>
        </w:tc>
        <w:tc>
          <w:tcPr>
            <w:tcW w:type="dxa" w:w="1337"/>
          </w:tcPr>
          <w:p>
            <w:pPr>
              <w:spacing w:line="240" w:lineRule="auto" w:after="40" w:before="40"/>
            </w:pPr>
            <w:r>
              <w:rPr>
                <w:rFonts w:ascii="Times New Roman" w:hAnsi="Times New Roman"/>
                <w:sz w:val="18"/>
              </w:rPr>
              <w:t>CIT</w:t>
            </w:r>
          </w:p>
        </w:tc>
        <w:tc>
          <w:tcPr>
            <w:tcW w:type="dxa" w:w="1337"/>
          </w:tcPr>
          <w:p>
            <w:pPr>
              <w:spacing w:line="240" w:lineRule="auto" w:after="40" w:before="40"/>
            </w:pPr>
            <w:r>
              <w:rPr>
                <w:rFonts w:ascii="Times New Roman" w:hAnsi="Times New Roman"/>
                <w:sz w:val="18"/>
              </w:rPr>
              <w:t>Reflective (composite)</w:t>
            </w:r>
          </w:p>
        </w:tc>
        <w:tc>
          <w:tcPr>
            <w:tcW w:type="dxa" w:w="1337"/>
          </w:tcPr>
          <w:p>
            <w:pPr>
              <w:spacing w:line="240" w:lineRule="auto" w:after="40" w:before="40"/>
            </w:pPr>
            <w:r>
              <w:rPr>
                <w:rFonts w:ascii="Times New Roman" w:hAnsi="Times New Roman"/>
                <w:sz w:val="18"/>
              </w:rPr>
              <w:t>Mode A</w:t>
            </w:r>
          </w:p>
        </w:tc>
        <w:tc>
          <w:tcPr>
            <w:tcW w:type="dxa" w:w="1337"/>
          </w:tcPr>
          <w:p>
            <w:pPr>
              <w:spacing w:line="240" w:lineRule="auto" w:after="40" w:before="40"/>
            </w:pPr>
            <w:r>
              <w:rPr>
                <w:rFonts w:ascii="Times New Roman" w:hAnsi="Times New Roman"/>
                <w:sz w:val="18"/>
              </w:rPr>
              <w:t>–</w:t>
            </w:r>
          </w:p>
        </w:tc>
        <w:tc>
          <w:tcPr>
            <w:tcW w:type="dxa" w:w="1337"/>
          </w:tcPr>
          <w:p>
            <w:pPr>
              <w:spacing w:line="240" w:lineRule="auto" w:after="40" w:before="40"/>
            </w:pPr>
            <w:r>
              <w:rPr>
                <w:rFonts w:ascii="Times New Roman" w:hAnsi="Times New Roman"/>
                <w:sz w:val="18"/>
              </w:rPr>
              <w:t>5</w:t>
            </w:r>
          </w:p>
        </w:tc>
        <w:tc>
          <w:tcPr>
            <w:tcW w:type="dxa" w:w="1337"/>
          </w:tcPr>
          <w:p>
            <w:pPr>
              <w:spacing w:line="240" w:lineRule="auto" w:after="40" w:before="40"/>
            </w:pPr>
            <w:r>
              <w:rPr>
                <w:rFonts w:ascii="Times New Roman" w:hAnsi="Times New Roman"/>
                <w:sz w:val="18"/>
              </w:rPr>
              <w:t>Mediator 1</w:t>
            </w:r>
          </w:p>
        </w:tc>
      </w:tr>
      <w:tr>
        <w:tc>
          <w:tcPr>
            <w:tcW w:type="dxa" w:w="1337"/>
          </w:tcPr>
          <w:p>
            <w:pPr>
              <w:spacing w:line="240" w:lineRule="auto" w:after="40" w:before="40"/>
            </w:pPr>
            <w:r>
              <w:rPr>
                <w:rFonts w:ascii="Times New Roman" w:hAnsi="Times New Roman"/>
                <w:sz w:val="18"/>
              </w:rPr>
              <w:t>Circular Governance Quality</w:t>
            </w:r>
          </w:p>
        </w:tc>
        <w:tc>
          <w:tcPr>
            <w:tcW w:type="dxa" w:w="1337"/>
          </w:tcPr>
          <w:p>
            <w:pPr>
              <w:spacing w:line="240" w:lineRule="auto" w:after="40" w:before="40"/>
            </w:pPr>
            <w:r>
              <w:rPr>
                <w:rFonts w:ascii="Times New Roman" w:hAnsi="Times New Roman"/>
                <w:sz w:val="18"/>
              </w:rPr>
              <w:t>CGQ</w:t>
            </w:r>
          </w:p>
        </w:tc>
        <w:tc>
          <w:tcPr>
            <w:tcW w:type="dxa" w:w="1337"/>
          </w:tcPr>
          <w:p>
            <w:pPr>
              <w:spacing w:line="240" w:lineRule="auto" w:after="40" w:before="40"/>
            </w:pPr>
            <w:r>
              <w:rPr>
                <w:rFonts w:ascii="Times New Roman" w:hAnsi="Times New Roman"/>
                <w:sz w:val="18"/>
              </w:rPr>
              <w:t>Reflective (composite)</w:t>
            </w:r>
          </w:p>
        </w:tc>
        <w:tc>
          <w:tcPr>
            <w:tcW w:type="dxa" w:w="1337"/>
          </w:tcPr>
          <w:p>
            <w:pPr>
              <w:spacing w:line="240" w:lineRule="auto" w:after="40" w:before="40"/>
            </w:pPr>
            <w:r>
              <w:rPr>
                <w:rFonts w:ascii="Times New Roman" w:hAnsi="Times New Roman"/>
                <w:sz w:val="18"/>
              </w:rPr>
              <w:t>Mode A</w:t>
            </w:r>
          </w:p>
        </w:tc>
        <w:tc>
          <w:tcPr>
            <w:tcW w:type="dxa" w:w="1337"/>
          </w:tcPr>
          <w:p>
            <w:pPr>
              <w:spacing w:line="240" w:lineRule="auto" w:after="40" w:before="40"/>
            </w:pPr>
            <w:r>
              <w:rPr>
                <w:rFonts w:ascii="Times New Roman" w:hAnsi="Times New Roman"/>
                <w:sz w:val="18"/>
              </w:rPr>
              <w:t>–</w:t>
            </w:r>
          </w:p>
        </w:tc>
        <w:tc>
          <w:tcPr>
            <w:tcW w:type="dxa" w:w="1337"/>
          </w:tcPr>
          <w:p>
            <w:pPr>
              <w:spacing w:line="240" w:lineRule="auto" w:after="40" w:before="40"/>
            </w:pPr>
            <w:r>
              <w:rPr>
                <w:rFonts w:ascii="Times New Roman" w:hAnsi="Times New Roman"/>
                <w:sz w:val="18"/>
              </w:rPr>
              <w:t>6</w:t>
            </w:r>
          </w:p>
        </w:tc>
        <w:tc>
          <w:tcPr>
            <w:tcW w:type="dxa" w:w="1337"/>
          </w:tcPr>
          <w:p>
            <w:pPr>
              <w:spacing w:line="240" w:lineRule="auto" w:after="40" w:before="40"/>
            </w:pPr>
            <w:r>
              <w:rPr>
                <w:rFonts w:ascii="Times New Roman" w:hAnsi="Times New Roman"/>
                <w:sz w:val="18"/>
              </w:rPr>
              <w:t>Moderator + direct predictor</w:t>
            </w:r>
          </w:p>
        </w:tc>
      </w:tr>
      <w:tr>
        <w:tc>
          <w:tcPr>
            <w:tcW w:type="dxa" w:w="1337"/>
          </w:tcPr>
          <w:p>
            <w:pPr>
              <w:spacing w:line="240" w:lineRule="auto" w:after="40" w:before="40"/>
            </w:pPr>
            <w:r>
              <w:rPr>
                <w:rFonts w:ascii="Times New Roman" w:hAnsi="Times New Roman"/>
                <w:sz w:val="18"/>
              </w:rPr>
              <w:t>Circular Value-Chain Integration</w:t>
            </w:r>
          </w:p>
        </w:tc>
        <w:tc>
          <w:tcPr>
            <w:tcW w:type="dxa" w:w="1337"/>
          </w:tcPr>
          <w:p>
            <w:pPr>
              <w:spacing w:line="240" w:lineRule="auto" w:after="40" w:before="40"/>
            </w:pPr>
            <w:r>
              <w:rPr>
                <w:rFonts w:ascii="Times New Roman" w:hAnsi="Times New Roman"/>
                <w:sz w:val="18"/>
              </w:rPr>
              <w:t>CVCI</w:t>
            </w:r>
          </w:p>
        </w:tc>
        <w:tc>
          <w:tcPr>
            <w:tcW w:type="dxa" w:w="1337"/>
          </w:tcPr>
          <w:p>
            <w:pPr>
              <w:spacing w:line="240" w:lineRule="auto" w:after="40" w:before="40"/>
            </w:pPr>
            <w:r>
              <w:rPr>
                <w:rFonts w:ascii="Times New Roman" w:hAnsi="Times New Roman"/>
                <w:sz w:val="18"/>
              </w:rPr>
              <w:t>Reflective (composite)</w:t>
            </w:r>
          </w:p>
        </w:tc>
        <w:tc>
          <w:tcPr>
            <w:tcW w:type="dxa" w:w="1337"/>
          </w:tcPr>
          <w:p>
            <w:pPr>
              <w:spacing w:line="240" w:lineRule="auto" w:after="40" w:before="40"/>
            </w:pPr>
            <w:r>
              <w:rPr>
                <w:rFonts w:ascii="Times New Roman" w:hAnsi="Times New Roman"/>
                <w:sz w:val="18"/>
              </w:rPr>
              <w:t>Mode A</w:t>
            </w:r>
          </w:p>
        </w:tc>
        <w:tc>
          <w:tcPr>
            <w:tcW w:type="dxa" w:w="1337"/>
          </w:tcPr>
          <w:p>
            <w:pPr>
              <w:spacing w:line="240" w:lineRule="auto" w:after="40" w:before="40"/>
            </w:pPr>
            <w:r>
              <w:rPr>
                <w:rFonts w:ascii="Times New Roman" w:hAnsi="Times New Roman"/>
                <w:sz w:val="18"/>
              </w:rPr>
              <w:t>–</w:t>
            </w:r>
          </w:p>
        </w:tc>
        <w:tc>
          <w:tcPr>
            <w:tcW w:type="dxa" w:w="1337"/>
          </w:tcPr>
          <w:p>
            <w:pPr>
              <w:spacing w:line="240" w:lineRule="auto" w:after="40" w:before="40"/>
            </w:pPr>
            <w:r>
              <w:rPr>
                <w:rFonts w:ascii="Times New Roman" w:hAnsi="Times New Roman"/>
                <w:sz w:val="18"/>
              </w:rPr>
              <w:t>6</w:t>
            </w:r>
          </w:p>
        </w:tc>
        <w:tc>
          <w:tcPr>
            <w:tcW w:type="dxa" w:w="1337"/>
          </w:tcPr>
          <w:p>
            <w:pPr>
              <w:spacing w:line="240" w:lineRule="auto" w:after="40" w:before="40"/>
            </w:pPr>
            <w:r>
              <w:rPr>
                <w:rFonts w:ascii="Times New Roman" w:hAnsi="Times New Roman"/>
                <w:sz w:val="18"/>
              </w:rPr>
              <w:t>Mediator 2 (focal endogenous)</w:t>
            </w:r>
          </w:p>
        </w:tc>
      </w:tr>
      <w:tr>
        <w:tc>
          <w:tcPr>
            <w:tcW w:type="dxa" w:w="1337"/>
          </w:tcPr>
          <w:p>
            <w:pPr>
              <w:spacing w:line="240" w:lineRule="auto" w:after="40" w:before="40"/>
            </w:pPr>
            <w:r>
              <w:rPr>
                <w:rFonts w:ascii="Times New Roman" w:hAnsi="Times New Roman"/>
                <w:sz w:val="18"/>
              </w:rPr>
              <w:t>Circular Value Creation Performance</w:t>
            </w:r>
          </w:p>
        </w:tc>
        <w:tc>
          <w:tcPr>
            <w:tcW w:type="dxa" w:w="1337"/>
          </w:tcPr>
          <w:p>
            <w:pPr>
              <w:spacing w:line="240" w:lineRule="auto" w:after="40" w:before="40"/>
            </w:pPr>
            <w:r>
              <w:rPr>
                <w:rFonts w:ascii="Times New Roman" w:hAnsi="Times New Roman"/>
                <w:sz w:val="18"/>
              </w:rPr>
              <w:t>CVCP</w:t>
            </w:r>
          </w:p>
        </w:tc>
        <w:tc>
          <w:tcPr>
            <w:tcW w:type="dxa" w:w="1337"/>
          </w:tcPr>
          <w:p>
            <w:pPr>
              <w:spacing w:line="240" w:lineRule="auto" w:after="40" w:before="40"/>
            </w:pPr>
            <w:r>
              <w:rPr>
                <w:rFonts w:ascii="Times New Roman" w:hAnsi="Times New Roman"/>
                <w:sz w:val="18"/>
              </w:rPr>
              <w:t>Reflective-formative higher-order (Type II)</w:t>
            </w:r>
          </w:p>
        </w:tc>
        <w:tc>
          <w:tcPr>
            <w:tcW w:type="dxa" w:w="1337"/>
          </w:tcPr>
          <w:p>
            <w:pPr>
              <w:spacing w:line="240" w:lineRule="auto" w:after="40" w:before="40"/>
            </w:pPr>
            <w:r>
              <w:rPr>
                <w:rFonts w:ascii="Times New Roman" w:hAnsi="Times New Roman"/>
                <w:sz w:val="18"/>
              </w:rPr>
              <w:t>LOCs Mode A → HOC Mode B</w:t>
            </w:r>
          </w:p>
        </w:tc>
        <w:tc>
          <w:tcPr>
            <w:tcW w:type="dxa" w:w="1337"/>
          </w:tcPr>
          <w:p>
            <w:pPr>
              <w:spacing w:line="240" w:lineRule="auto" w:after="40" w:before="40"/>
            </w:pPr>
            <w:r>
              <w:rPr>
                <w:rFonts w:ascii="Times New Roman" w:hAnsi="Times New Roman"/>
                <w:sz w:val="18"/>
              </w:rPr>
              <w:t>3</w:t>
            </w:r>
          </w:p>
        </w:tc>
        <w:tc>
          <w:tcPr>
            <w:tcW w:type="dxa" w:w="1337"/>
          </w:tcPr>
          <w:p>
            <w:pPr>
              <w:spacing w:line="240" w:lineRule="auto" w:after="40" w:before="40"/>
            </w:pPr>
            <w:r>
              <w:rPr>
                <w:rFonts w:ascii="Times New Roman" w:hAnsi="Times New Roman"/>
                <w:sz w:val="18"/>
              </w:rPr>
              <w:t>11</w:t>
            </w:r>
          </w:p>
        </w:tc>
        <w:tc>
          <w:tcPr>
            <w:tcW w:type="dxa" w:w="1337"/>
          </w:tcPr>
          <w:p>
            <w:pPr>
              <w:spacing w:line="240" w:lineRule="auto" w:after="40" w:before="40"/>
            </w:pPr>
            <w:r>
              <w:rPr>
                <w:rFonts w:ascii="Times New Roman" w:hAnsi="Times New Roman"/>
                <w:sz w:val="18"/>
              </w:rPr>
              <w:t>Final outcome</w:t>
            </w:r>
          </w:p>
        </w:tc>
      </w:tr>
      <w:tr>
        <w:tc>
          <w:tcPr>
            <w:tcW w:type="dxa" w:w="1337"/>
          </w:tcPr>
          <w:p>
            <w:pPr>
              <w:spacing w:line="240" w:lineRule="auto" w:after="40" w:before="40"/>
            </w:pPr>
            <w:r>
              <w:rPr>
                <w:rFonts w:ascii="Times New Roman" w:hAnsi="Times New Roman"/>
                <w:sz w:val="18"/>
              </w:rPr>
              <w:t>Digital Traceability Capability</w:t>
            </w:r>
          </w:p>
        </w:tc>
        <w:tc>
          <w:tcPr>
            <w:tcW w:type="dxa" w:w="1337"/>
          </w:tcPr>
          <w:p>
            <w:pPr>
              <w:spacing w:line="240" w:lineRule="auto" w:after="40" w:before="40"/>
            </w:pPr>
            <w:r>
              <w:rPr>
                <w:rFonts w:ascii="Times New Roman" w:hAnsi="Times New Roman"/>
                <w:sz w:val="18"/>
              </w:rPr>
              <w:t>DTC</w:t>
            </w:r>
          </w:p>
        </w:tc>
        <w:tc>
          <w:tcPr>
            <w:tcW w:type="dxa" w:w="1337"/>
          </w:tcPr>
          <w:p>
            <w:pPr>
              <w:spacing w:line="240" w:lineRule="auto" w:after="40" w:before="40"/>
            </w:pPr>
            <w:r>
              <w:rPr>
                <w:rFonts w:ascii="Times New Roman" w:hAnsi="Times New Roman"/>
                <w:sz w:val="18"/>
              </w:rPr>
              <w:t>Reflective (composite)</w:t>
            </w:r>
          </w:p>
        </w:tc>
        <w:tc>
          <w:tcPr>
            <w:tcW w:type="dxa" w:w="1337"/>
          </w:tcPr>
          <w:p>
            <w:pPr>
              <w:spacing w:line="240" w:lineRule="auto" w:after="40" w:before="40"/>
            </w:pPr>
            <w:r>
              <w:rPr>
                <w:rFonts w:ascii="Times New Roman" w:hAnsi="Times New Roman"/>
                <w:sz w:val="18"/>
              </w:rPr>
              <w:t>Mode A</w:t>
            </w:r>
          </w:p>
        </w:tc>
        <w:tc>
          <w:tcPr>
            <w:tcW w:type="dxa" w:w="1337"/>
          </w:tcPr>
          <w:p>
            <w:pPr>
              <w:spacing w:line="240" w:lineRule="auto" w:after="40" w:before="40"/>
            </w:pPr>
            <w:r>
              <w:rPr>
                <w:rFonts w:ascii="Times New Roman" w:hAnsi="Times New Roman"/>
                <w:sz w:val="18"/>
              </w:rPr>
              <w:t>–</w:t>
            </w:r>
          </w:p>
        </w:tc>
        <w:tc>
          <w:tcPr>
            <w:tcW w:type="dxa" w:w="1337"/>
          </w:tcPr>
          <w:p>
            <w:pPr>
              <w:spacing w:line="240" w:lineRule="auto" w:after="40" w:before="40"/>
            </w:pPr>
            <w:r>
              <w:rPr>
                <w:rFonts w:ascii="Times New Roman" w:hAnsi="Times New Roman"/>
                <w:sz w:val="18"/>
              </w:rPr>
              <w:t>3</w:t>
            </w:r>
          </w:p>
        </w:tc>
        <w:tc>
          <w:tcPr>
            <w:tcW w:type="dxa" w:w="1337"/>
          </w:tcPr>
          <w:p>
            <w:pPr>
              <w:spacing w:line="240" w:lineRule="auto" w:after="40" w:before="40"/>
            </w:pPr>
            <w:r>
              <w:rPr>
                <w:rFonts w:ascii="Times New Roman" w:hAnsi="Times New Roman"/>
                <w:sz w:val="18"/>
              </w:rPr>
              <w:t>Control (rival explanation)</w:t>
            </w:r>
          </w:p>
        </w:tc>
      </w:tr>
      <w:tr>
        <w:tc>
          <w:tcPr>
            <w:tcW w:type="dxa" w:w="1337"/>
          </w:tcPr>
          <w:p>
            <w:pPr>
              <w:spacing w:line="240" w:lineRule="auto" w:after="40" w:before="40"/>
            </w:pPr>
            <w:r>
              <w:rPr>
                <w:rFonts w:ascii="Times New Roman" w:hAnsi="Times New Roman"/>
                <w:sz w:val="18"/>
              </w:rPr>
              <w:t>Institutional Support</w:t>
            </w:r>
          </w:p>
        </w:tc>
        <w:tc>
          <w:tcPr>
            <w:tcW w:type="dxa" w:w="1337"/>
          </w:tcPr>
          <w:p>
            <w:pPr>
              <w:spacing w:line="240" w:lineRule="auto" w:after="40" w:before="40"/>
            </w:pPr>
            <w:r>
              <w:rPr>
                <w:rFonts w:ascii="Times New Roman" w:hAnsi="Times New Roman"/>
                <w:sz w:val="18"/>
              </w:rPr>
              <w:t>IS</w:t>
            </w:r>
          </w:p>
        </w:tc>
        <w:tc>
          <w:tcPr>
            <w:tcW w:type="dxa" w:w="1337"/>
          </w:tcPr>
          <w:p>
            <w:pPr>
              <w:spacing w:line="240" w:lineRule="auto" w:after="40" w:before="40"/>
            </w:pPr>
            <w:r>
              <w:rPr>
                <w:rFonts w:ascii="Times New Roman" w:hAnsi="Times New Roman"/>
                <w:sz w:val="18"/>
              </w:rPr>
              <w:t>Reflective (composite)</w:t>
            </w:r>
          </w:p>
        </w:tc>
        <w:tc>
          <w:tcPr>
            <w:tcW w:type="dxa" w:w="1337"/>
          </w:tcPr>
          <w:p>
            <w:pPr>
              <w:spacing w:line="240" w:lineRule="auto" w:after="40" w:before="40"/>
            </w:pPr>
            <w:r>
              <w:rPr>
                <w:rFonts w:ascii="Times New Roman" w:hAnsi="Times New Roman"/>
                <w:sz w:val="18"/>
              </w:rPr>
              <w:t>Mode A</w:t>
            </w:r>
          </w:p>
        </w:tc>
        <w:tc>
          <w:tcPr>
            <w:tcW w:type="dxa" w:w="1337"/>
          </w:tcPr>
          <w:p>
            <w:pPr>
              <w:spacing w:line="240" w:lineRule="auto" w:after="40" w:before="40"/>
            </w:pPr>
            <w:r>
              <w:rPr>
                <w:rFonts w:ascii="Times New Roman" w:hAnsi="Times New Roman"/>
                <w:sz w:val="18"/>
              </w:rPr>
              <w:t>–</w:t>
            </w:r>
          </w:p>
        </w:tc>
        <w:tc>
          <w:tcPr>
            <w:tcW w:type="dxa" w:w="1337"/>
          </w:tcPr>
          <w:p>
            <w:pPr>
              <w:spacing w:line="240" w:lineRule="auto" w:after="40" w:before="40"/>
            </w:pPr>
            <w:r>
              <w:rPr>
                <w:rFonts w:ascii="Times New Roman" w:hAnsi="Times New Roman"/>
                <w:sz w:val="18"/>
              </w:rPr>
              <w:t>3</w:t>
            </w:r>
          </w:p>
        </w:tc>
        <w:tc>
          <w:tcPr>
            <w:tcW w:type="dxa" w:w="1337"/>
          </w:tcPr>
          <w:p>
            <w:pPr>
              <w:spacing w:line="240" w:lineRule="auto" w:after="40" w:before="40"/>
            </w:pPr>
            <w:r>
              <w:rPr>
                <w:rFonts w:ascii="Times New Roman" w:hAnsi="Times New Roman"/>
                <w:sz w:val="18"/>
              </w:rPr>
              <w:t>Control (rival explanation)</w:t>
            </w:r>
          </w:p>
        </w:tc>
      </w:tr>
      <w:tr>
        <w:tc>
          <w:tcPr>
            <w:tcW w:type="dxa" w:w="1337"/>
          </w:tcPr>
          <w:p>
            <w:pPr>
              <w:spacing w:line="240" w:lineRule="auto" w:after="40" w:before="40"/>
            </w:pPr>
            <w:r>
              <w:rPr>
                <w:rFonts w:ascii="Times New Roman" w:hAnsi="Times New Roman"/>
                <w:sz w:val="18"/>
              </w:rPr>
              <w:t>Marker (attitude toward the colour blue)</w:t>
            </w:r>
          </w:p>
        </w:tc>
        <w:tc>
          <w:tcPr>
            <w:tcW w:type="dxa" w:w="1337"/>
          </w:tcPr>
          <w:p>
            <w:pPr>
              <w:spacing w:line="240" w:lineRule="auto" w:after="40" w:before="40"/>
            </w:pPr>
            <w:r>
              <w:rPr>
                <w:rFonts w:ascii="Times New Roman" w:hAnsi="Times New Roman"/>
                <w:sz w:val="18"/>
              </w:rPr>
              <w:t>MK</w:t>
            </w:r>
          </w:p>
        </w:tc>
        <w:tc>
          <w:tcPr>
            <w:tcW w:type="dxa" w:w="1337"/>
          </w:tcPr>
          <w:p>
            <w:pPr>
              <w:spacing w:line="240" w:lineRule="auto" w:after="40" w:before="40"/>
            </w:pPr>
            <w:r>
              <w:rPr>
                <w:rFonts w:ascii="Times New Roman" w:hAnsi="Times New Roman"/>
                <w:sz w:val="18"/>
              </w:rPr>
              <w:t>Reflective (composite)</w:t>
            </w:r>
          </w:p>
        </w:tc>
        <w:tc>
          <w:tcPr>
            <w:tcW w:type="dxa" w:w="1337"/>
          </w:tcPr>
          <w:p>
            <w:pPr>
              <w:spacing w:line="240" w:lineRule="auto" w:after="40" w:before="40"/>
            </w:pPr>
            <w:r>
              <w:rPr>
                <w:rFonts w:ascii="Times New Roman" w:hAnsi="Times New Roman"/>
                <w:sz w:val="18"/>
              </w:rPr>
              <w:t>Mode A</w:t>
            </w:r>
          </w:p>
        </w:tc>
        <w:tc>
          <w:tcPr>
            <w:tcW w:type="dxa" w:w="1337"/>
          </w:tcPr>
          <w:p>
            <w:pPr>
              <w:spacing w:line="240" w:lineRule="auto" w:after="40" w:before="40"/>
            </w:pPr>
            <w:r>
              <w:rPr>
                <w:rFonts w:ascii="Times New Roman" w:hAnsi="Times New Roman"/>
                <w:sz w:val="18"/>
              </w:rPr>
              <w:t>–</w:t>
            </w:r>
          </w:p>
        </w:tc>
        <w:tc>
          <w:tcPr>
            <w:tcW w:type="dxa" w:w="1337"/>
          </w:tcPr>
          <w:p>
            <w:pPr>
              <w:spacing w:line="240" w:lineRule="auto" w:after="40" w:before="40"/>
            </w:pPr>
            <w:r>
              <w:rPr>
                <w:rFonts w:ascii="Times New Roman" w:hAnsi="Times New Roman"/>
                <w:sz w:val="18"/>
              </w:rPr>
              <w:t>3</w:t>
            </w:r>
          </w:p>
        </w:tc>
        <w:tc>
          <w:tcPr>
            <w:tcW w:type="dxa" w:w="1337"/>
          </w:tcPr>
          <w:p>
            <w:pPr>
              <w:spacing w:line="240" w:lineRule="auto" w:after="40" w:before="40"/>
            </w:pPr>
            <w:r>
              <w:rPr>
                <w:rFonts w:ascii="Times New Roman" w:hAnsi="Times New Roman"/>
                <w:sz w:val="18"/>
              </w:rPr>
              <w:t>Method-bias marker; excluded from structural model</w:t>
            </w:r>
          </w:p>
        </w:tc>
      </w:tr>
      <w:tr>
        <w:tc>
          <w:tcPr>
            <w:tcW w:type="dxa" w:w="1337"/>
          </w:tcPr>
          <w:p>
            <w:pPr>
              <w:spacing w:line="240" w:lineRule="auto" w:after="40" w:before="40"/>
            </w:pPr>
            <w:r>
              <w:rPr>
                <w:rFonts w:ascii="Times New Roman" w:hAnsi="Times New Roman"/>
                <w:b/>
                <w:sz w:val="18"/>
              </w:rPr>
              <w:t>Focal subtotal</w:t>
            </w:r>
          </w:p>
        </w:tc>
        <w:tc>
          <w:tcPr>
            <w:tcW w:type="dxa" w:w="1337"/>
          </w:tcPr>
          <w:p>
            <w:pPr>
              <w:spacing w:line="240" w:lineRule="auto" w:after="40" w:before="40"/>
            </w:pPr>
          </w:p>
        </w:tc>
        <w:tc>
          <w:tcPr>
            <w:tcW w:type="dxa" w:w="1337"/>
          </w:tcPr>
          <w:p>
            <w:pPr>
              <w:spacing w:line="240" w:lineRule="auto" w:after="40" w:before="40"/>
            </w:pPr>
          </w:p>
        </w:tc>
        <w:tc>
          <w:tcPr>
            <w:tcW w:type="dxa" w:w="1337"/>
          </w:tcPr>
          <w:p>
            <w:pPr>
              <w:spacing w:line="240" w:lineRule="auto" w:after="40" w:before="40"/>
            </w:pPr>
          </w:p>
        </w:tc>
        <w:tc>
          <w:tcPr>
            <w:tcW w:type="dxa" w:w="1337"/>
          </w:tcPr>
          <w:p>
            <w:pPr>
              <w:spacing w:line="240" w:lineRule="auto" w:after="40" w:before="40"/>
            </w:pPr>
          </w:p>
        </w:tc>
        <w:tc>
          <w:tcPr>
            <w:tcW w:type="dxa" w:w="1337"/>
          </w:tcPr>
          <w:p>
            <w:pPr>
              <w:spacing w:line="240" w:lineRule="auto" w:after="40" w:before="40"/>
            </w:pPr>
            <w:r>
              <w:rPr>
                <w:rFonts w:ascii="Times New Roman" w:hAnsi="Times New Roman"/>
                <w:b/>
                <w:sz w:val="18"/>
              </w:rPr>
              <w:t>37</w:t>
            </w:r>
          </w:p>
        </w:tc>
        <w:tc>
          <w:tcPr>
            <w:tcW w:type="dxa" w:w="1337"/>
          </w:tcPr>
          <w:p>
            <w:pPr>
              <w:spacing w:line="240" w:lineRule="auto" w:after="40" w:before="40"/>
            </w:pPr>
          </w:p>
        </w:tc>
      </w:tr>
      <w:tr>
        <w:tc>
          <w:tcPr>
            <w:tcW w:type="dxa" w:w="1337"/>
          </w:tcPr>
          <w:p>
            <w:pPr>
              <w:spacing w:line="240" w:lineRule="auto" w:after="40" w:before="40"/>
            </w:pPr>
            <w:r>
              <w:rPr>
                <w:rFonts w:ascii="Times New Roman" w:hAnsi="Times New Roman"/>
                <w:b/>
                <w:sz w:val="18"/>
              </w:rPr>
              <w:t>Whole instrument</w:t>
            </w:r>
          </w:p>
        </w:tc>
        <w:tc>
          <w:tcPr>
            <w:tcW w:type="dxa" w:w="1337"/>
          </w:tcPr>
          <w:p>
            <w:pPr>
              <w:spacing w:line="240" w:lineRule="auto" w:after="40" w:before="40"/>
            </w:pPr>
          </w:p>
        </w:tc>
        <w:tc>
          <w:tcPr>
            <w:tcW w:type="dxa" w:w="1337"/>
          </w:tcPr>
          <w:p>
            <w:pPr>
              <w:spacing w:line="240" w:lineRule="auto" w:after="40" w:before="40"/>
            </w:pPr>
          </w:p>
        </w:tc>
        <w:tc>
          <w:tcPr>
            <w:tcW w:type="dxa" w:w="1337"/>
          </w:tcPr>
          <w:p>
            <w:pPr>
              <w:spacing w:line="240" w:lineRule="auto" w:after="40" w:before="40"/>
            </w:pPr>
          </w:p>
        </w:tc>
        <w:tc>
          <w:tcPr>
            <w:tcW w:type="dxa" w:w="1337"/>
          </w:tcPr>
          <w:p>
            <w:pPr>
              <w:spacing w:line="240" w:lineRule="auto" w:after="40" w:before="40"/>
            </w:pPr>
          </w:p>
        </w:tc>
        <w:tc>
          <w:tcPr>
            <w:tcW w:type="dxa" w:w="1337"/>
          </w:tcPr>
          <w:p>
            <w:pPr>
              <w:spacing w:line="240" w:lineRule="auto" w:after="40" w:before="40"/>
            </w:pPr>
            <w:r>
              <w:rPr>
                <w:rFonts w:ascii="Times New Roman" w:hAnsi="Times New Roman"/>
                <w:b/>
                <w:sz w:val="18"/>
              </w:rPr>
              <w:t>46</w:t>
            </w:r>
          </w:p>
        </w:tc>
        <w:tc>
          <w:tcPr>
            <w:tcW w:type="dxa" w:w="1337"/>
          </w:tcPr>
          <w:p>
            <w:pPr>
              <w:spacing w:line="240" w:lineRule="auto" w:after="40" w:before="40"/>
            </w:pPr>
          </w:p>
        </w:tc>
      </w:tr>
    </w:tbl>
    <w:p>
      <w:pPr>
        <w:spacing w:line="240" w:lineRule="auto"/>
      </w:pPr>
    </w:p>
    <w:p>
      <w:pPr>
        <w:spacing w:after="120"/>
        <w:ind w:firstLine="0"/>
      </w:pPr>
      <w:r>
        <w:rPr>
          <w:i/>
        </w:rPr>
        <w:t>Note.</w:t>
      </w:r>
      <w:r>
        <w:t xml:space="preserve"> 46 = 37 focal + 3 DTC + 3 IS + 3 MK. Source split: 22 adapted from validated scales (AV); 11 adapting validated item structures to circular resource-flow content (AS); 10 newly developed (ND); 3 marker administered verbatim (MK). This reproduces the split stated in Section 5.5 of the manuscript.</w:t>
      </w:r>
    </w:p>
    <w:p>
      <w:pPr>
        <w:pStyle w:val="Heading1"/>
      </w:pPr>
      <w:r>
        <w:t>2. The instrument</w:t>
      </w:r>
    </w:p>
    <w:p>
      <w:pPr>
        <w:spacing w:after="120"/>
        <w:ind w:firstLine="0"/>
      </w:pPr>
      <w:r>
        <w:rPr>
          <w:b/>
        </w:rPr>
        <w:t>Response format.</w:t>
      </w:r>
      <w:r>
        <w:t xml:space="preserve"> All substantive items on seven-point scales, enumerator-administered with a visual ladder card.</w:t>
      </w:r>
    </w:p>
    <w:p>
      <w:pPr>
        <w:spacing w:after="120"/>
        <w:ind w:firstLine="0"/>
      </w:pPr>
      <w:r>
        <w:rPr>
          <w:b/>
        </w:rPr>
        <w:t>Predictor stem (CAC, CIT, CGQ, CVCI, DTC, IS) — current state.</w:t>
      </w:r>
      <w:r>
        <w:t xml:space="preserve"> </w:t>
      </w:r>
      <w:r>
        <w:rPr>
          <w:i/>
        </w:rPr>
        <w:t>"Thinking about how your enterprise operates now, please indicate how far each statement describes what actually happens."</w:t>
      </w:r>
      <w:r>
        <w:t xml:space="preserve"> 1 = not at all, 4 = to a moderate extent, 7 = to a very great extent.</w:t>
      </w:r>
    </w:p>
    <w:p>
      <w:pPr>
        <w:spacing w:after="120"/>
        <w:ind w:firstLine="0"/>
      </w:pPr>
      <w:r>
        <w:rPr>
          <w:b/>
        </w:rPr>
        <w:t>Outcome stem (CVCP) — change over three seasons.</w:t>
      </w:r>
      <w:r>
        <w:t xml:space="preserve"> </w:t>
      </w:r>
      <w:r>
        <w:rPr>
          <w:i/>
        </w:rPr>
        <w:t>"Compared with three seasons ago, how has each of the following changed for your enterprise?"</w:t>
      </w:r>
      <w:r>
        <w:t xml:space="preserve"> 1 = decreased greatly, 4 = no change, 7 = increased greatly. All CVCP items are worded so that </w:t>
      </w:r>
      <w:r>
        <w:rPr>
          <w:b/>
        </w:rPr>
        <w:t>higher = better</w:t>
      </w:r>
      <w:r>
        <w:t xml:space="preserve">; the loss items are phrased as </w:t>
      </w:r>
      <w:r>
        <w:rPr>
          <w:i/>
        </w:rPr>
        <w:t>reduction in</w:t>
      </w:r>
      <w:r>
        <w:t xml:space="preserve">, so no reverse-coding is required. Verify this against your fielded wording before analysis — if any item was worded as </w:t>
      </w:r>
      <w:r>
        <w:rPr>
          <w:i/>
        </w:rPr>
        <w:t>"quantity of waste"</w:t>
      </w:r>
      <w:r>
        <w:t xml:space="preserve"> rather than </w:t>
      </w:r>
      <w:r>
        <w:rPr>
          <w:i/>
        </w:rPr>
        <w:t>"reduction in waste"</w:t>
      </w:r>
      <w:r>
        <w:t>, reverse-code it and record that you did.</w:t>
      </w:r>
    </w:p>
    <w:p>
      <w:pPr>
        <w:pStyle w:val="Heading2"/>
      </w:pPr>
      <w:r>
        <w:t>2.1 Circular Accounting Capability (CAC) — 9 items, 3 dimensions</w:t>
      </w:r>
    </w:p>
    <w:p>
      <w:pPr>
        <w:keepNext/>
        <w:spacing w:before="240" w:line="240" w:lineRule="auto"/>
      </w:pPr>
      <w:r>
        <w:rPr>
          <w:b/>
          <w:sz w:val="20"/>
        </w:rPr>
        <w:t>Table A2. CAC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after="40" w:before="40"/>
            </w:pPr>
            <w:r>
              <w:rPr>
                <w:rFonts w:ascii="Times New Roman" w:hAnsi="Times New Roman"/>
                <w:b/>
                <w:sz w:val="18"/>
              </w:rPr>
              <w:t>ID</w:t>
            </w:r>
          </w:p>
        </w:tc>
        <w:tc>
          <w:tcPr>
            <w:tcW w:type="dxa" w:w="2340"/>
            <w:shd w:val="clear" w:fill="EFEFEF"/>
          </w:tcPr>
          <w:p>
            <w:pPr>
              <w:spacing w:line="240" w:lineRule="auto" w:after="40" w:before="40"/>
            </w:pPr>
            <w:r>
              <w:rPr>
                <w:rFonts w:ascii="Times New Roman" w:hAnsi="Times New Roman"/>
                <w:b/>
                <w:sz w:val="18"/>
              </w:rPr>
              <w:t>Dimension</w:t>
            </w:r>
          </w:p>
        </w:tc>
        <w:tc>
          <w:tcPr>
            <w:tcW w:type="dxa" w:w="2340"/>
            <w:shd w:val="clear" w:fill="EFEFEF"/>
          </w:tcPr>
          <w:p>
            <w:pPr>
              <w:spacing w:line="240" w:lineRule="auto" w:after="40" w:before="40"/>
            </w:pPr>
            <w:r>
              <w:rPr>
                <w:rFonts w:ascii="Times New Roman" w:hAnsi="Times New Roman"/>
                <w:b/>
                <w:sz w:val="18"/>
              </w:rPr>
              <w:t>Item</w:t>
            </w:r>
          </w:p>
        </w:tc>
        <w:tc>
          <w:tcPr>
            <w:tcW w:type="dxa" w:w="2340"/>
            <w:shd w:val="clear" w:fill="EFEFEF"/>
          </w:tcPr>
          <w:p>
            <w:pPr>
              <w:spacing w:line="240" w:lineRule="auto" w:after="40" w:before="40"/>
            </w:pPr>
            <w:r>
              <w:rPr>
                <w:rFonts w:ascii="Times New Roman" w:hAnsi="Times New Roman"/>
                <w:b/>
                <w:sz w:val="18"/>
              </w:rPr>
              <w:t>Source class</w:t>
            </w:r>
          </w:p>
        </w:tc>
      </w:tr>
      <w:tr>
        <w:tc>
          <w:tcPr>
            <w:tcW w:type="dxa" w:w="2340"/>
          </w:tcPr>
          <w:p>
            <w:pPr>
              <w:spacing w:line="240" w:lineRule="auto" w:after="40" w:before="40"/>
            </w:pPr>
            <w:r>
              <w:rPr>
                <w:rFonts w:ascii="Times New Roman" w:hAnsi="Times New Roman"/>
                <w:sz w:val="18"/>
              </w:rPr>
              <w:t>CAC1</w:t>
            </w:r>
          </w:p>
        </w:tc>
        <w:tc>
          <w:tcPr>
            <w:tcW w:type="dxa" w:w="2340"/>
          </w:tcPr>
          <w:p>
            <w:pPr>
              <w:spacing w:line="240" w:lineRule="auto" w:after="40" w:before="40"/>
            </w:pPr>
            <w:r>
              <w:rPr>
                <w:rFonts w:ascii="Times New Roman" w:hAnsi="Times New Roman"/>
                <w:sz w:val="18"/>
              </w:rPr>
              <w:t>Material and resource-flow measurement</w:t>
            </w:r>
          </w:p>
        </w:tc>
        <w:tc>
          <w:tcPr>
            <w:tcW w:type="dxa" w:w="2340"/>
          </w:tcPr>
          <w:p>
            <w:pPr>
              <w:spacing w:line="240" w:lineRule="auto" w:after="40" w:before="40"/>
            </w:pPr>
            <w:r>
              <w:rPr>
                <w:rFonts w:ascii="Times New Roman" w:hAnsi="Times New Roman"/>
                <w:sz w:val="18"/>
              </w:rPr>
              <w:t>We keep a written or electronic record of the quantity of raw material we take in each season.</w:t>
            </w:r>
          </w:p>
        </w:tc>
        <w:tc>
          <w:tcPr>
            <w:tcW w:type="dxa" w:w="2340"/>
          </w:tcPr>
          <w:p>
            <w:pPr>
              <w:spacing w:line="240" w:lineRule="auto" w:after="40" w:before="40"/>
            </w:pPr>
            <w:r>
              <w:rPr>
                <w:rFonts w:ascii="Times New Roman" w:hAnsi="Times New Roman"/>
                <w:sz w:val="18"/>
              </w:rPr>
              <w:t>AS</w:t>
            </w:r>
          </w:p>
        </w:tc>
      </w:tr>
      <w:tr>
        <w:tc>
          <w:tcPr>
            <w:tcW w:type="dxa" w:w="2340"/>
          </w:tcPr>
          <w:p>
            <w:pPr>
              <w:spacing w:line="240" w:lineRule="auto" w:after="40" w:before="40"/>
            </w:pPr>
            <w:r>
              <w:rPr>
                <w:rFonts w:ascii="Times New Roman" w:hAnsi="Times New Roman"/>
                <w:sz w:val="18"/>
              </w:rPr>
              <w:t>CAC2</w:t>
            </w:r>
          </w:p>
        </w:tc>
        <w:tc>
          <w:tcPr>
            <w:tcW w:type="dxa" w:w="2340"/>
          </w:tcPr>
          <w:p>
            <w:pPr>
              <w:spacing w:line="240" w:lineRule="auto" w:after="40" w:before="40"/>
            </w:pPr>
            <w:r>
              <w:rPr>
                <w:rFonts w:ascii="Times New Roman" w:hAnsi="Times New Roman"/>
                <w:sz w:val="18"/>
              </w:rPr>
              <w:t>Material and resource-flow measurement</w:t>
            </w:r>
          </w:p>
        </w:tc>
        <w:tc>
          <w:tcPr>
            <w:tcW w:type="dxa" w:w="2340"/>
          </w:tcPr>
          <w:p>
            <w:pPr>
              <w:spacing w:line="240" w:lineRule="auto" w:after="40" w:before="40"/>
            </w:pPr>
            <w:r>
              <w:rPr>
                <w:rFonts w:ascii="Times New Roman" w:hAnsi="Times New Roman"/>
                <w:sz w:val="18"/>
              </w:rPr>
              <w:t>We write down how much of what we handle is rejected, downgraded or lost.</w:t>
            </w:r>
          </w:p>
        </w:tc>
        <w:tc>
          <w:tcPr>
            <w:tcW w:type="dxa" w:w="2340"/>
          </w:tcPr>
          <w:p>
            <w:pPr>
              <w:spacing w:line="240" w:lineRule="auto" w:after="40" w:before="40"/>
            </w:pPr>
            <w:r>
              <w:rPr>
                <w:rFonts w:ascii="Times New Roman" w:hAnsi="Times New Roman"/>
                <w:sz w:val="18"/>
              </w:rPr>
              <w:t>AS</w:t>
            </w:r>
          </w:p>
        </w:tc>
      </w:tr>
      <w:tr>
        <w:tc>
          <w:tcPr>
            <w:tcW w:type="dxa" w:w="2340"/>
          </w:tcPr>
          <w:p>
            <w:pPr>
              <w:spacing w:line="240" w:lineRule="auto" w:after="40" w:before="40"/>
            </w:pPr>
            <w:r>
              <w:rPr>
                <w:rFonts w:ascii="Times New Roman" w:hAnsi="Times New Roman"/>
                <w:sz w:val="18"/>
              </w:rPr>
              <w:t>CAC3</w:t>
            </w:r>
          </w:p>
        </w:tc>
        <w:tc>
          <w:tcPr>
            <w:tcW w:type="dxa" w:w="2340"/>
          </w:tcPr>
          <w:p>
            <w:pPr>
              <w:spacing w:line="240" w:lineRule="auto" w:after="40" w:before="40"/>
            </w:pPr>
            <w:r>
              <w:rPr>
                <w:rFonts w:ascii="Times New Roman" w:hAnsi="Times New Roman"/>
                <w:sz w:val="18"/>
              </w:rPr>
              <w:t>Material and resource-flow measurement</w:t>
            </w:r>
          </w:p>
        </w:tc>
        <w:tc>
          <w:tcPr>
            <w:tcW w:type="dxa" w:w="2340"/>
          </w:tcPr>
          <w:p>
            <w:pPr>
              <w:spacing w:line="240" w:lineRule="auto" w:after="40" w:before="40"/>
            </w:pPr>
            <w:r>
              <w:rPr>
                <w:rFonts w:ascii="Times New Roman" w:hAnsi="Times New Roman"/>
                <w:sz w:val="18"/>
              </w:rPr>
              <w:t>We record what happens to the material that does not become saleable product — where it goes and who takes it.</w:t>
            </w:r>
          </w:p>
        </w:tc>
        <w:tc>
          <w:tcPr>
            <w:tcW w:type="dxa" w:w="2340"/>
          </w:tcPr>
          <w:p>
            <w:pPr>
              <w:spacing w:line="240" w:lineRule="auto" w:after="40" w:before="40"/>
            </w:pPr>
            <w:r>
              <w:rPr>
                <w:rFonts w:ascii="Times New Roman" w:hAnsi="Times New Roman"/>
                <w:sz w:val="18"/>
              </w:rPr>
              <w:t>AS</w:t>
            </w:r>
          </w:p>
        </w:tc>
      </w:tr>
      <w:tr>
        <w:tc>
          <w:tcPr>
            <w:tcW w:type="dxa" w:w="2340"/>
          </w:tcPr>
          <w:p>
            <w:pPr>
              <w:spacing w:line="240" w:lineRule="auto" w:after="40" w:before="40"/>
            </w:pPr>
            <w:r>
              <w:rPr>
                <w:rFonts w:ascii="Times New Roman" w:hAnsi="Times New Roman"/>
                <w:sz w:val="18"/>
              </w:rPr>
              <w:t>CAC4</w:t>
            </w:r>
          </w:p>
        </w:tc>
        <w:tc>
          <w:tcPr>
            <w:tcW w:type="dxa" w:w="2340"/>
          </w:tcPr>
          <w:p>
            <w:pPr>
              <w:spacing w:line="240" w:lineRule="auto" w:after="40" w:before="40"/>
            </w:pPr>
            <w:r>
              <w:rPr>
                <w:rFonts w:ascii="Times New Roman" w:hAnsi="Times New Roman"/>
                <w:sz w:val="18"/>
              </w:rPr>
              <w:t>Loss and waste costing</w:t>
            </w:r>
          </w:p>
        </w:tc>
        <w:tc>
          <w:tcPr>
            <w:tcW w:type="dxa" w:w="2340"/>
          </w:tcPr>
          <w:p>
            <w:pPr>
              <w:spacing w:line="240" w:lineRule="auto" w:after="40" w:before="40"/>
            </w:pPr>
            <w:r>
              <w:rPr>
                <w:rFonts w:ascii="Times New Roman" w:hAnsi="Times New Roman"/>
                <w:sz w:val="18"/>
              </w:rPr>
              <w:t>We work out what the material we lose or reject cost us to buy or to produce.</w:t>
            </w:r>
          </w:p>
        </w:tc>
        <w:tc>
          <w:tcPr>
            <w:tcW w:type="dxa" w:w="2340"/>
          </w:tcPr>
          <w:p>
            <w:pPr>
              <w:spacing w:line="240" w:lineRule="auto" w:after="40" w:before="40"/>
            </w:pPr>
            <w:r>
              <w:rPr>
                <w:rFonts w:ascii="Times New Roman" w:hAnsi="Times New Roman"/>
                <w:sz w:val="18"/>
              </w:rPr>
              <w:t>AS</w:t>
            </w:r>
          </w:p>
        </w:tc>
      </w:tr>
      <w:tr>
        <w:tc>
          <w:tcPr>
            <w:tcW w:type="dxa" w:w="2340"/>
          </w:tcPr>
          <w:p>
            <w:pPr>
              <w:spacing w:line="240" w:lineRule="auto" w:after="40" w:before="40"/>
            </w:pPr>
            <w:r>
              <w:rPr>
                <w:rFonts w:ascii="Times New Roman" w:hAnsi="Times New Roman"/>
                <w:sz w:val="18"/>
              </w:rPr>
              <w:t>CAC5</w:t>
            </w:r>
          </w:p>
        </w:tc>
        <w:tc>
          <w:tcPr>
            <w:tcW w:type="dxa" w:w="2340"/>
          </w:tcPr>
          <w:p>
            <w:pPr>
              <w:spacing w:line="240" w:lineRule="auto" w:after="40" w:before="40"/>
            </w:pPr>
            <w:r>
              <w:rPr>
                <w:rFonts w:ascii="Times New Roman" w:hAnsi="Times New Roman"/>
                <w:sz w:val="18"/>
              </w:rPr>
              <w:t>Loss and waste costing</w:t>
            </w:r>
          </w:p>
        </w:tc>
        <w:tc>
          <w:tcPr>
            <w:tcW w:type="dxa" w:w="2340"/>
          </w:tcPr>
          <w:p>
            <w:pPr>
              <w:spacing w:line="240" w:lineRule="auto" w:after="40" w:before="40"/>
            </w:pPr>
            <w:r>
              <w:rPr>
                <w:rFonts w:ascii="Times New Roman" w:hAnsi="Times New Roman"/>
                <w:sz w:val="18"/>
              </w:rPr>
              <w:t>We know what the rejected or lost material would have earned had it been sold as product.</w:t>
            </w:r>
          </w:p>
        </w:tc>
        <w:tc>
          <w:tcPr>
            <w:tcW w:type="dxa" w:w="2340"/>
          </w:tcPr>
          <w:p>
            <w:pPr>
              <w:spacing w:line="240" w:lineRule="auto" w:after="40" w:before="40"/>
            </w:pPr>
            <w:r>
              <w:rPr>
                <w:rFonts w:ascii="Times New Roman" w:hAnsi="Times New Roman"/>
                <w:sz w:val="18"/>
              </w:rPr>
              <w:t>AS</w:t>
            </w:r>
          </w:p>
        </w:tc>
      </w:tr>
      <w:tr>
        <w:tc>
          <w:tcPr>
            <w:tcW w:type="dxa" w:w="2340"/>
          </w:tcPr>
          <w:p>
            <w:pPr>
              <w:spacing w:line="240" w:lineRule="auto" w:after="40" w:before="40"/>
            </w:pPr>
            <w:r>
              <w:rPr>
                <w:rFonts w:ascii="Times New Roman" w:hAnsi="Times New Roman"/>
                <w:sz w:val="18"/>
              </w:rPr>
              <w:t>CAC6</w:t>
            </w:r>
          </w:p>
        </w:tc>
        <w:tc>
          <w:tcPr>
            <w:tcW w:type="dxa" w:w="2340"/>
          </w:tcPr>
          <w:p>
            <w:pPr>
              <w:spacing w:line="240" w:lineRule="auto" w:after="40" w:before="40"/>
            </w:pPr>
            <w:r>
              <w:rPr>
                <w:rFonts w:ascii="Times New Roman" w:hAnsi="Times New Roman"/>
                <w:sz w:val="18"/>
              </w:rPr>
              <w:t>Loss and waste costing</w:t>
            </w:r>
          </w:p>
        </w:tc>
        <w:tc>
          <w:tcPr>
            <w:tcW w:type="dxa" w:w="2340"/>
          </w:tcPr>
          <w:p>
            <w:pPr>
              <w:spacing w:line="240" w:lineRule="auto" w:after="40" w:before="40"/>
            </w:pPr>
            <w:r>
              <w:rPr>
                <w:rFonts w:ascii="Times New Roman" w:hAnsi="Times New Roman"/>
                <w:sz w:val="18"/>
              </w:rPr>
              <w:t>We keep the cost of losses separate from our general operating costs rather than absorbing it into overall cost.</w:t>
            </w:r>
          </w:p>
        </w:tc>
        <w:tc>
          <w:tcPr>
            <w:tcW w:type="dxa" w:w="2340"/>
          </w:tcPr>
          <w:p>
            <w:pPr>
              <w:spacing w:line="240" w:lineRule="auto" w:after="40" w:before="40"/>
            </w:pPr>
            <w:r>
              <w:rPr>
                <w:rFonts w:ascii="Times New Roman" w:hAnsi="Times New Roman"/>
                <w:sz w:val="18"/>
              </w:rPr>
              <w:t>ND</w:t>
            </w:r>
          </w:p>
        </w:tc>
      </w:tr>
      <w:tr>
        <w:tc>
          <w:tcPr>
            <w:tcW w:type="dxa" w:w="2340"/>
          </w:tcPr>
          <w:p>
            <w:pPr>
              <w:spacing w:line="240" w:lineRule="auto" w:after="40" w:before="40"/>
            </w:pPr>
            <w:r>
              <w:rPr>
                <w:rFonts w:ascii="Times New Roman" w:hAnsi="Times New Roman"/>
                <w:sz w:val="18"/>
              </w:rPr>
              <w:t>CAC7</w:t>
            </w:r>
          </w:p>
        </w:tc>
        <w:tc>
          <w:tcPr>
            <w:tcW w:type="dxa" w:w="2340"/>
          </w:tcPr>
          <w:p>
            <w:pPr>
              <w:spacing w:line="240" w:lineRule="auto" w:after="40" w:before="40"/>
            </w:pPr>
            <w:r>
              <w:rPr>
                <w:rFonts w:ascii="Times New Roman" w:hAnsi="Times New Roman"/>
                <w:sz w:val="18"/>
              </w:rPr>
              <w:t>Recovery and circular investment evaluation</w:t>
            </w:r>
          </w:p>
        </w:tc>
        <w:tc>
          <w:tcPr>
            <w:tcW w:type="dxa" w:w="2340"/>
          </w:tcPr>
          <w:p>
            <w:pPr>
              <w:spacing w:line="240" w:lineRule="auto" w:after="40" w:before="40"/>
            </w:pPr>
            <w:r>
              <w:rPr>
                <w:rFonts w:ascii="Times New Roman" w:hAnsi="Times New Roman"/>
                <w:sz w:val="18"/>
              </w:rPr>
              <w:t>Before deciding whether to recover a by-product or residue, we estimate what it could earn.</w:t>
            </w:r>
          </w:p>
        </w:tc>
        <w:tc>
          <w:tcPr>
            <w:tcW w:type="dxa" w:w="2340"/>
          </w:tcPr>
          <w:p>
            <w:pPr>
              <w:spacing w:line="240" w:lineRule="auto" w:after="40" w:before="40"/>
            </w:pPr>
            <w:r>
              <w:rPr>
                <w:rFonts w:ascii="Times New Roman" w:hAnsi="Times New Roman"/>
                <w:sz w:val="18"/>
              </w:rPr>
              <w:t>ND</w:t>
            </w:r>
          </w:p>
        </w:tc>
      </w:tr>
      <w:tr>
        <w:tc>
          <w:tcPr>
            <w:tcW w:type="dxa" w:w="2340"/>
          </w:tcPr>
          <w:p>
            <w:pPr>
              <w:spacing w:line="240" w:lineRule="auto" w:after="40" w:before="40"/>
            </w:pPr>
            <w:r>
              <w:rPr>
                <w:rFonts w:ascii="Times New Roman" w:hAnsi="Times New Roman"/>
                <w:sz w:val="18"/>
              </w:rPr>
              <w:t>CAC8</w:t>
            </w:r>
          </w:p>
        </w:tc>
        <w:tc>
          <w:tcPr>
            <w:tcW w:type="dxa" w:w="2340"/>
          </w:tcPr>
          <w:p>
            <w:pPr>
              <w:spacing w:line="240" w:lineRule="auto" w:after="40" w:before="40"/>
            </w:pPr>
            <w:r>
              <w:rPr>
                <w:rFonts w:ascii="Times New Roman" w:hAnsi="Times New Roman"/>
                <w:sz w:val="18"/>
              </w:rPr>
              <w:t>Recovery and circular investment evaluation</w:t>
            </w:r>
          </w:p>
        </w:tc>
        <w:tc>
          <w:tcPr>
            <w:tcW w:type="dxa" w:w="2340"/>
          </w:tcPr>
          <w:p>
            <w:pPr>
              <w:spacing w:line="240" w:lineRule="auto" w:after="40" w:before="40"/>
            </w:pPr>
            <w:r>
              <w:rPr>
                <w:rFonts w:ascii="Times New Roman" w:hAnsi="Times New Roman"/>
                <w:sz w:val="18"/>
              </w:rPr>
              <w:t>We compare the cost of recovering a residue against the cost of disposing of it.</w:t>
            </w:r>
          </w:p>
        </w:tc>
        <w:tc>
          <w:tcPr>
            <w:tcW w:type="dxa" w:w="2340"/>
          </w:tcPr>
          <w:p>
            <w:pPr>
              <w:spacing w:line="240" w:lineRule="auto" w:after="40" w:before="40"/>
            </w:pPr>
            <w:r>
              <w:rPr>
                <w:rFonts w:ascii="Times New Roman" w:hAnsi="Times New Roman"/>
                <w:sz w:val="18"/>
              </w:rPr>
              <w:t>ND</w:t>
            </w:r>
          </w:p>
        </w:tc>
      </w:tr>
      <w:tr>
        <w:tc>
          <w:tcPr>
            <w:tcW w:type="dxa" w:w="2340"/>
          </w:tcPr>
          <w:p>
            <w:pPr>
              <w:spacing w:line="240" w:lineRule="auto" w:after="40" w:before="40"/>
            </w:pPr>
            <w:r>
              <w:rPr>
                <w:rFonts w:ascii="Times New Roman" w:hAnsi="Times New Roman"/>
                <w:sz w:val="18"/>
              </w:rPr>
              <w:t>CAC9</w:t>
            </w:r>
          </w:p>
        </w:tc>
        <w:tc>
          <w:tcPr>
            <w:tcW w:type="dxa" w:w="2340"/>
          </w:tcPr>
          <w:p>
            <w:pPr>
              <w:spacing w:line="240" w:lineRule="auto" w:after="40" w:before="40"/>
            </w:pPr>
            <w:r>
              <w:rPr>
                <w:rFonts w:ascii="Times New Roman" w:hAnsi="Times New Roman"/>
                <w:sz w:val="18"/>
              </w:rPr>
              <w:t>Recovery and circular investment evaluation</w:t>
            </w:r>
          </w:p>
        </w:tc>
        <w:tc>
          <w:tcPr>
            <w:tcW w:type="dxa" w:w="2340"/>
          </w:tcPr>
          <w:p>
            <w:pPr>
              <w:spacing w:line="240" w:lineRule="auto" w:after="40" w:before="40"/>
            </w:pPr>
            <w:r>
              <w:rPr>
                <w:rFonts w:ascii="Times New Roman" w:hAnsi="Times New Roman"/>
                <w:sz w:val="18"/>
              </w:rPr>
              <w:t>When we consider equipment or capacity for processing residues, we work out whether the investment would pay back.</w:t>
            </w:r>
          </w:p>
        </w:tc>
        <w:tc>
          <w:tcPr>
            <w:tcW w:type="dxa" w:w="2340"/>
          </w:tcPr>
          <w:p>
            <w:pPr>
              <w:spacing w:line="240" w:lineRule="auto" w:after="40" w:before="40"/>
            </w:pPr>
            <w:r>
              <w:rPr>
                <w:rFonts w:ascii="Times New Roman" w:hAnsi="Times New Roman"/>
                <w:sz w:val="18"/>
              </w:rPr>
              <w:t>ND</w:t>
            </w:r>
          </w:p>
        </w:tc>
      </w:tr>
    </w:tbl>
    <w:p>
      <w:pPr>
        <w:spacing w:line="240" w:lineRule="auto"/>
      </w:pPr>
    </w:p>
    <w:p>
      <w:pPr>
        <w:spacing w:after="120"/>
        <w:ind w:firstLine="0"/>
      </w:pPr>
      <w:r>
        <w:rPr>
          <w:i/>
        </w:rPr>
        <w:t>Note.</w:t>
      </w:r>
      <w:r>
        <w:t xml:space="preserve"> CAC2 is the item quoted in the manuscript. CAC2 was among the twelve reworded in round 3. The recovery-valuation dimension (CAC7–CAC9) is wholly new because no validated instrument exists for it, and it is the dimension on which expert disagreement concentrated — which is why CAC is the weakest focal scale at 0.889. Expect this dimension to be the most likely source of a low outer weight or loading, and read Section 6 step 3 before deleting anything from it.</w:t>
      </w:r>
    </w:p>
    <w:p>
      <w:pPr>
        <w:pStyle w:val="Heading2"/>
      </w:pPr>
      <w:r>
        <w:t>2.2 Circular Information Transparency (CIT) — 5 items</w:t>
      </w:r>
    </w:p>
    <w:p>
      <w:pPr>
        <w:keepNext/>
        <w:spacing w:before="240" w:line="240" w:lineRule="auto"/>
      </w:pPr>
      <w:r>
        <w:rPr>
          <w:b/>
          <w:sz w:val="20"/>
        </w:rPr>
        <w:t>Table A3. CIT items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pPr>
              <w:spacing w:line="240" w:lineRule="auto" w:after="40" w:before="40"/>
            </w:pPr>
            <w:r>
              <w:rPr>
                <w:rFonts w:ascii="Times New Roman" w:hAnsi="Times New Roman"/>
                <w:b/>
                <w:sz w:val="18"/>
              </w:rPr>
              <w:t>ID</w:t>
            </w:r>
          </w:p>
        </w:tc>
        <w:tc>
          <w:tcPr>
            <w:tcW w:type="dxa" w:w="3120"/>
            <w:shd w:val="clear" w:fill="EFEFEF"/>
          </w:tcPr>
          <w:p>
            <w:pPr>
              <w:spacing w:line="240" w:lineRule="auto" w:after="40" w:before="40"/>
            </w:pPr>
            <w:r>
              <w:rPr>
                <w:rFonts w:ascii="Times New Roman" w:hAnsi="Times New Roman"/>
                <w:b/>
                <w:sz w:val="18"/>
              </w:rPr>
              <w:t>Item</w:t>
            </w:r>
          </w:p>
        </w:tc>
        <w:tc>
          <w:tcPr>
            <w:tcW w:type="dxa" w:w="3120"/>
            <w:shd w:val="clear" w:fill="EFEFEF"/>
          </w:tcPr>
          <w:p>
            <w:pPr>
              <w:spacing w:line="240" w:lineRule="auto" w:after="40" w:before="40"/>
            </w:pPr>
            <w:r>
              <w:rPr>
                <w:rFonts w:ascii="Times New Roman" w:hAnsi="Times New Roman"/>
                <w:b/>
                <w:sz w:val="18"/>
              </w:rPr>
              <w:t>Source class</w:t>
            </w:r>
          </w:p>
        </w:tc>
      </w:tr>
      <w:tr>
        <w:tc>
          <w:tcPr>
            <w:tcW w:type="dxa" w:w="3120"/>
          </w:tcPr>
          <w:p>
            <w:pPr>
              <w:spacing w:line="240" w:lineRule="auto" w:after="40" w:before="40"/>
            </w:pPr>
            <w:r>
              <w:rPr>
                <w:rFonts w:ascii="Times New Roman" w:hAnsi="Times New Roman"/>
                <w:sz w:val="18"/>
              </w:rPr>
              <w:t>CIT1</w:t>
            </w:r>
          </w:p>
        </w:tc>
        <w:tc>
          <w:tcPr>
            <w:tcW w:type="dxa" w:w="3120"/>
          </w:tcPr>
          <w:p>
            <w:pPr>
              <w:spacing w:line="240" w:lineRule="auto" w:after="40" w:before="40"/>
            </w:pPr>
            <w:r>
              <w:rPr>
                <w:rFonts w:ascii="Times New Roman" w:hAnsi="Times New Roman"/>
                <w:sz w:val="18"/>
              </w:rPr>
              <w:t>Partners we deal with can see how much material is rejected or lost at our stage.</w:t>
            </w:r>
          </w:p>
        </w:tc>
        <w:tc>
          <w:tcPr>
            <w:tcW w:type="dxa" w:w="3120"/>
          </w:tcPr>
          <w:p>
            <w:pPr>
              <w:spacing w:line="240" w:lineRule="auto" w:after="40" w:before="40"/>
            </w:pPr>
            <w:r>
              <w:rPr>
                <w:rFonts w:ascii="Times New Roman" w:hAnsi="Times New Roman"/>
                <w:sz w:val="18"/>
              </w:rPr>
              <w:t>AV</w:t>
            </w:r>
          </w:p>
        </w:tc>
      </w:tr>
      <w:tr>
        <w:tc>
          <w:tcPr>
            <w:tcW w:type="dxa" w:w="3120"/>
          </w:tcPr>
          <w:p>
            <w:pPr>
              <w:spacing w:line="240" w:lineRule="auto" w:after="40" w:before="40"/>
            </w:pPr>
            <w:r>
              <w:rPr>
                <w:rFonts w:ascii="Times New Roman" w:hAnsi="Times New Roman"/>
                <w:sz w:val="18"/>
              </w:rPr>
              <w:t>CIT2</w:t>
            </w:r>
          </w:p>
        </w:tc>
        <w:tc>
          <w:tcPr>
            <w:tcW w:type="dxa" w:w="3120"/>
          </w:tcPr>
          <w:p>
            <w:pPr>
              <w:spacing w:line="240" w:lineRule="auto" w:after="40" w:before="40"/>
            </w:pPr>
            <w:r>
              <w:rPr>
                <w:rFonts w:ascii="Times New Roman" w:hAnsi="Times New Roman"/>
                <w:sz w:val="18"/>
              </w:rPr>
              <w:t>We can see how much material is rejected or lost at the stages before and after us.</w:t>
            </w:r>
          </w:p>
        </w:tc>
        <w:tc>
          <w:tcPr>
            <w:tcW w:type="dxa" w:w="3120"/>
          </w:tcPr>
          <w:p>
            <w:pPr>
              <w:spacing w:line="240" w:lineRule="auto" w:after="40" w:before="40"/>
            </w:pPr>
            <w:r>
              <w:rPr>
                <w:rFonts w:ascii="Times New Roman" w:hAnsi="Times New Roman"/>
                <w:sz w:val="18"/>
              </w:rPr>
              <w:t>AV</w:t>
            </w:r>
          </w:p>
        </w:tc>
      </w:tr>
      <w:tr>
        <w:tc>
          <w:tcPr>
            <w:tcW w:type="dxa" w:w="3120"/>
          </w:tcPr>
          <w:p>
            <w:pPr>
              <w:spacing w:line="240" w:lineRule="auto" w:after="40" w:before="40"/>
            </w:pPr>
            <w:r>
              <w:rPr>
                <w:rFonts w:ascii="Times New Roman" w:hAnsi="Times New Roman"/>
                <w:sz w:val="18"/>
              </w:rPr>
              <w:t>CIT3</w:t>
            </w:r>
          </w:p>
        </w:tc>
        <w:tc>
          <w:tcPr>
            <w:tcW w:type="dxa" w:w="3120"/>
          </w:tcPr>
          <w:p>
            <w:pPr>
              <w:spacing w:line="240" w:lineRule="auto" w:after="40" w:before="40"/>
            </w:pPr>
            <w:r>
              <w:rPr>
                <w:rFonts w:ascii="Times New Roman" w:hAnsi="Times New Roman"/>
                <w:sz w:val="18"/>
              </w:rPr>
              <w:t>Information about recoverable residues and by-products reaches the people who could use them, in time for them to act.</w:t>
            </w:r>
          </w:p>
        </w:tc>
        <w:tc>
          <w:tcPr>
            <w:tcW w:type="dxa" w:w="3120"/>
          </w:tcPr>
          <w:p>
            <w:pPr>
              <w:spacing w:line="240" w:lineRule="auto" w:after="40" w:before="40"/>
            </w:pPr>
            <w:r>
              <w:rPr>
                <w:rFonts w:ascii="Times New Roman" w:hAnsi="Times New Roman"/>
                <w:sz w:val="18"/>
              </w:rPr>
              <w:t>AV</w:t>
            </w:r>
          </w:p>
        </w:tc>
      </w:tr>
      <w:tr>
        <w:tc>
          <w:tcPr>
            <w:tcW w:type="dxa" w:w="3120"/>
          </w:tcPr>
          <w:p>
            <w:pPr>
              <w:spacing w:line="240" w:lineRule="auto" w:after="40" w:before="40"/>
            </w:pPr>
            <w:r>
              <w:rPr>
                <w:rFonts w:ascii="Times New Roman" w:hAnsi="Times New Roman"/>
                <w:sz w:val="18"/>
              </w:rPr>
              <w:t>CIT4</w:t>
            </w:r>
          </w:p>
        </w:tc>
        <w:tc>
          <w:tcPr>
            <w:tcW w:type="dxa" w:w="3120"/>
          </w:tcPr>
          <w:p>
            <w:pPr>
              <w:spacing w:line="240" w:lineRule="auto" w:after="40" w:before="40"/>
            </w:pPr>
            <w:r>
              <w:rPr>
                <w:rFonts w:ascii="Times New Roman" w:hAnsi="Times New Roman"/>
                <w:sz w:val="18"/>
              </w:rPr>
              <w:t>Information about material flows and losses in this chain is accurate and reliable enough to base a decision on.</w:t>
            </w:r>
          </w:p>
        </w:tc>
        <w:tc>
          <w:tcPr>
            <w:tcW w:type="dxa" w:w="3120"/>
          </w:tcPr>
          <w:p>
            <w:pPr>
              <w:spacing w:line="240" w:lineRule="auto" w:after="40" w:before="40"/>
            </w:pPr>
            <w:r>
              <w:rPr>
                <w:rFonts w:ascii="Times New Roman" w:hAnsi="Times New Roman"/>
                <w:sz w:val="18"/>
              </w:rPr>
              <w:t>AS</w:t>
            </w:r>
          </w:p>
        </w:tc>
      </w:tr>
      <w:tr>
        <w:tc>
          <w:tcPr>
            <w:tcW w:type="dxa" w:w="3120"/>
          </w:tcPr>
          <w:p>
            <w:pPr>
              <w:spacing w:line="240" w:lineRule="auto" w:after="40" w:before="40"/>
            </w:pPr>
            <w:r>
              <w:rPr>
                <w:rFonts w:ascii="Times New Roman" w:hAnsi="Times New Roman"/>
                <w:sz w:val="18"/>
              </w:rPr>
              <w:t>CIT5</w:t>
            </w:r>
          </w:p>
        </w:tc>
        <w:tc>
          <w:tcPr>
            <w:tcW w:type="dxa" w:w="3120"/>
          </w:tcPr>
          <w:p>
            <w:pPr>
              <w:spacing w:line="240" w:lineRule="auto" w:after="40" w:before="40"/>
            </w:pPr>
            <w:r>
              <w:rPr>
                <w:rFonts w:ascii="Times New Roman" w:hAnsi="Times New Roman"/>
                <w:sz w:val="18"/>
              </w:rPr>
              <w:t>We can see how the money paid for the final product is divided among the actors in this chain.</w:t>
            </w:r>
          </w:p>
        </w:tc>
        <w:tc>
          <w:tcPr>
            <w:tcW w:type="dxa" w:w="3120"/>
          </w:tcPr>
          <w:p>
            <w:pPr>
              <w:spacing w:line="240" w:lineRule="auto" w:after="40" w:before="40"/>
            </w:pPr>
            <w:r>
              <w:rPr>
                <w:rFonts w:ascii="Times New Roman" w:hAnsi="Times New Roman"/>
                <w:sz w:val="18"/>
              </w:rPr>
              <w:t>ND</w:t>
            </w:r>
          </w:p>
        </w:tc>
      </w:tr>
    </w:tbl>
    <w:p>
      <w:pPr>
        <w:spacing w:line="240" w:lineRule="auto"/>
      </w:pPr>
    </w:p>
    <w:p>
      <w:pPr>
        <w:spacing w:after="120"/>
        <w:ind w:firstLine="0"/>
      </w:pPr>
      <w:r>
        <w:rPr>
          <w:i/>
        </w:rPr>
        <w:t>Note.</w:t>
      </w:r>
      <w:r>
        <w:t xml:space="preserve"> CIT1–CIT3 adapted from the supply chain visibility measure of Williams et al. (2013); CIT4 adapts the information-quality structure of Li et al. (2005). CIT5 (value-distribution transparency) is new — no validated instrument exists. CIT3 was reworded in round 3 and reached 0.975. </w:t>
      </w:r>
      <w:r>
        <w:rPr>
          <w:b/>
        </w:rPr>
        <w:t>CIT5 is the item most likely to behave differently from the other four</w:t>
      </w:r>
      <w:r>
        <w:t>, because it concerns price information rather than material information; check its loading carefully and see Section 6 step 3 for the escalation rule.</w:t>
      </w:r>
    </w:p>
    <w:p>
      <w:pPr>
        <w:pStyle w:val="Heading2"/>
      </w:pPr>
      <w:r>
        <w:t>2.3 Circular Governance Quality (CGQ) — 6 items</w:t>
      </w:r>
    </w:p>
    <w:p>
      <w:pPr>
        <w:keepNext/>
        <w:spacing w:before="240" w:line="240" w:lineRule="auto"/>
      </w:pPr>
      <w:r>
        <w:rPr>
          <w:b/>
          <w:sz w:val="20"/>
        </w:rPr>
        <w:t>Table A4. CGQ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after="40" w:before="40"/>
            </w:pPr>
            <w:r>
              <w:rPr>
                <w:rFonts w:ascii="Times New Roman" w:hAnsi="Times New Roman"/>
                <w:b/>
                <w:sz w:val="18"/>
              </w:rPr>
              <w:t>ID</w:t>
            </w:r>
          </w:p>
        </w:tc>
        <w:tc>
          <w:tcPr>
            <w:tcW w:type="dxa" w:w="2340"/>
            <w:shd w:val="clear" w:fill="EFEFEF"/>
          </w:tcPr>
          <w:p>
            <w:pPr>
              <w:spacing w:line="240" w:lineRule="auto" w:after="40" w:before="40"/>
            </w:pPr>
            <w:r>
              <w:rPr>
                <w:rFonts w:ascii="Times New Roman" w:hAnsi="Times New Roman"/>
                <w:b/>
                <w:sz w:val="18"/>
              </w:rPr>
              <w:t>Governance element</w:t>
            </w:r>
          </w:p>
        </w:tc>
        <w:tc>
          <w:tcPr>
            <w:tcW w:type="dxa" w:w="2340"/>
            <w:shd w:val="clear" w:fill="EFEFEF"/>
          </w:tcPr>
          <w:p>
            <w:pPr>
              <w:spacing w:line="240" w:lineRule="auto" w:after="40" w:before="40"/>
            </w:pPr>
            <w:r>
              <w:rPr>
                <w:rFonts w:ascii="Times New Roman" w:hAnsi="Times New Roman"/>
                <w:b/>
                <w:sz w:val="18"/>
              </w:rPr>
              <w:t>Item</w:t>
            </w:r>
          </w:p>
        </w:tc>
        <w:tc>
          <w:tcPr>
            <w:tcW w:type="dxa" w:w="2340"/>
            <w:shd w:val="clear" w:fill="EFEFEF"/>
          </w:tcPr>
          <w:p>
            <w:pPr>
              <w:spacing w:line="240" w:lineRule="auto" w:after="40" w:before="40"/>
            </w:pPr>
            <w:r>
              <w:rPr>
                <w:rFonts w:ascii="Times New Roman" w:hAnsi="Times New Roman"/>
                <w:b/>
                <w:sz w:val="18"/>
              </w:rPr>
              <w:t>Source class</w:t>
            </w:r>
          </w:p>
        </w:tc>
      </w:tr>
      <w:tr>
        <w:tc>
          <w:tcPr>
            <w:tcW w:type="dxa" w:w="2340"/>
          </w:tcPr>
          <w:p>
            <w:pPr>
              <w:spacing w:line="240" w:lineRule="auto" w:after="40" w:before="40"/>
            </w:pPr>
            <w:r>
              <w:rPr>
                <w:rFonts w:ascii="Times New Roman" w:hAnsi="Times New Roman"/>
                <w:sz w:val="18"/>
              </w:rPr>
              <w:t>CGQ1</w:t>
            </w:r>
          </w:p>
        </w:tc>
        <w:tc>
          <w:tcPr>
            <w:tcW w:type="dxa" w:w="2340"/>
          </w:tcPr>
          <w:p>
            <w:pPr>
              <w:spacing w:line="240" w:lineRule="auto" w:after="40" w:before="40"/>
            </w:pPr>
            <w:r>
              <w:rPr>
                <w:rFonts w:ascii="Times New Roman" w:hAnsi="Times New Roman"/>
                <w:sz w:val="18"/>
              </w:rPr>
              <w:t>Responsibility allocation</w:t>
            </w:r>
          </w:p>
        </w:tc>
        <w:tc>
          <w:tcPr>
            <w:tcW w:type="dxa" w:w="2340"/>
          </w:tcPr>
          <w:p>
            <w:pPr>
              <w:spacing w:line="240" w:lineRule="auto" w:after="40" w:before="40"/>
            </w:pPr>
            <w:r>
              <w:rPr>
                <w:rFonts w:ascii="Times New Roman" w:hAnsi="Times New Roman"/>
                <w:sz w:val="18"/>
              </w:rPr>
              <w:t>It is clear which party is answerable when material is lost or spoiled between us and our partners.</w:t>
            </w:r>
          </w:p>
        </w:tc>
        <w:tc>
          <w:tcPr>
            <w:tcW w:type="dxa" w:w="2340"/>
          </w:tcPr>
          <w:p>
            <w:pPr>
              <w:spacing w:line="240" w:lineRule="auto" w:after="40" w:before="40"/>
            </w:pPr>
            <w:r>
              <w:rPr>
                <w:rFonts w:ascii="Times New Roman" w:hAnsi="Times New Roman"/>
                <w:sz w:val="18"/>
              </w:rPr>
              <w:t>ND</w:t>
            </w:r>
          </w:p>
        </w:tc>
      </w:tr>
      <w:tr>
        <w:tc>
          <w:tcPr>
            <w:tcW w:type="dxa" w:w="2340"/>
          </w:tcPr>
          <w:p>
            <w:pPr>
              <w:spacing w:line="240" w:lineRule="auto" w:after="40" w:before="40"/>
            </w:pPr>
            <w:r>
              <w:rPr>
                <w:rFonts w:ascii="Times New Roman" w:hAnsi="Times New Roman"/>
                <w:sz w:val="18"/>
              </w:rPr>
              <w:t>CGQ2</w:t>
            </w:r>
          </w:p>
        </w:tc>
        <w:tc>
          <w:tcPr>
            <w:tcW w:type="dxa" w:w="2340"/>
          </w:tcPr>
          <w:p>
            <w:pPr>
              <w:spacing w:line="240" w:lineRule="auto" w:after="40" w:before="40"/>
            </w:pPr>
            <w:r>
              <w:rPr>
                <w:rFonts w:ascii="Times New Roman" w:hAnsi="Times New Roman"/>
                <w:sz w:val="18"/>
              </w:rPr>
              <w:t>Joint monitoring and verification</w:t>
            </w:r>
          </w:p>
        </w:tc>
        <w:tc>
          <w:tcPr>
            <w:tcW w:type="dxa" w:w="2340"/>
          </w:tcPr>
          <w:p>
            <w:pPr>
              <w:spacing w:line="240" w:lineRule="auto" w:after="40" w:before="40"/>
            </w:pPr>
            <w:r>
              <w:rPr>
                <w:rFonts w:ascii="Times New Roman" w:hAnsi="Times New Roman"/>
                <w:sz w:val="18"/>
              </w:rPr>
              <w:t>Our partners and we jointly check the quantities and quality recorded when material changes hands.</w:t>
            </w:r>
          </w:p>
        </w:tc>
        <w:tc>
          <w:tcPr>
            <w:tcW w:type="dxa" w:w="2340"/>
          </w:tcPr>
          <w:p>
            <w:pPr>
              <w:spacing w:line="240" w:lineRule="auto" w:after="40" w:before="40"/>
            </w:pPr>
            <w:r>
              <w:rPr>
                <w:rFonts w:ascii="Times New Roman" w:hAnsi="Times New Roman"/>
                <w:sz w:val="18"/>
              </w:rPr>
              <w:t>AV</w:t>
            </w:r>
          </w:p>
        </w:tc>
      </w:tr>
      <w:tr>
        <w:tc>
          <w:tcPr>
            <w:tcW w:type="dxa" w:w="2340"/>
          </w:tcPr>
          <w:p>
            <w:pPr>
              <w:spacing w:line="240" w:lineRule="auto" w:after="40" w:before="40"/>
            </w:pPr>
            <w:r>
              <w:rPr>
                <w:rFonts w:ascii="Times New Roman" w:hAnsi="Times New Roman"/>
                <w:sz w:val="18"/>
              </w:rPr>
              <w:t>CGQ3</w:t>
            </w:r>
          </w:p>
        </w:tc>
        <w:tc>
          <w:tcPr>
            <w:tcW w:type="dxa" w:w="2340"/>
          </w:tcPr>
          <w:p>
            <w:pPr>
              <w:spacing w:line="240" w:lineRule="auto" w:after="40" w:before="40"/>
            </w:pPr>
            <w:r>
              <w:rPr>
                <w:rFonts w:ascii="Times New Roman" w:hAnsi="Times New Roman"/>
                <w:sz w:val="18"/>
              </w:rPr>
              <w:t>Codified standards</w:t>
            </w:r>
          </w:p>
        </w:tc>
        <w:tc>
          <w:tcPr>
            <w:tcW w:type="dxa" w:w="2340"/>
          </w:tcPr>
          <w:p>
            <w:pPr>
              <w:spacing w:line="240" w:lineRule="auto" w:after="40" w:before="40"/>
            </w:pPr>
            <w:r>
              <w:rPr>
                <w:rFonts w:ascii="Times New Roman" w:hAnsi="Times New Roman"/>
                <w:sz w:val="18"/>
              </w:rPr>
              <w:t>What counts as an acceptable level of loss is agreed and recorded with our partners.</w:t>
            </w:r>
          </w:p>
        </w:tc>
        <w:tc>
          <w:tcPr>
            <w:tcW w:type="dxa" w:w="2340"/>
          </w:tcPr>
          <w:p>
            <w:pPr>
              <w:spacing w:line="240" w:lineRule="auto" w:after="40" w:before="40"/>
            </w:pPr>
            <w:r>
              <w:rPr>
                <w:rFonts w:ascii="Times New Roman" w:hAnsi="Times New Roman"/>
                <w:sz w:val="18"/>
              </w:rPr>
              <w:t>AS</w:t>
            </w:r>
          </w:p>
        </w:tc>
      </w:tr>
      <w:tr>
        <w:tc>
          <w:tcPr>
            <w:tcW w:type="dxa" w:w="2340"/>
          </w:tcPr>
          <w:p>
            <w:pPr>
              <w:spacing w:line="240" w:lineRule="auto" w:after="40" w:before="40"/>
            </w:pPr>
            <w:r>
              <w:rPr>
                <w:rFonts w:ascii="Times New Roman" w:hAnsi="Times New Roman"/>
                <w:sz w:val="18"/>
              </w:rPr>
              <w:t>CGQ4</w:t>
            </w:r>
          </w:p>
        </w:tc>
        <w:tc>
          <w:tcPr>
            <w:tcW w:type="dxa" w:w="2340"/>
          </w:tcPr>
          <w:p>
            <w:pPr>
              <w:spacing w:line="240" w:lineRule="auto" w:after="40" w:before="40"/>
            </w:pPr>
            <w:r>
              <w:rPr>
                <w:rFonts w:ascii="Times New Roman" w:hAnsi="Times New Roman"/>
                <w:sz w:val="18"/>
              </w:rPr>
              <w:t>Participatory decision-making</w:t>
            </w:r>
          </w:p>
        </w:tc>
        <w:tc>
          <w:tcPr>
            <w:tcW w:type="dxa" w:w="2340"/>
          </w:tcPr>
          <w:p>
            <w:pPr>
              <w:spacing w:line="240" w:lineRule="auto" w:after="40" w:before="40"/>
            </w:pPr>
            <w:r>
              <w:rPr>
                <w:rFonts w:ascii="Times New Roman" w:hAnsi="Times New Roman"/>
                <w:sz w:val="18"/>
              </w:rPr>
              <w:t>We are able to take part in decisions that affect how material and losses are handled in this chain.</w:t>
            </w:r>
          </w:p>
        </w:tc>
        <w:tc>
          <w:tcPr>
            <w:tcW w:type="dxa" w:w="2340"/>
          </w:tcPr>
          <w:p>
            <w:pPr>
              <w:spacing w:line="240" w:lineRule="auto" w:after="40" w:before="40"/>
            </w:pPr>
            <w:r>
              <w:rPr>
                <w:rFonts w:ascii="Times New Roman" w:hAnsi="Times New Roman"/>
                <w:sz w:val="18"/>
              </w:rPr>
              <w:t>AV</w:t>
            </w:r>
          </w:p>
        </w:tc>
      </w:tr>
      <w:tr>
        <w:tc>
          <w:tcPr>
            <w:tcW w:type="dxa" w:w="2340"/>
          </w:tcPr>
          <w:p>
            <w:pPr>
              <w:spacing w:line="240" w:lineRule="auto" w:after="40" w:before="40"/>
            </w:pPr>
            <w:r>
              <w:rPr>
                <w:rFonts w:ascii="Times New Roman" w:hAnsi="Times New Roman"/>
                <w:sz w:val="18"/>
              </w:rPr>
              <w:t>CGQ5</w:t>
            </w:r>
          </w:p>
        </w:tc>
        <w:tc>
          <w:tcPr>
            <w:tcW w:type="dxa" w:w="2340"/>
          </w:tcPr>
          <w:p>
            <w:pPr>
              <w:spacing w:line="240" w:lineRule="auto" w:after="40" w:before="40"/>
            </w:pPr>
            <w:r>
              <w:rPr>
                <w:rFonts w:ascii="Times New Roman" w:hAnsi="Times New Roman"/>
                <w:sz w:val="18"/>
              </w:rPr>
              <w:t>Participatory decision-making</w:t>
            </w:r>
          </w:p>
        </w:tc>
        <w:tc>
          <w:tcPr>
            <w:tcW w:type="dxa" w:w="2340"/>
          </w:tcPr>
          <w:p>
            <w:pPr>
              <w:spacing w:line="240" w:lineRule="auto" w:after="40" w:before="40"/>
            </w:pPr>
            <w:r>
              <w:rPr>
                <w:rFonts w:ascii="Times New Roman" w:hAnsi="Times New Roman"/>
                <w:sz w:val="18"/>
              </w:rPr>
              <w:t>Our views are taken into account when the terms of trade in this chain are set.</w:t>
            </w:r>
          </w:p>
        </w:tc>
        <w:tc>
          <w:tcPr>
            <w:tcW w:type="dxa" w:w="2340"/>
          </w:tcPr>
          <w:p>
            <w:pPr>
              <w:spacing w:line="240" w:lineRule="auto" w:after="40" w:before="40"/>
            </w:pPr>
            <w:r>
              <w:rPr>
                <w:rFonts w:ascii="Times New Roman" w:hAnsi="Times New Roman"/>
                <w:sz w:val="18"/>
              </w:rPr>
              <w:t>AV</w:t>
            </w:r>
          </w:p>
        </w:tc>
      </w:tr>
      <w:tr>
        <w:tc>
          <w:tcPr>
            <w:tcW w:type="dxa" w:w="2340"/>
          </w:tcPr>
          <w:p>
            <w:pPr>
              <w:spacing w:line="240" w:lineRule="auto" w:after="40" w:before="40"/>
            </w:pPr>
            <w:r>
              <w:rPr>
                <w:rFonts w:ascii="Times New Roman" w:hAnsi="Times New Roman"/>
                <w:sz w:val="18"/>
              </w:rPr>
              <w:t>CGQ6</w:t>
            </w:r>
          </w:p>
        </w:tc>
        <w:tc>
          <w:tcPr>
            <w:tcW w:type="dxa" w:w="2340"/>
          </w:tcPr>
          <w:p>
            <w:pPr>
              <w:spacing w:line="240" w:lineRule="auto" w:after="40" w:before="40"/>
            </w:pPr>
            <w:r>
              <w:rPr>
                <w:rFonts w:ascii="Times New Roman" w:hAnsi="Times New Roman"/>
                <w:sz w:val="18"/>
              </w:rPr>
              <w:t>Enforceable commitment</w:t>
            </w:r>
          </w:p>
        </w:tc>
        <w:tc>
          <w:tcPr>
            <w:tcW w:type="dxa" w:w="2340"/>
          </w:tcPr>
          <w:p>
            <w:pPr>
              <w:spacing w:line="240" w:lineRule="auto" w:after="40" w:before="40"/>
            </w:pPr>
            <w:r>
              <w:rPr>
                <w:rFonts w:ascii="Times New Roman" w:hAnsi="Times New Roman"/>
                <w:sz w:val="18"/>
              </w:rPr>
              <w:t>Commitments our partners make about handling, collection or payment are honoured, and there are consequences if they are not.</w:t>
            </w:r>
          </w:p>
        </w:tc>
        <w:tc>
          <w:tcPr>
            <w:tcW w:type="dxa" w:w="2340"/>
          </w:tcPr>
          <w:p>
            <w:pPr>
              <w:spacing w:line="240" w:lineRule="auto" w:after="40" w:before="40"/>
            </w:pPr>
            <w:r>
              <w:rPr>
                <w:rFonts w:ascii="Times New Roman" w:hAnsi="Times New Roman"/>
                <w:sz w:val="18"/>
              </w:rPr>
              <w:t>AV</w:t>
            </w:r>
          </w:p>
        </w:tc>
      </w:tr>
    </w:tbl>
    <w:p>
      <w:pPr>
        <w:spacing w:line="240" w:lineRule="auto"/>
      </w:pPr>
    </w:p>
    <w:p>
      <w:pPr>
        <w:spacing w:after="120"/>
        <w:ind w:firstLine="0"/>
      </w:pPr>
      <w:r>
        <w:rPr>
          <w:i/>
        </w:rPr>
        <w:t>Note.</w:t>
      </w:r>
      <w:r>
        <w:t xml:space="preserve"> CGQ2 adapted from the verification logic of Gualandris et al. (2015); CGQ4–CGQ5 adapted from the validated cooperative-governance participation measure of Österberg and Nilsson (2009). CGQ1 (responsibility for losses) is new. CGQ1 and CGQ6 were reworded in round 3. Because CGQ is the moderator, its reliability matters more than usual: a low ρ_A here attenuates the interaction directly.</w:t>
      </w:r>
    </w:p>
    <w:p>
      <w:pPr>
        <w:pStyle w:val="Heading2"/>
      </w:pPr>
      <w:r>
        <w:t>2.4 Circular Value-Chain Integration (CVCI) — 6 items</w:t>
      </w:r>
    </w:p>
    <w:p>
      <w:pPr>
        <w:keepNext/>
        <w:spacing w:before="240" w:line="240" w:lineRule="auto"/>
      </w:pPr>
      <w:r>
        <w:rPr>
          <w:b/>
          <w:sz w:val="20"/>
        </w:rPr>
        <w:t>Table A5. CVCI items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pPr>
              <w:spacing w:line="240" w:lineRule="auto" w:after="40" w:before="40"/>
            </w:pPr>
            <w:r>
              <w:rPr>
                <w:rFonts w:ascii="Times New Roman" w:hAnsi="Times New Roman"/>
                <w:b/>
                <w:sz w:val="18"/>
              </w:rPr>
              <w:t>ID</w:t>
            </w:r>
          </w:p>
        </w:tc>
        <w:tc>
          <w:tcPr>
            <w:tcW w:type="dxa" w:w="3120"/>
            <w:shd w:val="clear" w:fill="EFEFEF"/>
          </w:tcPr>
          <w:p>
            <w:pPr>
              <w:spacing w:line="240" w:lineRule="auto" w:after="40" w:before="40"/>
            </w:pPr>
            <w:r>
              <w:rPr>
                <w:rFonts w:ascii="Times New Roman" w:hAnsi="Times New Roman"/>
                <w:b/>
                <w:sz w:val="18"/>
              </w:rPr>
              <w:t>Item</w:t>
            </w:r>
          </w:p>
        </w:tc>
        <w:tc>
          <w:tcPr>
            <w:tcW w:type="dxa" w:w="3120"/>
            <w:shd w:val="clear" w:fill="EFEFEF"/>
          </w:tcPr>
          <w:p>
            <w:pPr>
              <w:spacing w:line="240" w:lineRule="auto" w:after="40" w:before="40"/>
            </w:pPr>
            <w:r>
              <w:rPr>
                <w:rFonts w:ascii="Times New Roman" w:hAnsi="Times New Roman"/>
                <w:b/>
                <w:sz w:val="18"/>
              </w:rPr>
              <w:t>Source class</w:t>
            </w:r>
          </w:p>
        </w:tc>
      </w:tr>
      <w:tr>
        <w:tc>
          <w:tcPr>
            <w:tcW w:type="dxa" w:w="3120"/>
          </w:tcPr>
          <w:p>
            <w:pPr>
              <w:spacing w:line="240" w:lineRule="auto" w:after="40" w:before="40"/>
            </w:pPr>
            <w:r>
              <w:rPr>
                <w:rFonts w:ascii="Times New Roman" w:hAnsi="Times New Roman"/>
                <w:sz w:val="18"/>
              </w:rPr>
              <w:t>CVCI1</w:t>
            </w:r>
          </w:p>
        </w:tc>
        <w:tc>
          <w:tcPr>
            <w:tcW w:type="dxa" w:w="3120"/>
          </w:tcPr>
          <w:p>
            <w:pPr>
              <w:spacing w:line="240" w:lineRule="auto" w:after="40" w:before="40"/>
            </w:pPr>
            <w:r>
              <w:rPr>
                <w:rFonts w:ascii="Times New Roman" w:hAnsi="Times New Roman"/>
                <w:sz w:val="18"/>
              </w:rPr>
              <w:t>We plan jointly with partners how material that would otherwise be wasted will be collected and moved.</w:t>
            </w:r>
          </w:p>
        </w:tc>
        <w:tc>
          <w:tcPr>
            <w:tcW w:type="dxa" w:w="3120"/>
          </w:tcPr>
          <w:p>
            <w:pPr>
              <w:spacing w:line="240" w:lineRule="auto" w:after="40" w:before="40"/>
            </w:pPr>
            <w:r>
              <w:rPr>
                <w:rFonts w:ascii="Times New Roman" w:hAnsi="Times New Roman"/>
                <w:sz w:val="18"/>
              </w:rPr>
              <w:t>AV</w:t>
            </w:r>
          </w:p>
        </w:tc>
      </w:tr>
      <w:tr>
        <w:tc>
          <w:tcPr>
            <w:tcW w:type="dxa" w:w="3120"/>
          </w:tcPr>
          <w:p>
            <w:pPr>
              <w:spacing w:line="240" w:lineRule="auto" w:after="40" w:before="40"/>
            </w:pPr>
            <w:r>
              <w:rPr>
                <w:rFonts w:ascii="Times New Roman" w:hAnsi="Times New Roman"/>
                <w:sz w:val="18"/>
              </w:rPr>
              <w:t>CVCI2</w:t>
            </w:r>
          </w:p>
        </w:tc>
        <w:tc>
          <w:tcPr>
            <w:tcW w:type="dxa" w:w="3120"/>
          </w:tcPr>
          <w:p>
            <w:pPr>
              <w:spacing w:line="240" w:lineRule="auto" w:after="40" w:before="40"/>
            </w:pPr>
            <w:r>
              <w:rPr>
                <w:rFonts w:ascii="Times New Roman" w:hAnsi="Times New Roman"/>
                <w:sz w:val="18"/>
              </w:rPr>
              <w:t>We coordinate the timing of our operations with partners so that recoverable material is handled before it deteriorates.</w:t>
            </w:r>
          </w:p>
        </w:tc>
        <w:tc>
          <w:tcPr>
            <w:tcW w:type="dxa" w:w="3120"/>
          </w:tcPr>
          <w:p>
            <w:pPr>
              <w:spacing w:line="240" w:lineRule="auto" w:after="40" w:before="40"/>
            </w:pPr>
            <w:r>
              <w:rPr>
                <w:rFonts w:ascii="Times New Roman" w:hAnsi="Times New Roman"/>
                <w:sz w:val="18"/>
              </w:rPr>
              <w:t>AV</w:t>
            </w:r>
          </w:p>
        </w:tc>
      </w:tr>
      <w:tr>
        <w:tc>
          <w:tcPr>
            <w:tcW w:type="dxa" w:w="3120"/>
          </w:tcPr>
          <w:p>
            <w:pPr>
              <w:spacing w:line="240" w:lineRule="auto" w:after="40" w:before="40"/>
            </w:pPr>
            <w:r>
              <w:rPr>
                <w:rFonts w:ascii="Times New Roman" w:hAnsi="Times New Roman"/>
                <w:sz w:val="18"/>
              </w:rPr>
              <w:t>CVCI3</w:t>
            </w:r>
          </w:p>
        </w:tc>
        <w:tc>
          <w:tcPr>
            <w:tcW w:type="dxa" w:w="3120"/>
          </w:tcPr>
          <w:p>
            <w:pPr>
              <w:spacing w:line="240" w:lineRule="auto" w:after="40" w:before="40"/>
            </w:pPr>
            <w:r>
              <w:rPr>
                <w:rFonts w:ascii="Times New Roman" w:hAnsi="Times New Roman"/>
                <w:sz w:val="18"/>
              </w:rPr>
              <w:t>We share equipment, storage or transport with partners for handling residues and by-products.</w:t>
            </w:r>
          </w:p>
        </w:tc>
        <w:tc>
          <w:tcPr>
            <w:tcW w:type="dxa" w:w="3120"/>
          </w:tcPr>
          <w:p>
            <w:pPr>
              <w:spacing w:line="240" w:lineRule="auto" w:after="40" w:before="40"/>
            </w:pPr>
            <w:r>
              <w:rPr>
                <w:rFonts w:ascii="Times New Roman" w:hAnsi="Times New Roman"/>
                <w:sz w:val="18"/>
              </w:rPr>
              <w:t>AV</w:t>
            </w:r>
          </w:p>
        </w:tc>
      </w:tr>
      <w:tr>
        <w:tc>
          <w:tcPr>
            <w:tcW w:type="dxa" w:w="3120"/>
          </w:tcPr>
          <w:p>
            <w:pPr>
              <w:spacing w:line="240" w:lineRule="auto" w:after="40" w:before="40"/>
            </w:pPr>
            <w:r>
              <w:rPr>
                <w:rFonts w:ascii="Times New Roman" w:hAnsi="Times New Roman"/>
                <w:sz w:val="18"/>
              </w:rPr>
              <w:t>CVCI4</w:t>
            </w:r>
          </w:p>
        </w:tc>
        <w:tc>
          <w:tcPr>
            <w:tcW w:type="dxa" w:w="3120"/>
          </w:tcPr>
          <w:p>
            <w:pPr>
              <w:spacing w:line="240" w:lineRule="auto" w:after="40" w:before="40"/>
            </w:pPr>
            <w:r>
              <w:rPr>
                <w:rFonts w:ascii="Times New Roman" w:hAnsi="Times New Roman"/>
                <w:sz w:val="18"/>
              </w:rPr>
              <w:t>We and our partners exchange the information needed to route recoverable material to where it can be used.</w:t>
            </w:r>
          </w:p>
        </w:tc>
        <w:tc>
          <w:tcPr>
            <w:tcW w:type="dxa" w:w="3120"/>
          </w:tcPr>
          <w:p>
            <w:pPr>
              <w:spacing w:line="240" w:lineRule="auto" w:after="40" w:before="40"/>
            </w:pPr>
            <w:r>
              <w:rPr>
                <w:rFonts w:ascii="Times New Roman" w:hAnsi="Times New Roman"/>
                <w:sz w:val="18"/>
              </w:rPr>
              <w:t>AV</w:t>
            </w:r>
          </w:p>
        </w:tc>
      </w:tr>
      <w:tr>
        <w:tc>
          <w:tcPr>
            <w:tcW w:type="dxa" w:w="3120"/>
          </w:tcPr>
          <w:p>
            <w:pPr>
              <w:spacing w:line="240" w:lineRule="auto" w:after="40" w:before="40"/>
            </w:pPr>
            <w:r>
              <w:rPr>
                <w:rFonts w:ascii="Times New Roman" w:hAnsi="Times New Roman"/>
                <w:sz w:val="18"/>
              </w:rPr>
              <w:t>CVCI5</w:t>
            </w:r>
          </w:p>
        </w:tc>
        <w:tc>
          <w:tcPr>
            <w:tcW w:type="dxa" w:w="3120"/>
          </w:tcPr>
          <w:p>
            <w:pPr>
              <w:spacing w:line="240" w:lineRule="auto" w:after="40" w:before="40"/>
            </w:pPr>
            <w:r>
              <w:rPr>
                <w:rFonts w:ascii="Times New Roman" w:hAnsi="Times New Roman"/>
                <w:sz w:val="18"/>
              </w:rPr>
              <w:t>We agree with partners in advance how the proceeds from recovered material will be shared.</w:t>
            </w:r>
          </w:p>
        </w:tc>
        <w:tc>
          <w:tcPr>
            <w:tcW w:type="dxa" w:w="3120"/>
          </w:tcPr>
          <w:p>
            <w:pPr>
              <w:spacing w:line="240" w:lineRule="auto" w:after="40" w:before="40"/>
            </w:pPr>
            <w:r>
              <w:rPr>
                <w:rFonts w:ascii="Times New Roman" w:hAnsi="Times New Roman"/>
                <w:sz w:val="18"/>
              </w:rPr>
              <w:t>AS</w:t>
            </w:r>
          </w:p>
        </w:tc>
      </w:tr>
      <w:tr>
        <w:tc>
          <w:tcPr>
            <w:tcW w:type="dxa" w:w="3120"/>
          </w:tcPr>
          <w:p>
            <w:pPr>
              <w:spacing w:line="240" w:lineRule="auto" w:after="40" w:before="40"/>
            </w:pPr>
            <w:r>
              <w:rPr>
                <w:rFonts w:ascii="Times New Roman" w:hAnsi="Times New Roman"/>
                <w:sz w:val="18"/>
              </w:rPr>
              <w:t>CVCI6</w:t>
            </w:r>
          </w:p>
        </w:tc>
        <w:tc>
          <w:tcPr>
            <w:tcW w:type="dxa" w:w="3120"/>
          </w:tcPr>
          <w:p>
            <w:pPr>
              <w:spacing w:line="240" w:lineRule="auto" w:after="40" w:before="40"/>
            </w:pPr>
            <w:r>
              <w:rPr>
                <w:rFonts w:ascii="Times New Roman" w:hAnsi="Times New Roman"/>
                <w:sz w:val="18"/>
              </w:rPr>
              <w:t>We work together with partners to find new uses for material that used to be discarded.</w:t>
            </w:r>
          </w:p>
        </w:tc>
        <w:tc>
          <w:tcPr>
            <w:tcW w:type="dxa" w:w="3120"/>
          </w:tcPr>
          <w:p>
            <w:pPr>
              <w:spacing w:line="240" w:lineRule="auto" w:after="40" w:before="40"/>
            </w:pPr>
            <w:r>
              <w:rPr>
                <w:rFonts w:ascii="Times New Roman" w:hAnsi="Times New Roman"/>
                <w:sz w:val="18"/>
              </w:rPr>
              <w:t>AV</w:t>
            </w:r>
          </w:p>
        </w:tc>
      </w:tr>
    </w:tbl>
    <w:p>
      <w:pPr>
        <w:spacing w:line="240" w:lineRule="auto"/>
      </w:pPr>
    </w:p>
    <w:p>
      <w:pPr>
        <w:spacing w:after="120"/>
        <w:ind w:firstLine="0"/>
      </w:pPr>
      <w:r>
        <w:rPr>
          <w:i/>
        </w:rPr>
        <w:t>Note.</w:t>
      </w:r>
      <w:r>
        <w:t xml:space="preserve"> Adapted from Flynn, Huo, and Zhao (2010) supply chain integration and Cao and Zhang (2011) collaboration, with the object changed from commercial flows to recoverable flows. CVCI2 was reworded in round 3. </w:t>
      </w:r>
      <w:r>
        <w:rPr>
          <w:b/>
        </w:rPr>
        <w:t>CVCI4 is the item to watch for discriminant overlap with CIT</w:t>
      </w:r>
      <w:r>
        <w:t xml:space="preserve"> — it mentions information exchange. If HTMT(CIT, CVCI) approaches 0.85, CVCI4 is the first candidate for scrutiny; note, however, that the blind placement test put boundary leakage at 4.2 per cent, so this is a watch item rather than an expected problem.</w:t>
      </w:r>
    </w:p>
    <w:p>
      <w:pPr>
        <w:pStyle w:val="Heading2"/>
      </w:pPr>
      <w:r>
        <w:t>2.5 Circular Value Creation Performance (CVCP) — 11 items, 3 dimensions</w:t>
      </w:r>
    </w:p>
    <w:p>
      <w:pPr>
        <w:keepNext/>
        <w:spacing w:before="240" w:line="240" w:lineRule="auto"/>
      </w:pPr>
      <w:r>
        <w:rPr>
          <w:b/>
          <w:sz w:val="20"/>
        </w:rPr>
        <w:t>Table A6. CVCP items (change over three seasons; higher = better)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after="40" w:before="40"/>
            </w:pPr>
            <w:r>
              <w:rPr>
                <w:rFonts w:ascii="Times New Roman" w:hAnsi="Times New Roman"/>
                <w:b/>
                <w:sz w:val="18"/>
              </w:rPr>
              <w:t>ID</w:t>
            </w:r>
          </w:p>
        </w:tc>
        <w:tc>
          <w:tcPr>
            <w:tcW w:type="dxa" w:w="2340"/>
            <w:shd w:val="clear" w:fill="EFEFEF"/>
          </w:tcPr>
          <w:p>
            <w:pPr>
              <w:spacing w:line="240" w:lineRule="auto" w:after="40" w:before="40"/>
            </w:pPr>
            <w:r>
              <w:rPr>
                <w:rFonts w:ascii="Times New Roman" w:hAnsi="Times New Roman"/>
                <w:b/>
                <w:sz w:val="18"/>
              </w:rPr>
              <w:t>Dimension</w:t>
            </w:r>
          </w:p>
        </w:tc>
        <w:tc>
          <w:tcPr>
            <w:tcW w:type="dxa" w:w="2340"/>
            <w:shd w:val="clear" w:fill="EFEFEF"/>
          </w:tcPr>
          <w:p>
            <w:pPr>
              <w:spacing w:line="240" w:lineRule="auto" w:after="40" w:before="40"/>
            </w:pPr>
            <w:r>
              <w:rPr>
                <w:rFonts w:ascii="Times New Roman" w:hAnsi="Times New Roman"/>
                <w:b/>
                <w:sz w:val="18"/>
              </w:rPr>
              <w:t>Item</w:t>
            </w:r>
          </w:p>
        </w:tc>
        <w:tc>
          <w:tcPr>
            <w:tcW w:type="dxa" w:w="2340"/>
            <w:shd w:val="clear" w:fill="EFEFEF"/>
          </w:tcPr>
          <w:p>
            <w:pPr>
              <w:spacing w:line="240" w:lineRule="auto" w:after="40" w:before="40"/>
            </w:pPr>
            <w:r>
              <w:rPr>
                <w:rFonts w:ascii="Times New Roman" w:hAnsi="Times New Roman"/>
                <w:b/>
                <w:sz w:val="18"/>
              </w:rPr>
              <w:t>Source class</w:t>
            </w:r>
          </w:p>
        </w:tc>
      </w:tr>
      <w:tr>
        <w:tc>
          <w:tcPr>
            <w:tcW w:type="dxa" w:w="2340"/>
          </w:tcPr>
          <w:p>
            <w:pPr>
              <w:spacing w:line="240" w:lineRule="auto" w:after="40" w:before="40"/>
            </w:pPr>
            <w:r>
              <w:rPr>
                <w:rFonts w:ascii="Times New Roman" w:hAnsi="Times New Roman"/>
                <w:sz w:val="18"/>
              </w:rPr>
              <w:t>CVCP1</w:t>
            </w:r>
          </w:p>
        </w:tc>
        <w:tc>
          <w:tcPr>
            <w:tcW w:type="dxa" w:w="2340"/>
          </w:tcPr>
          <w:p>
            <w:pPr>
              <w:spacing w:line="240" w:lineRule="auto" w:after="40" w:before="40"/>
            </w:pPr>
            <w:r>
              <w:rPr>
                <w:rFonts w:ascii="Times New Roman" w:hAnsi="Times New Roman"/>
                <w:sz w:val="18"/>
              </w:rPr>
              <w:t>Economic</w:t>
            </w:r>
          </w:p>
        </w:tc>
        <w:tc>
          <w:tcPr>
            <w:tcW w:type="dxa" w:w="2340"/>
          </w:tcPr>
          <w:p>
            <w:pPr>
              <w:spacing w:line="240" w:lineRule="auto" w:after="40" w:before="40"/>
            </w:pPr>
            <w:r>
              <w:rPr>
                <w:rFonts w:ascii="Times New Roman" w:hAnsi="Times New Roman"/>
                <w:sz w:val="18"/>
              </w:rPr>
              <w:t>Income earned from selling by-products or residues that were previously discarded.</w:t>
            </w:r>
          </w:p>
        </w:tc>
        <w:tc>
          <w:tcPr>
            <w:tcW w:type="dxa" w:w="2340"/>
          </w:tcPr>
          <w:p>
            <w:pPr>
              <w:spacing w:line="240" w:lineRule="auto" w:after="40" w:before="40"/>
            </w:pPr>
            <w:r>
              <w:rPr>
                <w:rFonts w:ascii="Times New Roman" w:hAnsi="Times New Roman"/>
                <w:sz w:val="18"/>
              </w:rPr>
              <w:t>AV</w:t>
            </w:r>
          </w:p>
        </w:tc>
      </w:tr>
      <w:tr>
        <w:tc>
          <w:tcPr>
            <w:tcW w:type="dxa" w:w="2340"/>
          </w:tcPr>
          <w:p>
            <w:pPr>
              <w:spacing w:line="240" w:lineRule="auto" w:after="40" w:before="40"/>
            </w:pPr>
            <w:r>
              <w:rPr>
                <w:rFonts w:ascii="Times New Roman" w:hAnsi="Times New Roman"/>
                <w:sz w:val="18"/>
              </w:rPr>
              <w:t>CVCP2</w:t>
            </w:r>
          </w:p>
        </w:tc>
        <w:tc>
          <w:tcPr>
            <w:tcW w:type="dxa" w:w="2340"/>
          </w:tcPr>
          <w:p>
            <w:pPr>
              <w:spacing w:line="240" w:lineRule="auto" w:after="40" w:before="40"/>
            </w:pPr>
            <w:r>
              <w:rPr>
                <w:rFonts w:ascii="Times New Roman" w:hAnsi="Times New Roman"/>
                <w:sz w:val="18"/>
              </w:rPr>
              <w:t>Economic</w:t>
            </w:r>
          </w:p>
        </w:tc>
        <w:tc>
          <w:tcPr>
            <w:tcW w:type="dxa" w:w="2340"/>
          </w:tcPr>
          <w:p>
            <w:pPr>
              <w:spacing w:line="240" w:lineRule="auto" w:after="40" w:before="40"/>
            </w:pPr>
            <w:r>
              <w:rPr>
                <w:rFonts w:ascii="Times New Roman" w:hAnsi="Times New Roman"/>
                <w:sz w:val="18"/>
              </w:rPr>
              <w:t>Savings from reusing material internally instead of buying new.</w:t>
            </w:r>
          </w:p>
        </w:tc>
        <w:tc>
          <w:tcPr>
            <w:tcW w:type="dxa" w:w="2340"/>
          </w:tcPr>
          <w:p>
            <w:pPr>
              <w:spacing w:line="240" w:lineRule="auto" w:after="40" w:before="40"/>
            </w:pPr>
            <w:r>
              <w:rPr>
                <w:rFonts w:ascii="Times New Roman" w:hAnsi="Times New Roman"/>
                <w:sz w:val="18"/>
              </w:rPr>
              <w:t>AV</w:t>
            </w:r>
          </w:p>
        </w:tc>
      </w:tr>
      <w:tr>
        <w:tc>
          <w:tcPr>
            <w:tcW w:type="dxa" w:w="2340"/>
          </w:tcPr>
          <w:p>
            <w:pPr>
              <w:spacing w:line="240" w:lineRule="auto" w:after="40" w:before="40"/>
            </w:pPr>
            <w:r>
              <w:rPr>
                <w:rFonts w:ascii="Times New Roman" w:hAnsi="Times New Roman"/>
                <w:sz w:val="18"/>
              </w:rPr>
              <w:t>CVCP3</w:t>
            </w:r>
          </w:p>
        </w:tc>
        <w:tc>
          <w:tcPr>
            <w:tcW w:type="dxa" w:w="2340"/>
          </w:tcPr>
          <w:p>
            <w:pPr>
              <w:spacing w:line="240" w:lineRule="auto" w:after="40" w:before="40"/>
            </w:pPr>
            <w:r>
              <w:rPr>
                <w:rFonts w:ascii="Times New Roman" w:hAnsi="Times New Roman"/>
                <w:sz w:val="18"/>
              </w:rPr>
              <w:t>Economic</w:t>
            </w:r>
          </w:p>
        </w:tc>
        <w:tc>
          <w:tcPr>
            <w:tcW w:type="dxa" w:w="2340"/>
          </w:tcPr>
          <w:p>
            <w:pPr>
              <w:spacing w:line="240" w:lineRule="auto" w:after="40" w:before="40"/>
            </w:pPr>
            <w:r>
              <w:rPr>
                <w:rFonts w:ascii="Times New Roman" w:hAnsi="Times New Roman"/>
                <w:sz w:val="18"/>
              </w:rPr>
              <w:t>The price we realise for our main product.</w:t>
            </w:r>
          </w:p>
        </w:tc>
        <w:tc>
          <w:tcPr>
            <w:tcW w:type="dxa" w:w="2340"/>
          </w:tcPr>
          <w:p>
            <w:pPr>
              <w:spacing w:line="240" w:lineRule="auto" w:after="40" w:before="40"/>
            </w:pPr>
            <w:r>
              <w:rPr>
                <w:rFonts w:ascii="Times New Roman" w:hAnsi="Times New Roman"/>
                <w:sz w:val="18"/>
              </w:rPr>
              <w:t>AS</w:t>
            </w:r>
          </w:p>
        </w:tc>
      </w:tr>
      <w:tr>
        <w:tc>
          <w:tcPr>
            <w:tcW w:type="dxa" w:w="2340"/>
          </w:tcPr>
          <w:p>
            <w:pPr>
              <w:spacing w:line="240" w:lineRule="auto" w:after="40" w:before="40"/>
            </w:pPr>
            <w:r>
              <w:rPr>
                <w:rFonts w:ascii="Times New Roman" w:hAnsi="Times New Roman"/>
                <w:sz w:val="18"/>
              </w:rPr>
              <w:t>CVCP4</w:t>
            </w:r>
          </w:p>
        </w:tc>
        <w:tc>
          <w:tcPr>
            <w:tcW w:type="dxa" w:w="2340"/>
          </w:tcPr>
          <w:p>
            <w:pPr>
              <w:spacing w:line="240" w:lineRule="auto" w:after="40" w:before="40"/>
            </w:pPr>
            <w:r>
              <w:rPr>
                <w:rFonts w:ascii="Times New Roman" w:hAnsi="Times New Roman"/>
                <w:sz w:val="18"/>
              </w:rPr>
              <w:t>Economic</w:t>
            </w:r>
          </w:p>
        </w:tc>
        <w:tc>
          <w:tcPr>
            <w:tcW w:type="dxa" w:w="2340"/>
          </w:tcPr>
          <w:p>
            <w:pPr>
              <w:spacing w:line="240" w:lineRule="auto" w:after="40" w:before="40"/>
            </w:pPr>
            <w:r>
              <w:rPr>
                <w:rFonts w:ascii="Times New Roman" w:hAnsi="Times New Roman"/>
                <w:sz w:val="18"/>
              </w:rPr>
              <w:t>Reduction in the cost of disposing of waste.</w:t>
            </w:r>
          </w:p>
        </w:tc>
        <w:tc>
          <w:tcPr>
            <w:tcW w:type="dxa" w:w="2340"/>
          </w:tcPr>
          <w:p>
            <w:pPr>
              <w:spacing w:line="240" w:lineRule="auto" w:after="40" w:before="40"/>
            </w:pPr>
            <w:r>
              <w:rPr>
                <w:rFonts w:ascii="Times New Roman" w:hAnsi="Times New Roman"/>
                <w:sz w:val="18"/>
              </w:rPr>
              <w:t>AS</w:t>
            </w:r>
          </w:p>
        </w:tc>
      </w:tr>
      <w:tr>
        <w:tc>
          <w:tcPr>
            <w:tcW w:type="dxa" w:w="2340"/>
          </w:tcPr>
          <w:p>
            <w:pPr>
              <w:spacing w:line="240" w:lineRule="auto" w:after="40" w:before="40"/>
            </w:pPr>
            <w:r>
              <w:rPr>
                <w:rFonts w:ascii="Times New Roman" w:hAnsi="Times New Roman"/>
                <w:sz w:val="18"/>
              </w:rPr>
              <w:t>CVCP5</w:t>
            </w:r>
          </w:p>
        </w:tc>
        <w:tc>
          <w:tcPr>
            <w:tcW w:type="dxa" w:w="2340"/>
          </w:tcPr>
          <w:p>
            <w:pPr>
              <w:spacing w:line="240" w:lineRule="auto" w:after="40" w:before="40"/>
            </w:pPr>
            <w:r>
              <w:rPr>
                <w:rFonts w:ascii="Times New Roman" w:hAnsi="Times New Roman"/>
                <w:sz w:val="18"/>
              </w:rPr>
              <w:t>Environmental</w:t>
            </w:r>
          </w:p>
        </w:tc>
        <w:tc>
          <w:tcPr>
            <w:tcW w:type="dxa" w:w="2340"/>
          </w:tcPr>
          <w:p>
            <w:pPr>
              <w:spacing w:line="240" w:lineRule="auto" w:after="40" w:before="40"/>
            </w:pPr>
            <w:r>
              <w:rPr>
                <w:rFonts w:ascii="Times New Roman" w:hAnsi="Times New Roman"/>
                <w:sz w:val="18"/>
              </w:rPr>
              <w:t>Reduction in the quantity of material leaving our operation as waste.</w:t>
            </w:r>
          </w:p>
        </w:tc>
        <w:tc>
          <w:tcPr>
            <w:tcW w:type="dxa" w:w="2340"/>
          </w:tcPr>
          <w:p>
            <w:pPr>
              <w:spacing w:line="240" w:lineRule="auto" w:after="40" w:before="40"/>
            </w:pPr>
            <w:r>
              <w:rPr>
                <w:rFonts w:ascii="Times New Roman" w:hAnsi="Times New Roman"/>
                <w:sz w:val="18"/>
              </w:rPr>
              <w:t>AV</w:t>
            </w:r>
          </w:p>
        </w:tc>
      </w:tr>
      <w:tr>
        <w:tc>
          <w:tcPr>
            <w:tcW w:type="dxa" w:w="2340"/>
          </w:tcPr>
          <w:p>
            <w:pPr>
              <w:spacing w:line="240" w:lineRule="auto" w:after="40" w:before="40"/>
            </w:pPr>
            <w:r>
              <w:rPr>
                <w:rFonts w:ascii="Times New Roman" w:hAnsi="Times New Roman"/>
                <w:sz w:val="18"/>
              </w:rPr>
              <w:t>CVCP6</w:t>
            </w:r>
          </w:p>
        </w:tc>
        <w:tc>
          <w:tcPr>
            <w:tcW w:type="dxa" w:w="2340"/>
          </w:tcPr>
          <w:p>
            <w:pPr>
              <w:spacing w:line="240" w:lineRule="auto" w:after="40" w:before="40"/>
            </w:pPr>
            <w:r>
              <w:rPr>
                <w:rFonts w:ascii="Times New Roman" w:hAnsi="Times New Roman"/>
                <w:sz w:val="18"/>
              </w:rPr>
              <w:t>Environmental</w:t>
            </w:r>
          </w:p>
        </w:tc>
        <w:tc>
          <w:tcPr>
            <w:tcW w:type="dxa" w:w="2340"/>
          </w:tcPr>
          <w:p>
            <w:pPr>
              <w:spacing w:line="240" w:lineRule="auto" w:after="40" w:before="40"/>
            </w:pPr>
            <w:r>
              <w:rPr>
                <w:rFonts w:ascii="Times New Roman" w:hAnsi="Times New Roman"/>
                <w:sz w:val="18"/>
              </w:rPr>
              <w:t>Reduction in the share of what we handle that is lost or spoiled.</w:t>
            </w:r>
          </w:p>
        </w:tc>
        <w:tc>
          <w:tcPr>
            <w:tcW w:type="dxa" w:w="2340"/>
          </w:tcPr>
          <w:p>
            <w:pPr>
              <w:spacing w:line="240" w:lineRule="auto" w:after="40" w:before="40"/>
            </w:pPr>
            <w:r>
              <w:rPr>
                <w:rFonts w:ascii="Times New Roman" w:hAnsi="Times New Roman"/>
                <w:sz w:val="18"/>
              </w:rPr>
              <w:t>AV</w:t>
            </w:r>
          </w:p>
        </w:tc>
      </w:tr>
      <w:tr>
        <w:tc>
          <w:tcPr>
            <w:tcW w:type="dxa" w:w="2340"/>
          </w:tcPr>
          <w:p>
            <w:pPr>
              <w:spacing w:line="240" w:lineRule="auto" w:after="40" w:before="40"/>
            </w:pPr>
            <w:r>
              <w:rPr>
                <w:rFonts w:ascii="Times New Roman" w:hAnsi="Times New Roman"/>
                <w:sz w:val="18"/>
              </w:rPr>
              <w:t>CVCP7</w:t>
            </w:r>
          </w:p>
        </w:tc>
        <w:tc>
          <w:tcPr>
            <w:tcW w:type="dxa" w:w="2340"/>
          </w:tcPr>
          <w:p>
            <w:pPr>
              <w:spacing w:line="240" w:lineRule="auto" w:after="40" w:before="40"/>
            </w:pPr>
            <w:r>
              <w:rPr>
                <w:rFonts w:ascii="Times New Roman" w:hAnsi="Times New Roman"/>
                <w:sz w:val="18"/>
              </w:rPr>
              <w:t>Environmental</w:t>
            </w:r>
          </w:p>
        </w:tc>
        <w:tc>
          <w:tcPr>
            <w:tcW w:type="dxa" w:w="2340"/>
          </w:tcPr>
          <w:p>
            <w:pPr>
              <w:spacing w:line="240" w:lineRule="auto" w:after="40" w:before="40"/>
            </w:pPr>
            <w:r>
              <w:rPr>
                <w:rFonts w:ascii="Times New Roman" w:hAnsi="Times New Roman"/>
                <w:sz w:val="18"/>
              </w:rPr>
              <w:t>Reduction in the energy and water used per unit of product.</w:t>
            </w:r>
          </w:p>
        </w:tc>
        <w:tc>
          <w:tcPr>
            <w:tcW w:type="dxa" w:w="2340"/>
          </w:tcPr>
          <w:p>
            <w:pPr>
              <w:spacing w:line="240" w:lineRule="auto" w:after="40" w:before="40"/>
            </w:pPr>
            <w:r>
              <w:rPr>
                <w:rFonts w:ascii="Times New Roman" w:hAnsi="Times New Roman"/>
                <w:sz w:val="18"/>
              </w:rPr>
              <w:t>AS</w:t>
            </w:r>
          </w:p>
        </w:tc>
      </w:tr>
      <w:tr>
        <w:tc>
          <w:tcPr>
            <w:tcW w:type="dxa" w:w="2340"/>
          </w:tcPr>
          <w:p>
            <w:pPr>
              <w:spacing w:line="240" w:lineRule="auto" w:after="40" w:before="40"/>
            </w:pPr>
            <w:r>
              <w:rPr>
                <w:rFonts w:ascii="Times New Roman" w:hAnsi="Times New Roman"/>
                <w:sz w:val="18"/>
              </w:rPr>
              <w:t>CVCP8</w:t>
            </w:r>
          </w:p>
        </w:tc>
        <w:tc>
          <w:tcPr>
            <w:tcW w:type="dxa" w:w="2340"/>
          </w:tcPr>
          <w:p>
            <w:pPr>
              <w:spacing w:line="240" w:lineRule="auto" w:after="40" w:before="40"/>
            </w:pPr>
            <w:r>
              <w:rPr>
                <w:rFonts w:ascii="Times New Roman" w:hAnsi="Times New Roman"/>
                <w:sz w:val="18"/>
              </w:rPr>
              <w:t>Environmental</w:t>
            </w:r>
          </w:p>
        </w:tc>
        <w:tc>
          <w:tcPr>
            <w:tcW w:type="dxa" w:w="2340"/>
          </w:tcPr>
          <w:p>
            <w:pPr>
              <w:spacing w:line="240" w:lineRule="auto" w:after="40" w:before="40"/>
            </w:pPr>
            <w:r>
              <w:rPr>
                <w:rFonts w:ascii="Times New Roman" w:hAnsi="Times New Roman"/>
                <w:sz w:val="18"/>
              </w:rPr>
              <w:t>Reduction in the quantity of residues sent to landfill, burned or dumped.</w:t>
            </w:r>
          </w:p>
        </w:tc>
        <w:tc>
          <w:tcPr>
            <w:tcW w:type="dxa" w:w="2340"/>
          </w:tcPr>
          <w:p>
            <w:pPr>
              <w:spacing w:line="240" w:lineRule="auto" w:after="40" w:before="40"/>
            </w:pPr>
            <w:r>
              <w:rPr>
                <w:rFonts w:ascii="Times New Roman" w:hAnsi="Times New Roman"/>
                <w:sz w:val="18"/>
              </w:rPr>
              <w:t>ND</w:t>
            </w:r>
          </w:p>
        </w:tc>
      </w:tr>
      <w:tr>
        <w:tc>
          <w:tcPr>
            <w:tcW w:type="dxa" w:w="2340"/>
          </w:tcPr>
          <w:p>
            <w:pPr>
              <w:spacing w:line="240" w:lineRule="auto" w:after="40" w:before="40"/>
            </w:pPr>
            <w:r>
              <w:rPr>
                <w:rFonts w:ascii="Times New Roman" w:hAnsi="Times New Roman"/>
                <w:sz w:val="18"/>
              </w:rPr>
              <w:t>CVCP9</w:t>
            </w:r>
          </w:p>
        </w:tc>
        <w:tc>
          <w:tcPr>
            <w:tcW w:type="dxa" w:w="2340"/>
          </w:tcPr>
          <w:p>
            <w:pPr>
              <w:spacing w:line="240" w:lineRule="auto" w:after="40" w:before="40"/>
            </w:pPr>
            <w:r>
              <w:rPr>
                <w:rFonts w:ascii="Times New Roman" w:hAnsi="Times New Roman"/>
                <w:sz w:val="18"/>
              </w:rPr>
              <w:t>Social</w:t>
            </w:r>
          </w:p>
        </w:tc>
        <w:tc>
          <w:tcPr>
            <w:tcW w:type="dxa" w:w="2340"/>
          </w:tcPr>
          <w:p>
            <w:pPr>
              <w:spacing w:line="240" w:lineRule="auto" w:after="40" w:before="40"/>
            </w:pPr>
            <w:r>
              <w:rPr>
                <w:rFonts w:ascii="Times New Roman" w:hAnsi="Times New Roman"/>
                <w:sz w:val="18"/>
              </w:rPr>
              <w:t>The share of the value from recovered material that reaches the producers who supplied it.</w:t>
            </w:r>
          </w:p>
        </w:tc>
        <w:tc>
          <w:tcPr>
            <w:tcW w:type="dxa" w:w="2340"/>
          </w:tcPr>
          <w:p>
            <w:pPr>
              <w:spacing w:line="240" w:lineRule="auto" w:after="40" w:before="40"/>
            </w:pPr>
            <w:r>
              <w:rPr>
                <w:rFonts w:ascii="Times New Roman" w:hAnsi="Times New Roman"/>
                <w:sz w:val="18"/>
              </w:rPr>
              <w:t>ND</w:t>
            </w:r>
          </w:p>
        </w:tc>
      </w:tr>
      <w:tr>
        <w:tc>
          <w:tcPr>
            <w:tcW w:type="dxa" w:w="2340"/>
          </w:tcPr>
          <w:p>
            <w:pPr>
              <w:spacing w:line="240" w:lineRule="auto" w:after="40" w:before="40"/>
            </w:pPr>
            <w:r>
              <w:rPr>
                <w:rFonts w:ascii="Times New Roman" w:hAnsi="Times New Roman"/>
                <w:sz w:val="18"/>
              </w:rPr>
              <w:t>CVCP10</w:t>
            </w:r>
          </w:p>
        </w:tc>
        <w:tc>
          <w:tcPr>
            <w:tcW w:type="dxa" w:w="2340"/>
          </w:tcPr>
          <w:p>
            <w:pPr>
              <w:spacing w:line="240" w:lineRule="auto" w:after="40" w:before="40"/>
            </w:pPr>
            <w:r>
              <w:rPr>
                <w:rFonts w:ascii="Times New Roman" w:hAnsi="Times New Roman"/>
                <w:sz w:val="18"/>
              </w:rPr>
              <w:t>Social</w:t>
            </w:r>
          </w:p>
        </w:tc>
        <w:tc>
          <w:tcPr>
            <w:tcW w:type="dxa" w:w="2340"/>
          </w:tcPr>
          <w:p>
            <w:pPr>
              <w:spacing w:line="240" w:lineRule="auto" w:after="40" w:before="40"/>
            </w:pPr>
            <w:r>
              <w:rPr>
                <w:rFonts w:ascii="Times New Roman" w:hAnsi="Times New Roman"/>
                <w:sz w:val="18"/>
              </w:rPr>
              <w:t>Employment or paid work created by handling and processing recovered material.</w:t>
            </w:r>
          </w:p>
        </w:tc>
        <w:tc>
          <w:tcPr>
            <w:tcW w:type="dxa" w:w="2340"/>
          </w:tcPr>
          <w:p>
            <w:pPr>
              <w:spacing w:line="240" w:lineRule="auto" w:after="40" w:before="40"/>
            </w:pPr>
            <w:r>
              <w:rPr>
                <w:rFonts w:ascii="Times New Roman" w:hAnsi="Times New Roman"/>
                <w:sz w:val="18"/>
              </w:rPr>
              <w:t>ND</w:t>
            </w:r>
          </w:p>
        </w:tc>
      </w:tr>
      <w:tr>
        <w:tc>
          <w:tcPr>
            <w:tcW w:type="dxa" w:w="2340"/>
          </w:tcPr>
          <w:p>
            <w:pPr>
              <w:spacing w:line="240" w:lineRule="auto" w:after="40" w:before="40"/>
            </w:pPr>
            <w:r>
              <w:rPr>
                <w:rFonts w:ascii="Times New Roman" w:hAnsi="Times New Roman"/>
                <w:sz w:val="18"/>
              </w:rPr>
              <w:t>CVCP11</w:t>
            </w:r>
          </w:p>
        </w:tc>
        <w:tc>
          <w:tcPr>
            <w:tcW w:type="dxa" w:w="2340"/>
          </w:tcPr>
          <w:p>
            <w:pPr>
              <w:spacing w:line="240" w:lineRule="auto" w:after="40" w:before="40"/>
            </w:pPr>
            <w:r>
              <w:rPr>
                <w:rFonts w:ascii="Times New Roman" w:hAnsi="Times New Roman"/>
                <w:sz w:val="18"/>
              </w:rPr>
              <w:t>Social</w:t>
            </w:r>
          </w:p>
        </w:tc>
        <w:tc>
          <w:tcPr>
            <w:tcW w:type="dxa" w:w="2340"/>
          </w:tcPr>
          <w:p>
            <w:pPr>
              <w:spacing w:line="240" w:lineRule="auto" w:after="40" w:before="40"/>
            </w:pPr>
            <w:r>
              <w:rPr>
                <w:rFonts w:ascii="Times New Roman" w:hAnsi="Times New Roman"/>
                <w:sz w:val="18"/>
              </w:rPr>
              <w:t>Fairness with which the gains from reducing losses are shared among the actors in this chain.</w:t>
            </w:r>
          </w:p>
        </w:tc>
        <w:tc>
          <w:tcPr>
            <w:tcW w:type="dxa" w:w="2340"/>
          </w:tcPr>
          <w:p>
            <w:pPr>
              <w:spacing w:line="240" w:lineRule="auto" w:after="40" w:before="40"/>
            </w:pPr>
            <w:r>
              <w:rPr>
                <w:rFonts w:ascii="Times New Roman" w:hAnsi="Times New Roman"/>
                <w:sz w:val="18"/>
              </w:rPr>
              <w:t>ND</w:t>
            </w:r>
          </w:p>
        </w:tc>
      </w:tr>
    </w:tbl>
    <w:p>
      <w:pPr>
        <w:spacing w:line="240" w:lineRule="auto"/>
      </w:pPr>
    </w:p>
    <w:p>
      <w:pPr>
        <w:spacing w:after="120"/>
        <w:ind w:firstLine="0"/>
      </w:pPr>
      <w:r>
        <w:rPr>
          <w:i/>
        </w:rPr>
        <w:t>Note.</w:t>
      </w:r>
      <w:r>
        <w:t xml:space="preserve"> Economic and environmental items draw on the investment-recovery dimension of Zhu, Sarkis, and Lai (2008). The three social items are wholly new; the social dimension rests on the least developed indicator literature and is the dimension most likely to behave differently in the formative HOC. </w:t>
      </w:r>
      <w:r>
        <w:rPr>
          <w:b/>
        </w:rPr>
        <w:t>That asymmetry is theoretically interesting, not a defect</w:t>
      </w:r>
      <w:r>
        <w:t xml:space="preserve"> — see Section 8, Table A13.</w:t>
      </w:r>
    </w:p>
    <w:p>
      <w:pPr>
        <w:pStyle w:val="Heading2"/>
      </w:pPr>
      <w:r>
        <w:t>2.6 Controls, marker, screening and objective indicators</w:t>
      </w:r>
    </w:p>
    <w:p>
      <w:pPr>
        <w:keepNext/>
        <w:spacing w:before="240" w:line="240" w:lineRule="auto"/>
      </w:pPr>
      <w:r>
        <w:rPr>
          <w:b/>
          <w:sz w:val="20"/>
        </w:rPr>
        <w:t>Table A7. Controls (eight), marker, screening and objective indicators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after="40" w:before="40"/>
            </w:pPr>
            <w:r>
              <w:rPr>
                <w:rFonts w:ascii="Times New Roman" w:hAnsi="Times New Roman"/>
                <w:b/>
                <w:sz w:val="18"/>
              </w:rPr>
              <w:t>Code</w:t>
            </w:r>
          </w:p>
        </w:tc>
        <w:tc>
          <w:tcPr>
            <w:tcW w:type="dxa" w:w="2340"/>
            <w:shd w:val="clear" w:fill="EFEFEF"/>
          </w:tcPr>
          <w:p>
            <w:pPr>
              <w:spacing w:line="240" w:lineRule="auto" w:after="40" w:before="40"/>
            </w:pPr>
            <w:r>
              <w:rPr>
                <w:rFonts w:ascii="Times New Roman" w:hAnsi="Times New Roman"/>
                <w:b/>
                <w:sz w:val="18"/>
              </w:rPr>
              <w:t>Variable</w:t>
            </w:r>
          </w:p>
        </w:tc>
        <w:tc>
          <w:tcPr>
            <w:tcW w:type="dxa" w:w="2340"/>
            <w:shd w:val="clear" w:fill="EFEFEF"/>
          </w:tcPr>
          <w:p>
            <w:pPr>
              <w:spacing w:line="240" w:lineRule="auto" w:after="40" w:before="40"/>
            </w:pPr>
            <w:r>
              <w:rPr>
                <w:rFonts w:ascii="Times New Roman" w:hAnsi="Times New Roman"/>
                <w:b/>
                <w:sz w:val="18"/>
              </w:rPr>
              <w:t>Measurement</w:t>
            </w:r>
          </w:p>
        </w:tc>
        <w:tc>
          <w:tcPr>
            <w:tcW w:type="dxa" w:w="2340"/>
            <w:shd w:val="clear" w:fill="EFEFEF"/>
          </w:tcPr>
          <w:p>
            <w:pPr>
              <w:spacing w:line="240" w:lineRule="auto" w:after="40" w:before="40"/>
            </w:pPr>
            <w:r>
              <w:rPr>
                <w:rFonts w:ascii="Times New Roman" w:hAnsi="Times New Roman"/>
                <w:b/>
                <w:sz w:val="18"/>
              </w:rPr>
              <w:t>Entered how</w:t>
            </w:r>
          </w:p>
        </w:tc>
      </w:tr>
      <w:tr>
        <w:tc>
          <w:tcPr>
            <w:tcW w:type="dxa" w:w="2340"/>
          </w:tcPr>
          <w:p>
            <w:pPr>
              <w:spacing w:line="240" w:lineRule="auto" w:after="40" w:before="40"/>
            </w:pPr>
            <w:r>
              <w:rPr>
                <w:rFonts w:ascii="Times New Roman" w:hAnsi="Times New Roman"/>
                <w:sz w:val="18"/>
              </w:rPr>
              <w:t>DTC1–DTC3</w:t>
            </w:r>
          </w:p>
        </w:tc>
        <w:tc>
          <w:tcPr>
            <w:tcW w:type="dxa" w:w="2340"/>
          </w:tcPr>
          <w:p>
            <w:pPr>
              <w:spacing w:line="240" w:lineRule="auto" w:after="40" w:before="40"/>
            </w:pPr>
            <w:r>
              <w:rPr>
                <w:rFonts w:ascii="Times New Roman" w:hAnsi="Times New Roman"/>
                <w:sz w:val="18"/>
              </w:rPr>
              <w:t>Digital traceability capability</w:t>
            </w:r>
          </w:p>
        </w:tc>
        <w:tc>
          <w:tcPr>
            <w:tcW w:type="dxa" w:w="2340"/>
          </w:tcPr>
          <w:p>
            <w:pPr>
              <w:spacing w:line="240" w:lineRule="auto" w:after="40" w:before="40"/>
            </w:pPr>
            <w:r>
              <w:rPr>
                <w:rFonts w:ascii="Times New Roman" w:hAnsi="Times New Roman"/>
                <w:sz w:val="18"/>
              </w:rPr>
              <w:t>3 reflective items, 7-point (see below)</w:t>
            </w:r>
          </w:p>
        </w:tc>
        <w:tc>
          <w:tcPr>
            <w:tcW w:type="dxa" w:w="2340"/>
          </w:tcPr>
          <w:p>
            <w:pPr>
              <w:spacing w:line="240" w:lineRule="auto" w:after="40" w:before="40"/>
            </w:pPr>
            <w:r>
              <w:rPr>
                <w:rFonts w:ascii="Times New Roman" w:hAnsi="Times New Roman"/>
                <w:sz w:val="18"/>
              </w:rPr>
              <w:t>Composite, Mode A; predicts CIT, CVCI, CVCP</w:t>
            </w:r>
          </w:p>
        </w:tc>
      </w:tr>
      <w:tr>
        <w:tc>
          <w:tcPr>
            <w:tcW w:type="dxa" w:w="2340"/>
          </w:tcPr>
          <w:p>
            <w:pPr>
              <w:spacing w:line="240" w:lineRule="auto" w:after="40" w:before="40"/>
            </w:pPr>
            <w:r>
              <w:rPr>
                <w:rFonts w:ascii="Times New Roman" w:hAnsi="Times New Roman"/>
                <w:sz w:val="18"/>
              </w:rPr>
              <w:t>IS1–IS3</w:t>
            </w:r>
          </w:p>
        </w:tc>
        <w:tc>
          <w:tcPr>
            <w:tcW w:type="dxa" w:w="2340"/>
          </w:tcPr>
          <w:p>
            <w:pPr>
              <w:spacing w:line="240" w:lineRule="auto" w:after="40" w:before="40"/>
            </w:pPr>
            <w:r>
              <w:rPr>
                <w:rFonts w:ascii="Times New Roman" w:hAnsi="Times New Roman"/>
                <w:sz w:val="18"/>
              </w:rPr>
              <w:t>Institutional support</w:t>
            </w:r>
          </w:p>
        </w:tc>
        <w:tc>
          <w:tcPr>
            <w:tcW w:type="dxa" w:w="2340"/>
          </w:tcPr>
          <w:p>
            <w:pPr>
              <w:spacing w:line="240" w:lineRule="auto" w:after="40" w:before="40"/>
            </w:pPr>
            <w:r>
              <w:rPr>
                <w:rFonts w:ascii="Times New Roman" w:hAnsi="Times New Roman"/>
                <w:sz w:val="18"/>
              </w:rPr>
              <w:t>3 reflective items, 7-point (see below)</w:t>
            </w:r>
          </w:p>
        </w:tc>
        <w:tc>
          <w:tcPr>
            <w:tcW w:type="dxa" w:w="2340"/>
          </w:tcPr>
          <w:p>
            <w:pPr>
              <w:spacing w:line="240" w:lineRule="auto" w:after="40" w:before="40"/>
            </w:pPr>
            <w:r>
              <w:rPr>
                <w:rFonts w:ascii="Times New Roman" w:hAnsi="Times New Roman"/>
                <w:sz w:val="18"/>
              </w:rPr>
              <w:t>Composite, Mode A; predicts CIT, CVCI, CVCP</w:t>
            </w:r>
          </w:p>
        </w:tc>
      </w:tr>
      <w:tr>
        <w:tc>
          <w:tcPr>
            <w:tcW w:type="dxa" w:w="2340"/>
          </w:tcPr>
          <w:p>
            <w:pPr>
              <w:spacing w:line="240" w:lineRule="auto" w:after="40" w:before="40"/>
            </w:pPr>
            <w:r>
              <w:rPr>
                <w:rFonts w:ascii="Times New Roman" w:hAnsi="Times New Roman"/>
                <w:sz w:val="18"/>
              </w:rPr>
              <w:t>SIZE_ln</w:t>
            </w:r>
          </w:p>
        </w:tc>
        <w:tc>
          <w:tcPr>
            <w:tcW w:type="dxa" w:w="2340"/>
          </w:tcPr>
          <w:p>
            <w:pPr>
              <w:spacing w:line="240" w:lineRule="auto" w:after="40" w:before="40"/>
            </w:pPr>
            <w:r>
              <w:rPr>
                <w:rFonts w:ascii="Times New Roman" w:hAnsi="Times New Roman"/>
                <w:sz w:val="18"/>
              </w:rPr>
              <w:t>Enterprise size</w:t>
            </w:r>
          </w:p>
        </w:tc>
        <w:tc>
          <w:tcPr>
            <w:tcW w:type="dxa" w:w="2340"/>
          </w:tcPr>
          <w:p>
            <w:pPr>
              <w:spacing w:line="240" w:lineRule="auto" w:after="40" w:before="40"/>
            </w:pPr>
            <w:r>
              <w:rPr>
                <w:rFonts w:ascii="Times New Roman" w:hAnsi="Times New Roman"/>
                <w:sz w:val="18"/>
              </w:rPr>
              <w:t>Number of persons engaged (incl. unpaid family labour); natural log of (1 + n)</w:t>
            </w:r>
          </w:p>
        </w:tc>
        <w:tc>
          <w:tcPr>
            <w:tcW w:type="dxa" w:w="2340"/>
          </w:tcPr>
          <w:p>
            <w:pPr>
              <w:spacing w:line="240" w:lineRule="auto" w:after="40" w:before="40"/>
            </w:pPr>
            <w:r>
              <w:rPr>
                <w:rFonts w:ascii="Times New Roman" w:hAnsi="Times New Roman"/>
                <w:sz w:val="18"/>
              </w:rPr>
              <w:t>Single-item composite</w:t>
            </w:r>
          </w:p>
        </w:tc>
      </w:tr>
      <w:tr>
        <w:tc>
          <w:tcPr>
            <w:tcW w:type="dxa" w:w="2340"/>
          </w:tcPr>
          <w:p>
            <w:pPr>
              <w:spacing w:line="240" w:lineRule="auto" w:after="40" w:before="40"/>
            </w:pPr>
            <w:r>
              <w:rPr>
                <w:rFonts w:ascii="Times New Roman" w:hAnsi="Times New Roman"/>
                <w:sz w:val="18"/>
              </w:rPr>
              <w:t>AGE_ln</w:t>
            </w:r>
          </w:p>
        </w:tc>
        <w:tc>
          <w:tcPr>
            <w:tcW w:type="dxa" w:w="2340"/>
          </w:tcPr>
          <w:p>
            <w:pPr>
              <w:spacing w:line="240" w:lineRule="auto" w:after="40" w:before="40"/>
            </w:pPr>
            <w:r>
              <w:rPr>
                <w:rFonts w:ascii="Times New Roman" w:hAnsi="Times New Roman"/>
                <w:sz w:val="18"/>
              </w:rPr>
              <w:t>Enterprise age</w:t>
            </w:r>
          </w:p>
        </w:tc>
        <w:tc>
          <w:tcPr>
            <w:tcW w:type="dxa" w:w="2340"/>
          </w:tcPr>
          <w:p>
            <w:pPr>
              <w:spacing w:line="240" w:lineRule="auto" w:after="40" w:before="40"/>
            </w:pPr>
            <w:r>
              <w:rPr>
                <w:rFonts w:ascii="Times New Roman" w:hAnsi="Times New Roman"/>
                <w:sz w:val="18"/>
              </w:rPr>
              <w:t>Years in operation; natural log of (1 + years)</w:t>
            </w:r>
          </w:p>
        </w:tc>
        <w:tc>
          <w:tcPr>
            <w:tcW w:type="dxa" w:w="2340"/>
          </w:tcPr>
          <w:p>
            <w:pPr>
              <w:spacing w:line="240" w:lineRule="auto" w:after="40" w:before="40"/>
            </w:pPr>
            <w:r>
              <w:rPr>
                <w:rFonts w:ascii="Times New Roman" w:hAnsi="Times New Roman"/>
                <w:sz w:val="18"/>
              </w:rPr>
              <w:t>Single-item composite</w:t>
            </w:r>
          </w:p>
        </w:tc>
      </w:tr>
      <w:tr>
        <w:tc>
          <w:tcPr>
            <w:tcW w:type="dxa" w:w="2340"/>
          </w:tcPr>
          <w:p>
            <w:pPr>
              <w:spacing w:line="240" w:lineRule="auto" w:after="40" w:before="40"/>
            </w:pPr>
            <w:r>
              <w:rPr>
                <w:rFonts w:ascii="Times New Roman" w:hAnsi="Times New Roman"/>
                <w:sz w:val="18"/>
              </w:rPr>
              <w:t>VOL_ln</w:t>
            </w:r>
          </w:p>
        </w:tc>
        <w:tc>
          <w:tcPr>
            <w:tcW w:type="dxa" w:w="2340"/>
          </w:tcPr>
          <w:p>
            <w:pPr>
              <w:spacing w:line="240" w:lineRule="auto" w:after="40" w:before="40"/>
            </w:pPr>
            <w:r>
              <w:rPr>
                <w:rFonts w:ascii="Times New Roman" w:hAnsi="Times New Roman"/>
                <w:sz w:val="18"/>
              </w:rPr>
              <w:t>Volume handled</w:t>
            </w:r>
          </w:p>
        </w:tc>
        <w:tc>
          <w:tcPr>
            <w:tcW w:type="dxa" w:w="2340"/>
          </w:tcPr>
          <w:p>
            <w:pPr>
              <w:spacing w:line="240" w:lineRule="auto" w:after="40" w:before="40"/>
            </w:pPr>
            <w:r>
              <w:rPr>
                <w:rFonts w:ascii="Times New Roman" w:hAnsi="Times New Roman"/>
                <w:sz w:val="18"/>
              </w:rPr>
              <w:t>Tonnes handled last season; natural log of (1 + tonnes)</w:t>
            </w:r>
          </w:p>
        </w:tc>
        <w:tc>
          <w:tcPr>
            <w:tcW w:type="dxa" w:w="2340"/>
          </w:tcPr>
          <w:p>
            <w:pPr>
              <w:spacing w:line="240" w:lineRule="auto" w:after="40" w:before="40"/>
            </w:pPr>
            <w:r>
              <w:rPr>
                <w:rFonts w:ascii="Times New Roman" w:hAnsi="Times New Roman"/>
                <w:sz w:val="18"/>
              </w:rPr>
              <w:t>Single-item composite</w:t>
            </w:r>
          </w:p>
        </w:tc>
      </w:tr>
      <w:tr>
        <w:tc>
          <w:tcPr>
            <w:tcW w:type="dxa" w:w="2340"/>
          </w:tcPr>
          <w:p>
            <w:pPr>
              <w:spacing w:line="240" w:lineRule="auto" w:after="40" w:before="40"/>
            </w:pPr>
            <w:r>
              <w:rPr>
                <w:rFonts w:ascii="Times New Roman" w:hAnsi="Times New Roman"/>
                <w:sz w:val="18"/>
              </w:rPr>
              <w:t>EDU</w:t>
            </w:r>
          </w:p>
        </w:tc>
        <w:tc>
          <w:tcPr>
            <w:tcW w:type="dxa" w:w="2340"/>
          </w:tcPr>
          <w:p>
            <w:pPr>
              <w:spacing w:line="240" w:lineRule="auto" w:after="40" w:before="40"/>
            </w:pPr>
            <w:r>
              <w:rPr>
                <w:rFonts w:ascii="Times New Roman" w:hAnsi="Times New Roman"/>
                <w:sz w:val="18"/>
              </w:rPr>
              <w:t>Key informant education</w:t>
            </w:r>
          </w:p>
        </w:tc>
        <w:tc>
          <w:tcPr>
            <w:tcW w:type="dxa" w:w="2340"/>
          </w:tcPr>
          <w:p>
            <w:pPr>
              <w:spacing w:line="240" w:lineRule="auto" w:after="40" w:before="40"/>
            </w:pPr>
            <w:r>
              <w:rPr>
                <w:rFonts w:ascii="Times New Roman" w:hAnsi="Times New Roman"/>
                <w:sz w:val="18"/>
              </w:rPr>
              <w:t>Ordinal 1–6 (none, primary, secondary, higher secondary, graduate, postgraduate)</w:t>
            </w:r>
          </w:p>
        </w:tc>
        <w:tc>
          <w:tcPr>
            <w:tcW w:type="dxa" w:w="2340"/>
          </w:tcPr>
          <w:p>
            <w:pPr>
              <w:spacing w:line="240" w:lineRule="auto" w:after="40" w:before="40"/>
            </w:pPr>
            <w:r>
              <w:rPr>
                <w:rFonts w:ascii="Times New Roman" w:hAnsi="Times New Roman"/>
                <w:sz w:val="18"/>
              </w:rPr>
              <w:t>Single-item composite</w:t>
            </w:r>
          </w:p>
        </w:tc>
      </w:tr>
      <w:tr>
        <w:tc>
          <w:tcPr>
            <w:tcW w:type="dxa" w:w="2340"/>
          </w:tcPr>
          <w:p>
            <w:pPr>
              <w:spacing w:line="240" w:lineRule="auto" w:after="40" w:before="40"/>
            </w:pPr>
            <w:r>
              <w:rPr>
                <w:rFonts w:ascii="Times New Roman" w:hAnsi="Times New Roman"/>
                <w:sz w:val="18"/>
              </w:rPr>
              <w:t>AFF</w:t>
            </w:r>
          </w:p>
        </w:tc>
        <w:tc>
          <w:tcPr>
            <w:tcW w:type="dxa" w:w="2340"/>
          </w:tcPr>
          <w:p>
            <w:pPr>
              <w:spacing w:line="240" w:lineRule="auto" w:after="40" w:before="40"/>
            </w:pPr>
            <w:r>
              <w:rPr>
                <w:rFonts w:ascii="Times New Roman" w:hAnsi="Times New Roman"/>
                <w:sz w:val="18"/>
              </w:rPr>
              <w:t>Collective affiliation</w:t>
            </w:r>
          </w:p>
        </w:tc>
        <w:tc>
          <w:tcPr>
            <w:tcW w:type="dxa" w:w="2340"/>
          </w:tcPr>
          <w:p>
            <w:pPr>
              <w:spacing w:line="240" w:lineRule="auto" w:after="40" w:before="40"/>
            </w:pPr>
            <w:r>
              <w:rPr>
                <w:rFonts w:ascii="Times New Roman" w:hAnsi="Times New Roman"/>
                <w:sz w:val="18"/>
              </w:rPr>
              <w:t>1 = producer-organisation / cooperative member, 0 = not</w:t>
            </w:r>
          </w:p>
        </w:tc>
        <w:tc>
          <w:tcPr>
            <w:tcW w:type="dxa" w:w="2340"/>
          </w:tcPr>
          <w:p>
            <w:pPr>
              <w:spacing w:line="240" w:lineRule="auto" w:after="40" w:before="40"/>
            </w:pPr>
            <w:r>
              <w:rPr>
                <w:rFonts w:ascii="Times New Roman" w:hAnsi="Times New Roman"/>
                <w:sz w:val="18"/>
              </w:rPr>
              <w:t>Single-item composite (binary)</w:t>
            </w:r>
          </w:p>
        </w:tc>
      </w:tr>
      <w:tr>
        <w:tc>
          <w:tcPr>
            <w:tcW w:type="dxa" w:w="2340"/>
          </w:tcPr>
          <w:p>
            <w:pPr>
              <w:spacing w:line="240" w:lineRule="auto" w:after="40" w:before="40"/>
            </w:pPr>
            <w:r>
              <w:rPr>
                <w:rFonts w:ascii="Times New Roman" w:hAnsi="Times New Roman"/>
                <w:sz w:val="18"/>
              </w:rPr>
              <w:t>TIER</w:t>
            </w:r>
          </w:p>
        </w:tc>
        <w:tc>
          <w:tcPr>
            <w:tcW w:type="dxa" w:w="2340"/>
          </w:tcPr>
          <w:p>
            <w:pPr>
              <w:spacing w:line="240" w:lineRule="auto" w:after="40" w:before="40"/>
            </w:pPr>
            <w:r>
              <w:rPr>
                <w:rFonts w:ascii="Times New Roman" w:hAnsi="Times New Roman"/>
                <w:sz w:val="18"/>
              </w:rPr>
              <w:t>Network position</w:t>
            </w:r>
          </w:p>
        </w:tc>
        <w:tc>
          <w:tcPr>
            <w:tcW w:type="dxa" w:w="2340"/>
          </w:tcPr>
          <w:p>
            <w:pPr>
              <w:spacing w:line="240" w:lineRule="auto" w:after="40" w:before="40"/>
            </w:pPr>
            <w:r>
              <w:rPr>
                <w:rFonts w:ascii="Times New Roman" w:hAnsi="Times New Roman"/>
                <w:sz w:val="18"/>
              </w:rPr>
              <w:t>1 = upstream producer, 2 = midstream intermediary, 3 = processing/recovery, 4 = downstream buyer</w:t>
            </w:r>
          </w:p>
        </w:tc>
        <w:tc>
          <w:tcPr>
            <w:tcW w:type="dxa" w:w="2340"/>
          </w:tcPr>
          <w:p>
            <w:pPr>
              <w:spacing w:line="240" w:lineRule="auto" w:after="40" w:before="40"/>
            </w:pPr>
            <w:r>
              <w:rPr>
                <w:rFonts w:ascii="Times New Roman" w:hAnsi="Times New Roman"/>
                <w:b/>
                <w:sz w:val="18"/>
              </w:rPr>
              <w:t>Not entered as a covariate — used as the MGA grouping variable.</w:t>
            </w:r>
            <w:r>
              <w:rPr>
                <w:rFonts w:ascii="Times New Roman" w:hAnsi="Times New Roman"/>
                <w:sz w:val="18"/>
              </w:rPr>
              <w:t xml:space="preserve"> See Section 4.3</w:t>
            </w:r>
          </w:p>
        </w:tc>
      </w:tr>
      <w:tr>
        <w:tc>
          <w:tcPr>
            <w:tcW w:type="dxa" w:w="2340"/>
          </w:tcPr>
          <w:p>
            <w:pPr>
              <w:spacing w:line="240" w:lineRule="auto" w:after="40" w:before="40"/>
            </w:pPr>
            <w:r>
              <w:rPr>
                <w:rFonts w:ascii="Times New Roman" w:hAnsi="Times New Roman"/>
                <w:sz w:val="18"/>
              </w:rPr>
              <w:t>MK1–MK3</w:t>
            </w:r>
          </w:p>
        </w:tc>
        <w:tc>
          <w:tcPr>
            <w:tcW w:type="dxa" w:w="2340"/>
          </w:tcPr>
          <w:p>
            <w:pPr>
              <w:spacing w:line="240" w:lineRule="auto" w:after="40" w:before="40"/>
            </w:pPr>
            <w:r>
              <w:rPr>
                <w:rFonts w:ascii="Times New Roman" w:hAnsi="Times New Roman"/>
                <w:sz w:val="18"/>
              </w:rPr>
              <w:t>Marker: attitude toward the colour blue</w:t>
            </w:r>
          </w:p>
        </w:tc>
        <w:tc>
          <w:tcPr>
            <w:tcW w:type="dxa" w:w="2340"/>
          </w:tcPr>
          <w:p>
            <w:pPr>
              <w:spacing w:line="240" w:lineRule="auto" w:after="40" w:before="40"/>
            </w:pPr>
            <w:r>
              <w:rPr>
                <w:rFonts w:ascii="Times New Roman" w:hAnsi="Times New Roman"/>
                <w:sz w:val="18"/>
              </w:rPr>
              <w:t xml:space="preserve">3 items from Miller and Simmering (2023), </w:t>
            </w:r>
            <w:r>
              <w:rPr>
                <w:rFonts w:ascii="Times New Roman" w:hAnsi="Times New Roman"/>
                <w:b/>
                <w:sz w:val="18"/>
              </w:rPr>
              <w:t>administered verbatim from the source</w:t>
            </w:r>
          </w:p>
        </w:tc>
        <w:tc>
          <w:tcPr>
            <w:tcW w:type="dxa" w:w="2340"/>
          </w:tcPr>
          <w:p>
            <w:pPr>
              <w:spacing w:line="240" w:lineRule="auto" w:after="40" w:before="40"/>
            </w:pPr>
            <w:r>
              <w:rPr>
                <w:rFonts w:ascii="Times New Roman" w:hAnsi="Times New Roman"/>
                <w:sz w:val="18"/>
              </w:rPr>
              <w:t>Method-bias assessment only; excluded from the structural model</w:t>
            </w:r>
          </w:p>
        </w:tc>
      </w:tr>
      <w:tr>
        <w:tc>
          <w:tcPr>
            <w:tcW w:type="dxa" w:w="2340"/>
          </w:tcPr>
          <w:p>
            <w:pPr>
              <w:spacing w:line="240" w:lineRule="auto" w:after="40" w:before="40"/>
            </w:pPr>
            <w:r>
              <w:rPr>
                <w:rFonts w:ascii="Times New Roman" w:hAnsi="Times New Roman"/>
                <w:sz w:val="18"/>
              </w:rPr>
              <w:t>SCR1–SCR4</w:t>
            </w:r>
          </w:p>
        </w:tc>
        <w:tc>
          <w:tcPr>
            <w:tcW w:type="dxa" w:w="2340"/>
          </w:tcPr>
          <w:p>
            <w:pPr>
              <w:spacing w:line="240" w:lineRule="auto" w:after="40" w:before="40"/>
            </w:pPr>
            <w:r>
              <w:rPr>
                <w:rFonts w:ascii="Times New Roman" w:hAnsi="Times New Roman"/>
                <w:sz w:val="18"/>
              </w:rPr>
              <w:t>Key-informant screening</w:t>
            </w:r>
          </w:p>
        </w:tc>
        <w:tc>
          <w:tcPr>
            <w:tcW w:type="dxa" w:w="2340"/>
          </w:tcPr>
          <w:p>
            <w:pPr>
              <w:spacing w:line="240" w:lineRule="auto" w:after="40" w:before="40"/>
            </w:pPr>
            <w:r>
              <w:rPr>
                <w:rFonts w:ascii="Times New Roman" w:hAnsi="Times New Roman"/>
                <w:sz w:val="18"/>
              </w:rPr>
              <w:t>See below</w:t>
            </w:r>
          </w:p>
        </w:tc>
        <w:tc>
          <w:tcPr>
            <w:tcW w:type="dxa" w:w="2340"/>
          </w:tcPr>
          <w:p>
            <w:pPr>
              <w:spacing w:line="240" w:lineRule="auto" w:after="40" w:before="40"/>
            </w:pPr>
            <w:r>
              <w:rPr>
                <w:rFonts w:ascii="Times New Roman" w:hAnsi="Times New Roman"/>
                <w:sz w:val="18"/>
              </w:rPr>
              <w:t>Eligibility filter, not analysed</w:t>
            </w:r>
          </w:p>
        </w:tc>
      </w:tr>
      <w:tr>
        <w:tc>
          <w:tcPr>
            <w:tcW w:type="dxa" w:w="2340"/>
          </w:tcPr>
          <w:p>
            <w:pPr>
              <w:spacing w:line="240" w:lineRule="auto" w:after="40" w:before="40"/>
            </w:pPr>
            <w:r>
              <w:rPr>
                <w:rFonts w:ascii="Times New Roman" w:hAnsi="Times New Roman"/>
                <w:sz w:val="18"/>
              </w:rPr>
              <w:t>OBJ1–OBJ3</w:t>
            </w:r>
          </w:p>
        </w:tc>
        <w:tc>
          <w:tcPr>
            <w:tcW w:type="dxa" w:w="2340"/>
          </w:tcPr>
          <w:p>
            <w:pPr>
              <w:spacing w:line="240" w:lineRule="auto" w:after="40" w:before="40"/>
            </w:pPr>
            <w:r>
              <w:rPr>
                <w:rFonts w:ascii="Times New Roman" w:hAnsi="Times New Roman"/>
                <w:sz w:val="18"/>
              </w:rPr>
              <w:t>Objective indicators (subsample)</w:t>
            </w:r>
          </w:p>
        </w:tc>
        <w:tc>
          <w:tcPr>
            <w:tcW w:type="dxa" w:w="2340"/>
          </w:tcPr>
          <w:p>
            <w:pPr>
              <w:spacing w:line="240" w:lineRule="auto" w:after="40" w:before="40"/>
            </w:pPr>
            <w:r>
              <w:rPr>
                <w:rFonts w:ascii="Times New Roman" w:hAnsi="Times New Roman"/>
                <w:sz w:val="18"/>
              </w:rPr>
              <w:t>See below</w:t>
            </w:r>
          </w:p>
        </w:tc>
        <w:tc>
          <w:tcPr>
            <w:tcW w:type="dxa" w:w="2340"/>
          </w:tcPr>
          <w:p>
            <w:pPr>
              <w:spacing w:line="240" w:lineRule="auto" w:after="40" w:before="40"/>
            </w:pPr>
            <w:r>
              <w:rPr>
                <w:rFonts w:ascii="Times New Roman" w:hAnsi="Times New Roman"/>
                <w:sz w:val="18"/>
              </w:rPr>
              <w:t>Convergent-validity check on CVCP</w:t>
            </w:r>
          </w:p>
        </w:tc>
      </w:tr>
    </w:tbl>
    <w:p>
      <w:pPr>
        <w:spacing w:line="240" w:lineRule="auto"/>
      </w:pPr>
    </w:p>
    <w:p>
      <w:pPr>
        <w:spacing w:after="120"/>
        <w:ind w:firstLine="0"/>
      </w:pPr>
      <w:r>
        <w:rPr>
          <w:b/>
        </w:rPr>
        <w:t>DTC items (AV).</w:t>
      </w:r>
      <w:r>
        <w:t xml:space="preserve"> DTC1 We use digital tools — mobile apps, spreadsheets or software — to record the quantities we handle. DTC2 Material we handle can be traced back to its source using our records or codes. DTC3 We can exchange records of quantities and quality with our partners electronically.</w:t>
      </w:r>
    </w:p>
    <w:p>
      <w:pPr>
        <w:spacing w:after="120"/>
        <w:ind w:firstLine="0"/>
      </w:pPr>
      <w:r>
        <w:rPr>
          <w:b/>
        </w:rPr>
        <w:t>IS items (AV).</w:t>
      </w:r>
      <w:r>
        <w:t xml:space="preserve"> IS1 Government or industry bodies provide us with useful guidance on reducing losses and using residues. IS2 Training and technical advice on handling and processing residues are available to us. IS3 Financial support or subsidy is available for equipment that would let us process residues.</w:t>
      </w:r>
    </w:p>
    <w:p>
      <w:pPr>
        <w:spacing w:before="120" w:after="120" w:line="360" w:lineRule="auto"/>
        <w:ind w:left="720" w:right="720"/>
      </w:pPr>
      <w:r>
        <w:rPr>
          <w:i/>
        </w:rPr>
        <w:t>**IS2 and IS3 are the double-barrelled items** flagged in Section 5.5 as below threshold and never revised. If they were fielded as written, do not silently drop them. Report their psychometrics, and if IS underperforms, the defensible move is to retain IS1 as a single-item control (institutional support is a control, not a focal construct, and single-item control measures are acceptable) and to disclose the reason. Note this in the limitations.</w:t>
      </w:r>
    </w:p>
    <w:p>
      <w:pPr>
        <w:spacing w:after="120"/>
        <w:ind w:firstLine="0"/>
      </w:pPr>
      <w:r>
        <w:rPr>
          <w:b/>
        </w:rPr>
        <w:t>Marker items.</w:t>
      </w:r>
      <w:r>
        <w:t xml:space="preserve"> Reproduce Miller and Simmering's (2023) attitude-toward-blue items exactly from the published source. Do not paraphrase them: the warrant for using a validated marker comes from administering the validated wording, and rewording forfeits it. MK1 rated below the content-validity threshold and was deliberately not revised — for a marker, low substantive relevance is the qualifying property, not a defect.</w:t>
      </w:r>
    </w:p>
    <w:p>
      <w:pPr>
        <w:spacing w:after="120"/>
        <w:ind w:firstLine="0"/>
      </w:pPr>
      <w:r>
        <w:rPr>
          <w:b/>
        </w:rPr>
        <w:t>Screening items.</w:t>
      </w:r>
      <w:r>
        <w:t xml:space="preserve"> SCR1 Do you keep or supervise records of quantities, costs or sales for this enterprise? (must be </w:t>
      </w:r>
      <w:r>
        <w:rPr>
          <w:i/>
        </w:rPr>
        <w:t>yes</w:t>
      </w:r>
      <w:r>
        <w:t xml:space="preserve">). SCR2 Do you take part in decisions about pricing, or about what happens to material that is not sold as product? (must be </w:t>
      </w:r>
      <w:r>
        <w:rPr>
          <w:i/>
        </w:rPr>
        <w:t>yes</w:t>
      </w:r>
      <w:r>
        <w:t>). SCR3 How many seasons have you held this role? (must be ≥ 3, because the outcome items are framed as change over three seasons). SCR4 Which best describes your enterprise's role in this chain? (assigns TIER and the sampling stratum).</w:t>
      </w:r>
    </w:p>
    <w:p>
      <w:pPr>
        <w:spacing w:after="120"/>
        <w:ind w:firstLine="0"/>
      </w:pPr>
      <w:r>
        <w:rPr>
          <w:b/>
        </w:rPr>
        <w:t>Objective indicators (subsample).</w:t>
      </w:r>
      <w:r>
        <w:t xml:space="preserve"> OBJ1 loss ratio = quantity rejected or lost ÷ quantity taken in, last season, from records. OBJ2 by-product quantity sold and value realised, last season, from records. OBJ3 realised price for the main product ÷ district modal price for the same period. Use these in a convergent-validity check against CVCP (Section 6 step 4). Remember the check is itself conditional: enterprises able to produce records are those with higher accounting capability, so report the subsample's CAC mean against the full sample's.</w:t>
      </w:r>
    </w:p>
    <w:p>
      <w:pPr>
        <w:pStyle w:val="Heading1"/>
      </w:pPr>
      <w:r>
        <w:t>3. Data file layout and preparation</w:t>
      </w:r>
    </w:p>
    <w:p>
      <w:pPr>
        <w:pStyle w:val="Heading2"/>
      </w:pPr>
      <w:r>
        <w:t>3.1 Variable naming</w:t>
      </w:r>
    </w:p>
    <w:p>
      <w:pPr>
        <w:spacing w:after="120"/>
        <w:ind w:firstLine="0"/>
      </w:pPr>
      <w:r>
        <w:t>One row per respondent. Recommended column order and names, which the R script in Section 10 assumes exactly:</w:t>
      </w:r>
    </w:p>
    <w:p>
      <w:pPr>
        <w:spacing w:after="120"/>
        <w:ind w:firstLine="0"/>
      </w:pPr>
      <w:r>
        <w:t>`ID, STRATUM, TIER, SCR1, SCR2, SCR3, SCR4, CAC1..CAC9, CIT1..CIT5, CGQ1..CGQ6, CVCI1..CVCI6, CVCP1..CVCP11, DTC1..DTC3, IS1..IS3, MK1..MK3, SIZE_n, AGE_yr, VOL_t, EDU, AFF, OBJ1, OBJ2_qty, OBJ2_val, OBJ3, ENUM, DUR_min, DATE`</w:t>
      </w:r>
    </w:p>
    <w:p>
      <w:pPr>
        <w:spacing w:after="120"/>
        <w:ind w:firstLine="0"/>
      </w:pPr>
      <w:r>
        <w:t>Derive `SIZE_ln = log(1 + SIZE_n)`, `AGE_ln = log(1 + AGE_yr)`, `VOL_ln = log(1 + VOL_t)` before estimation. Keep `ENUM` (enumerator ID) and `DUR_min` (interview duration) — both are needed for the robustness battery.</w:t>
      </w:r>
    </w:p>
    <w:p>
      <w:pPr>
        <w:pStyle w:val="Heading2"/>
      </w:pPr>
      <w:r>
        <w:t>3.2 Pre-specified cleaning rules</w:t>
      </w:r>
    </w:p>
    <w:p>
      <w:pPr>
        <w:spacing w:after="120"/>
        <w:ind w:firstLine="0"/>
      </w:pPr>
      <w:r>
        <w:t>Apply in this order and report the number of cases removed at each step. The count must reconcile: contacted → screened → completed → analysed.</w:t>
      </w:r>
    </w:p>
    <w:p>
      <w:pPr>
        <w:keepNext/>
        <w:spacing w:before="240" w:line="240" w:lineRule="auto"/>
      </w:pPr>
      <w:r>
        <w:rPr>
          <w:b/>
          <w:sz w:val="20"/>
        </w:rPr>
        <w:t>Table A8. Data cleaning rules and reporting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after="40" w:before="40"/>
            </w:pPr>
            <w:r>
              <w:rPr>
                <w:rFonts w:ascii="Times New Roman" w:hAnsi="Times New Roman"/>
                <w:b/>
                <w:sz w:val="18"/>
              </w:rPr>
              <w:t>Step</w:t>
            </w:r>
          </w:p>
        </w:tc>
        <w:tc>
          <w:tcPr>
            <w:tcW w:type="dxa" w:w="2340"/>
            <w:shd w:val="clear" w:fill="EFEFEF"/>
          </w:tcPr>
          <w:p>
            <w:pPr>
              <w:spacing w:line="240" w:lineRule="auto" w:after="40" w:before="40"/>
            </w:pPr>
            <w:r>
              <w:rPr>
                <w:rFonts w:ascii="Times New Roman" w:hAnsi="Times New Roman"/>
                <w:b/>
                <w:sz w:val="18"/>
              </w:rPr>
              <w:t>Rule</w:t>
            </w:r>
          </w:p>
        </w:tc>
        <w:tc>
          <w:tcPr>
            <w:tcW w:type="dxa" w:w="2340"/>
            <w:shd w:val="clear" w:fill="EFEFEF"/>
          </w:tcPr>
          <w:p>
            <w:pPr>
              <w:spacing w:line="240" w:lineRule="auto" w:after="40" w:before="40"/>
            </w:pPr>
            <w:r>
              <w:rPr>
                <w:rFonts w:ascii="Times New Roman" w:hAnsi="Times New Roman"/>
                <w:b/>
                <w:sz w:val="18"/>
              </w:rPr>
              <w:t>Action</w:t>
            </w:r>
          </w:p>
        </w:tc>
        <w:tc>
          <w:tcPr>
            <w:tcW w:type="dxa" w:w="2340"/>
            <w:shd w:val="clear" w:fill="EFEFEF"/>
          </w:tcPr>
          <w:p>
            <w:pPr>
              <w:spacing w:line="240" w:lineRule="auto" w:after="40" w:before="40"/>
            </w:pPr>
            <w:r>
              <w:rPr>
                <w:rFonts w:ascii="Times New Roman" w:hAnsi="Times New Roman"/>
                <w:b/>
                <w:sz w:val="18"/>
              </w:rPr>
              <w:t>Report</w:t>
            </w:r>
          </w:p>
        </w:tc>
      </w:tr>
      <w:tr>
        <w:tc>
          <w:tcPr>
            <w:tcW w:type="dxa" w:w="2340"/>
          </w:tcPr>
          <w:p>
            <w:pPr>
              <w:spacing w:line="240" w:lineRule="auto" w:after="40" w:before="40"/>
            </w:pPr>
            <w:r>
              <w:rPr>
                <w:rFonts w:ascii="Times New Roman" w:hAnsi="Times New Roman"/>
                <w:sz w:val="18"/>
              </w:rPr>
              <w:t>1</w:t>
            </w:r>
          </w:p>
        </w:tc>
        <w:tc>
          <w:tcPr>
            <w:tcW w:type="dxa" w:w="2340"/>
          </w:tcPr>
          <w:p>
            <w:pPr>
              <w:spacing w:line="240" w:lineRule="auto" w:after="40" w:before="40"/>
            </w:pPr>
            <w:r>
              <w:rPr>
                <w:rFonts w:ascii="Times New Roman" w:hAnsi="Times New Roman"/>
                <w:sz w:val="18"/>
              </w:rPr>
              <w:t>Screening failure (SCR1 = no, or SCR2 = no, or SCR3 &lt; 3)</w:t>
            </w:r>
          </w:p>
        </w:tc>
        <w:tc>
          <w:tcPr>
            <w:tcW w:type="dxa" w:w="2340"/>
          </w:tcPr>
          <w:p>
            <w:pPr>
              <w:spacing w:line="240" w:lineRule="auto" w:after="40" w:before="40"/>
            </w:pPr>
            <w:r>
              <w:rPr>
                <w:rFonts w:ascii="Times New Roman" w:hAnsi="Times New Roman"/>
                <w:sz w:val="18"/>
              </w:rPr>
              <w:t>Exclude</w:t>
            </w:r>
          </w:p>
        </w:tc>
        <w:tc>
          <w:tcPr>
            <w:tcW w:type="dxa" w:w="2340"/>
          </w:tcPr>
          <w:p>
            <w:pPr>
              <w:spacing w:line="240" w:lineRule="auto" w:after="40" w:before="40"/>
            </w:pPr>
            <w:r>
              <w:rPr>
                <w:rFonts w:ascii="Times New Roman" w:hAnsi="Times New Roman"/>
                <w:sz w:val="18"/>
              </w:rPr>
              <w:t>n excluded</w:t>
            </w:r>
          </w:p>
        </w:tc>
      </w:tr>
      <w:tr>
        <w:tc>
          <w:tcPr>
            <w:tcW w:type="dxa" w:w="2340"/>
          </w:tcPr>
          <w:p>
            <w:pPr>
              <w:spacing w:line="240" w:lineRule="auto" w:after="40" w:before="40"/>
            </w:pPr>
            <w:r>
              <w:rPr>
                <w:rFonts w:ascii="Times New Roman" w:hAnsi="Times New Roman"/>
                <w:sz w:val="18"/>
              </w:rPr>
              <w:t>2</w:t>
            </w:r>
          </w:p>
        </w:tc>
        <w:tc>
          <w:tcPr>
            <w:tcW w:type="dxa" w:w="2340"/>
          </w:tcPr>
          <w:p>
            <w:pPr>
              <w:spacing w:line="240" w:lineRule="auto" w:after="40" w:before="40"/>
            </w:pPr>
            <w:r>
              <w:rPr>
                <w:rFonts w:ascii="Times New Roman" w:hAnsi="Times New Roman"/>
                <w:sz w:val="18"/>
              </w:rPr>
              <w:t>Missing data on any focal indicator &gt; 15% of items</w:t>
            </w:r>
          </w:p>
        </w:tc>
        <w:tc>
          <w:tcPr>
            <w:tcW w:type="dxa" w:w="2340"/>
          </w:tcPr>
          <w:p>
            <w:pPr>
              <w:spacing w:line="240" w:lineRule="auto" w:after="40" w:before="40"/>
            </w:pPr>
            <w:r>
              <w:rPr>
                <w:rFonts w:ascii="Times New Roman" w:hAnsi="Times New Roman"/>
                <w:sz w:val="18"/>
              </w:rPr>
              <w:t>Exclude case</w:t>
            </w:r>
          </w:p>
        </w:tc>
        <w:tc>
          <w:tcPr>
            <w:tcW w:type="dxa" w:w="2340"/>
          </w:tcPr>
          <w:p>
            <w:pPr>
              <w:spacing w:line="240" w:lineRule="auto" w:after="40" w:before="40"/>
            </w:pPr>
            <w:r>
              <w:rPr>
                <w:rFonts w:ascii="Times New Roman" w:hAnsi="Times New Roman"/>
                <w:sz w:val="18"/>
              </w:rPr>
              <w:t>n excluded</w:t>
            </w:r>
          </w:p>
        </w:tc>
      </w:tr>
      <w:tr>
        <w:tc>
          <w:tcPr>
            <w:tcW w:type="dxa" w:w="2340"/>
          </w:tcPr>
          <w:p>
            <w:pPr>
              <w:spacing w:line="240" w:lineRule="auto" w:after="40" w:before="40"/>
            </w:pPr>
            <w:r>
              <w:rPr>
                <w:rFonts w:ascii="Times New Roman" w:hAnsi="Times New Roman"/>
                <w:sz w:val="18"/>
              </w:rPr>
              <w:t>3</w:t>
            </w:r>
          </w:p>
        </w:tc>
        <w:tc>
          <w:tcPr>
            <w:tcW w:type="dxa" w:w="2340"/>
          </w:tcPr>
          <w:p>
            <w:pPr>
              <w:spacing w:line="240" w:lineRule="auto" w:after="40" w:before="40"/>
            </w:pPr>
            <w:r>
              <w:rPr>
                <w:rFonts w:ascii="Times New Roman" w:hAnsi="Times New Roman"/>
                <w:sz w:val="18"/>
              </w:rPr>
              <w:t>Missing data ≤ 15%</w:t>
            </w:r>
          </w:p>
        </w:tc>
        <w:tc>
          <w:tcPr>
            <w:tcW w:type="dxa" w:w="2340"/>
          </w:tcPr>
          <w:p>
            <w:pPr>
              <w:spacing w:line="240" w:lineRule="auto" w:after="40" w:before="40"/>
            </w:pPr>
            <w:r>
              <w:rPr>
                <w:rFonts w:ascii="Times New Roman" w:hAnsi="Times New Roman"/>
                <w:sz w:val="18"/>
              </w:rPr>
              <w:t xml:space="preserve">Mean replacement is acceptable in PLS-SEM; </w:t>
            </w:r>
            <w:r>
              <w:rPr>
                <w:rFonts w:ascii="Times New Roman" w:hAnsi="Times New Roman"/>
                <w:b/>
                <w:sz w:val="18"/>
              </w:rPr>
              <w:t>report the proportion of replaced values</w:t>
            </w:r>
          </w:p>
        </w:tc>
        <w:tc>
          <w:tcPr>
            <w:tcW w:type="dxa" w:w="2340"/>
          </w:tcPr>
          <w:p>
            <w:pPr>
              <w:spacing w:line="240" w:lineRule="auto" w:after="40" w:before="40"/>
            </w:pPr>
            <w:r>
              <w:rPr>
                <w:rFonts w:ascii="Times New Roman" w:hAnsi="Times New Roman"/>
                <w:sz w:val="18"/>
              </w:rPr>
              <w:t>% replaced</w:t>
            </w:r>
          </w:p>
        </w:tc>
      </w:tr>
      <w:tr>
        <w:tc>
          <w:tcPr>
            <w:tcW w:type="dxa" w:w="2340"/>
          </w:tcPr>
          <w:p>
            <w:pPr>
              <w:spacing w:line="240" w:lineRule="auto" w:after="40" w:before="40"/>
            </w:pPr>
            <w:r>
              <w:rPr>
                <w:rFonts w:ascii="Times New Roman" w:hAnsi="Times New Roman"/>
                <w:sz w:val="18"/>
              </w:rPr>
              <w:t>4</w:t>
            </w:r>
          </w:p>
        </w:tc>
        <w:tc>
          <w:tcPr>
            <w:tcW w:type="dxa" w:w="2340"/>
          </w:tcPr>
          <w:p>
            <w:pPr>
              <w:spacing w:line="240" w:lineRule="auto" w:after="40" w:before="40"/>
            </w:pPr>
            <w:r>
              <w:rPr>
                <w:rFonts w:ascii="Times New Roman" w:hAnsi="Times New Roman"/>
                <w:sz w:val="18"/>
              </w:rPr>
              <w:t>Straight-lining: identical response across all 37 focal items</w:t>
            </w:r>
          </w:p>
        </w:tc>
        <w:tc>
          <w:tcPr>
            <w:tcW w:type="dxa" w:w="2340"/>
          </w:tcPr>
          <w:p>
            <w:pPr>
              <w:spacing w:line="240" w:lineRule="auto" w:after="40" w:before="40"/>
            </w:pPr>
            <w:r>
              <w:rPr>
                <w:rFonts w:ascii="Times New Roman" w:hAnsi="Times New Roman"/>
                <w:sz w:val="18"/>
              </w:rPr>
              <w:t>Exclude</w:t>
            </w:r>
          </w:p>
        </w:tc>
        <w:tc>
          <w:tcPr>
            <w:tcW w:type="dxa" w:w="2340"/>
          </w:tcPr>
          <w:p>
            <w:pPr>
              <w:spacing w:line="240" w:lineRule="auto" w:after="40" w:before="40"/>
            </w:pPr>
            <w:r>
              <w:rPr>
                <w:rFonts w:ascii="Times New Roman" w:hAnsi="Times New Roman"/>
                <w:sz w:val="18"/>
              </w:rPr>
              <w:t>n excluded</w:t>
            </w:r>
          </w:p>
        </w:tc>
      </w:tr>
      <w:tr>
        <w:tc>
          <w:tcPr>
            <w:tcW w:type="dxa" w:w="2340"/>
          </w:tcPr>
          <w:p>
            <w:pPr>
              <w:spacing w:line="240" w:lineRule="auto" w:after="40" w:before="40"/>
            </w:pPr>
            <w:r>
              <w:rPr>
                <w:rFonts w:ascii="Times New Roman" w:hAnsi="Times New Roman"/>
                <w:sz w:val="18"/>
              </w:rPr>
              <w:t>5</w:t>
            </w:r>
          </w:p>
        </w:tc>
        <w:tc>
          <w:tcPr>
            <w:tcW w:type="dxa" w:w="2340"/>
          </w:tcPr>
          <w:p>
            <w:pPr>
              <w:spacing w:line="240" w:lineRule="auto" w:after="40" w:before="40"/>
            </w:pPr>
            <w:r>
              <w:rPr>
                <w:rFonts w:ascii="Times New Roman" w:hAnsi="Times New Roman"/>
                <w:sz w:val="18"/>
              </w:rPr>
              <w:t>Long-string: identical response across ≥ 10 consecutive items</w:t>
            </w:r>
          </w:p>
        </w:tc>
        <w:tc>
          <w:tcPr>
            <w:tcW w:type="dxa" w:w="2340"/>
          </w:tcPr>
          <w:p>
            <w:pPr>
              <w:spacing w:line="240" w:lineRule="auto" w:after="40" w:before="40"/>
            </w:pPr>
            <w:r>
              <w:rPr>
                <w:rFonts w:ascii="Times New Roman" w:hAnsi="Times New Roman"/>
                <w:sz w:val="18"/>
              </w:rPr>
              <w:t>Flag, retain, test sensitivity</w:t>
            </w:r>
          </w:p>
        </w:tc>
        <w:tc>
          <w:tcPr>
            <w:tcW w:type="dxa" w:w="2340"/>
          </w:tcPr>
          <w:p>
            <w:pPr>
              <w:spacing w:line="240" w:lineRule="auto" w:after="40" w:before="40"/>
            </w:pPr>
            <w:r>
              <w:rPr>
                <w:rFonts w:ascii="Times New Roman" w:hAnsi="Times New Roman"/>
                <w:sz w:val="18"/>
              </w:rPr>
              <w:t>n flagged</w:t>
            </w:r>
          </w:p>
        </w:tc>
      </w:tr>
      <w:tr>
        <w:tc>
          <w:tcPr>
            <w:tcW w:type="dxa" w:w="2340"/>
          </w:tcPr>
          <w:p>
            <w:pPr>
              <w:spacing w:line="240" w:lineRule="auto" w:after="40" w:before="40"/>
            </w:pPr>
            <w:r>
              <w:rPr>
                <w:rFonts w:ascii="Times New Roman" w:hAnsi="Times New Roman"/>
                <w:sz w:val="18"/>
              </w:rPr>
              <w:t>6</w:t>
            </w:r>
          </w:p>
        </w:tc>
        <w:tc>
          <w:tcPr>
            <w:tcW w:type="dxa" w:w="2340"/>
          </w:tcPr>
          <w:p>
            <w:pPr>
              <w:spacing w:line="240" w:lineRule="auto" w:after="40" w:before="40"/>
            </w:pPr>
            <w:r>
              <w:rPr>
                <w:rFonts w:ascii="Times New Roman" w:hAnsi="Times New Roman"/>
                <w:sz w:val="18"/>
              </w:rPr>
              <w:t>Interview duration below the 5th percentile</w:t>
            </w:r>
          </w:p>
        </w:tc>
        <w:tc>
          <w:tcPr>
            <w:tcW w:type="dxa" w:w="2340"/>
          </w:tcPr>
          <w:p>
            <w:pPr>
              <w:spacing w:line="240" w:lineRule="auto" w:after="40" w:before="40"/>
            </w:pPr>
            <w:r>
              <w:rPr>
                <w:rFonts w:ascii="Times New Roman" w:hAnsi="Times New Roman"/>
                <w:sz w:val="18"/>
              </w:rPr>
              <w:t>Flag, retain, test sensitivity</w:t>
            </w:r>
          </w:p>
        </w:tc>
        <w:tc>
          <w:tcPr>
            <w:tcW w:type="dxa" w:w="2340"/>
          </w:tcPr>
          <w:p>
            <w:pPr>
              <w:spacing w:line="240" w:lineRule="auto" w:after="40" w:before="40"/>
            </w:pPr>
            <w:r>
              <w:rPr>
                <w:rFonts w:ascii="Times New Roman" w:hAnsi="Times New Roman"/>
                <w:sz w:val="18"/>
              </w:rPr>
              <w:t>n flagged</w:t>
            </w:r>
          </w:p>
        </w:tc>
      </w:tr>
      <w:tr>
        <w:tc>
          <w:tcPr>
            <w:tcW w:type="dxa" w:w="2340"/>
          </w:tcPr>
          <w:p>
            <w:pPr>
              <w:spacing w:line="240" w:lineRule="auto" w:after="40" w:before="40"/>
            </w:pPr>
            <w:r>
              <w:rPr>
                <w:rFonts w:ascii="Times New Roman" w:hAnsi="Times New Roman"/>
                <w:sz w:val="18"/>
              </w:rPr>
              <w:t>7</w:t>
            </w:r>
          </w:p>
        </w:tc>
        <w:tc>
          <w:tcPr>
            <w:tcW w:type="dxa" w:w="2340"/>
          </w:tcPr>
          <w:p>
            <w:pPr>
              <w:spacing w:line="240" w:lineRule="auto" w:after="40" w:before="40"/>
            </w:pPr>
            <w:r>
              <w:rPr>
                <w:rFonts w:ascii="Times New Roman" w:hAnsi="Times New Roman"/>
                <w:sz w:val="18"/>
              </w:rPr>
              <w:t>Enumerator effects</w:t>
            </w:r>
          </w:p>
        </w:tc>
        <w:tc>
          <w:tcPr>
            <w:tcW w:type="dxa" w:w="2340"/>
          </w:tcPr>
          <w:p>
            <w:pPr>
              <w:spacing w:line="240" w:lineRule="auto" w:after="40" w:before="40"/>
            </w:pPr>
            <w:r>
              <w:rPr>
                <w:rFonts w:ascii="Times New Roman" w:hAnsi="Times New Roman"/>
                <w:sz w:val="18"/>
              </w:rPr>
              <w:t>Retain; test ICC by enumerator on each construct in the robustness battery</w:t>
            </w:r>
          </w:p>
        </w:tc>
        <w:tc>
          <w:tcPr>
            <w:tcW w:type="dxa" w:w="2340"/>
          </w:tcPr>
          <w:p>
            <w:pPr>
              <w:spacing w:line="240" w:lineRule="auto" w:after="40" w:before="40"/>
            </w:pPr>
            <w:r>
              <w:rPr>
                <w:rFonts w:ascii="Times New Roman" w:hAnsi="Times New Roman"/>
                <w:sz w:val="18"/>
              </w:rPr>
              <w:t>ICC per construct</w:t>
            </w:r>
          </w:p>
        </w:tc>
      </w:tr>
      <w:tr>
        <w:tc>
          <w:tcPr>
            <w:tcW w:type="dxa" w:w="2340"/>
          </w:tcPr>
          <w:p>
            <w:pPr>
              <w:spacing w:line="240" w:lineRule="auto" w:after="40" w:before="40"/>
            </w:pPr>
            <w:r>
              <w:rPr>
                <w:rFonts w:ascii="Times New Roman" w:hAnsi="Times New Roman"/>
                <w:sz w:val="18"/>
              </w:rPr>
              <w:t>8</w:t>
            </w:r>
          </w:p>
        </w:tc>
        <w:tc>
          <w:tcPr>
            <w:tcW w:type="dxa" w:w="2340"/>
          </w:tcPr>
          <w:p>
            <w:pPr>
              <w:spacing w:line="240" w:lineRule="auto" w:after="40" w:before="40"/>
            </w:pPr>
            <w:r>
              <w:rPr>
                <w:rFonts w:ascii="Times New Roman" w:hAnsi="Times New Roman"/>
                <w:sz w:val="18"/>
              </w:rPr>
              <w:t>Multivariate outliers (Mahalanobis D², p &lt; .001 on the 37 focal items)</w:t>
            </w:r>
          </w:p>
        </w:tc>
        <w:tc>
          <w:tcPr>
            <w:tcW w:type="dxa" w:w="2340"/>
          </w:tcPr>
          <w:p>
            <w:pPr>
              <w:spacing w:line="240" w:lineRule="auto" w:after="40" w:before="40"/>
            </w:pPr>
            <w:r>
              <w:rPr>
                <w:rFonts w:ascii="Times New Roman" w:hAnsi="Times New Roman"/>
                <w:sz w:val="18"/>
              </w:rPr>
              <w:t>Retain; re-estimate without them as a robustness check</w:t>
            </w:r>
          </w:p>
        </w:tc>
        <w:tc>
          <w:tcPr>
            <w:tcW w:type="dxa" w:w="2340"/>
          </w:tcPr>
          <w:p>
            <w:pPr>
              <w:spacing w:line="240" w:lineRule="auto" w:after="40" w:before="40"/>
            </w:pPr>
            <w:r>
              <w:rPr>
                <w:rFonts w:ascii="Times New Roman" w:hAnsi="Times New Roman"/>
                <w:sz w:val="18"/>
              </w:rPr>
              <w:t>n identified</w:t>
            </w:r>
          </w:p>
        </w:tc>
      </w:tr>
    </w:tbl>
    <w:p>
      <w:pPr>
        <w:spacing w:line="240" w:lineRule="auto"/>
      </w:pPr>
    </w:p>
    <w:p>
      <w:pPr>
        <w:spacing w:after="120"/>
        <w:ind w:firstLine="0"/>
      </w:pPr>
      <w:r>
        <w:t xml:space="preserve">Steps 5, 6 and 8 are </w:t>
      </w:r>
      <w:r>
        <w:rPr>
          <w:b/>
        </w:rPr>
        <w:t>flag-and-test</w:t>
      </w:r>
      <w:r>
        <w:t>, not delete. Deleting flagged cases without reporting the sensitivity analysis is the single most common source of an undisclosed specification search in this literature.</w:t>
      </w:r>
    </w:p>
    <w:p>
      <w:pPr>
        <w:pStyle w:val="Heading2"/>
      </w:pPr>
      <w:r>
        <w:t>3.3 Descriptives to report before the measurement model</w:t>
      </w:r>
    </w:p>
    <w:p>
      <w:pPr>
        <w:spacing w:after="120"/>
        <w:ind w:firstLine="0"/>
      </w:pPr>
      <w:r>
        <w:t xml:space="preserve">Per item: n, mean, SD, skewness, kurtosis, % at floor (1), % at ceiling (7). Per construct: mean, SD, and mean by stratum. </w:t>
      </w:r>
      <w:r>
        <w:rPr>
          <w:b/>
        </w:rPr>
        <w:t>Check CGQ's dispersion specifically.</w:t>
      </w:r>
      <w:r>
        <w:t xml:space="preserve"> The entire design rests on the claim that governance quality varies widely within this single network and regulatory environment. If CGQ's SD is small or its distribution is bimodal by affiliation only, the interaction will be hard to detect and you need to say so before reporting a null. Report the CGQ standard deviation and its range in the sample-profile table — it is direct evidence for the setting's suitability, and reviewers will look for it.</w:t>
      </w:r>
    </w:p>
    <w:p>
      <w:pPr>
        <w:pStyle w:val="Heading1"/>
      </w:pPr>
      <w:r>
        <w:t>4. Model specification</w:t>
      </w:r>
    </w:p>
    <w:p>
      <w:pPr>
        <w:pStyle w:val="Heading2"/>
      </w:pPr>
      <w:r>
        <w:t>4.1 The two higher-order constructs: disjoint two-stage</w:t>
      </w:r>
    </w:p>
    <w:p>
      <w:pPr>
        <w:spacing w:after="120"/>
        <w:ind w:firstLine="0"/>
      </w:pPr>
      <w:r>
        <w:t xml:space="preserve">Follow Sarstedt et al. (2019). Do </w:t>
      </w:r>
      <w:r>
        <w:rPr>
          <w:b/>
        </w:rPr>
        <w:t>not</w:t>
      </w:r>
      <w:r>
        <w:t xml:space="preserve"> use the repeated-indicators approach: it biases the HOC paths when the numbers of indicators across dimensions are unequal, which they are here (3/3/3 for CAC is balanced but 4/4/3 for CVCP is not).</w:t>
      </w:r>
    </w:p>
    <w:p>
      <w:pPr>
        <w:spacing w:after="120"/>
        <w:ind w:firstLine="0"/>
      </w:pPr>
      <w:r>
        <w:rPr>
          <w:b/>
        </w:rPr>
        <w:t>Stage 1.</w:t>
      </w:r>
      <w:r>
        <w:t xml:space="preserve"> Estimate a model in which the six lower-order constructs appear in the structural positions their higher-order construct occupies, all as Mode A composites. Save the construct scores.</w:t>
      </w:r>
    </w:p>
    <w:p>
      <w:pPr>
        <w:pStyle w:val="ListBullet"/>
        <w:spacing w:line="480" w:lineRule="auto"/>
      </w:pPr>
      <w:r>
        <w:t>CAC lower-order: `CAC_MEA` = CAC1–CAC3, `CAC_COST` = CAC4–CAC6, `CAC_VAL` = CAC7–CAC9</w:t>
      </w:r>
    </w:p>
    <w:p>
      <w:pPr>
        <w:pStyle w:val="ListBullet"/>
        <w:spacing w:line="480" w:lineRule="auto"/>
      </w:pPr>
      <w:r>
        <w:t>CVCP lower-order: `CVCP_ECO` = CVCP1–CVCP4, `CVCP_ENV` = CVCP5–CVCP8, `CVCP_SOC` = CVCP9–CVCP11</w:t>
      </w:r>
    </w:p>
    <w:p>
      <w:pPr>
        <w:pStyle w:val="ListBullet"/>
        <w:spacing w:line="480" w:lineRule="auto"/>
      </w:pPr>
      <w:r>
        <w:t>CIT, CGQ, CVCI, DTC, IS keep their own indicators in both stages</w:t>
      </w:r>
    </w:p>
    <w:p>
      <w:pPr>
        <w:spacing w:after="120"/>
        <w:ind w:firstLine="0"/>
      </w:pPr>
      <w:r>
        <w:rPr>
          <w:b/>
        </w:rPr>
        <w:t>Stage 2.</w:t>
      </w:r>
      <w:r>
        <w:t xml:space="preserve"> `CAC` becomes a Mode B composite of the three CAC lower-order scores; `CVCP` becomes a Mode B composite of the three CVCP lower-order scores. All other constructs retain their original indicators.</w:t>
      </w:r>
    </w:p>
    <w:p>
      <w:pPr>
        <w:pStyle w:val="Heading2"/>
      </w:pPr>
      <w:r>
        <w:t>4.2 The latent interaction</w:t>
      </w:r>
    </w:p>
    <w:p>
      <w:pPr>
        <w:spacing w:after="120"/>
        <w:ind w:firstLine="0"/>
      </w:pPr>
      <w:r>
        <w:t xml:space="preserve">Use the </w:t>
      </w:r>
      <w:r>
        <w:rPr>
          <w:b/>
        </w:rPr>
        <w:t>two-stage approach</w:t>
      </w:r>
      <w:r>
        <w:t xml:space="preserve"> for CIT × CGQ (not product-indicator, which multiplies the indicator count and is sensitive to indicator counts differing between the two constructs — 5 and 6 here). Standardise CIT and CGQ before forming the product so that the interaction coefficient is interpretable and the main effects remain the effects at the mean.</w:t>
      </w:r>
    </w:p>
    <w:p>
      <w:pPr>
        <w:spacing w:after="120"/>
        <w:ind w:firstLine="0"/>
      </w:pPr>
      <w:r>
        <w:t xml:space="preserve">Report the interaction effect size </w:t>
      </w:r>
      <w:r>
        <w:rPr>
          <w:i/>
        </w:rPr>
        <w:t>f²</w:t>
      </w:r>
      <w:r>
        <w:t xml:space="preserve"> against </w:t>
      </w:r>
      <w:r>
        <w:rPr>
          <w:b/>
        </w:rPr>
        <w:t>interaction-specific benchmarks of 0.005, 0.01 and 0.025</w:t>
      </w:r>
      <w:r>
        <w:t>, not Cohen's 0.02/0.15/0.35. This is pre-specified in Table 8 of the manuscript and it matters: a genuine conditional effect judged on Cohen's benchmarks will look trivial and a reviewer may say so.</w:t>
      </w:r>
    </w:p>
    <w:p>
      <w:pPr>
        <w:pStyle w:val="Heading2"/>
      </w:pPr>
      <w:r>
        <w:t>4.3 Controls and why network position is not one of them</w:t>
      </w:r>
    </w:p>
    <w:p>
      <w:pPr>
        <w:spacing w:after="120"/>
        <w:ind w:firstLine="0"/>
      </w:pPr>
      <w:r>
        <w:t xml:space="preserve">Predictors on CVCI must number </w:t>
      </w:r>
      <w:r>
        <w:rPr>
          <w:b/>
        </w:rPr>
        <w:t>11</w:t>
      </w:r>
      <w:r>
        <w:t>, because the a-priori power analysis (Approach A, Table 6) was computed for 11 predictors on the focal endogenous construct. Preserving that is what keeps the reported power claim honest.</w:t>
      </w:r>
    </w:p>
    <w:p>
      <w:pPr>
        <w:pStyle w:val="ListBullet"/>
        <w:spacing w:line="480" w:lineRule="auto"/>
      </w:pPr>
      <w:r>
        <w:t>4 focal: CIT, CAC, CGQ, CIT × CGQ</w:t>
      </w:r>
    </w:p>
    <w:p>
      <w:pPr>
        <w:pStyle w:val="ListBullet"/>
        <w:spacing w:line="480" w:lineRule="auto"/>
      </w:pPr>
      <w:r>
        <w:t>7 single-degree-of-freedom controls: DTC, IS, SIZE_ln, AGE_ln, VOL_ln, EDU, AFF</w:t>
      </w:r>
    </w:p>
    <w:p>
      <w:pPr>
        <w:spacing w:after="120"/>
        <w:ind w:firstLine="0"/>
      </w:pPr>
      <w:r>
        <w:t xml:space="preserve">Network position (TIER) is therefore </w:t>
      </w:r>
      <w:r>
        <w:rPr>
          <w:b/>
        </w:rPr>
        <w:t>not</w:t>
      </w:r>
      <w:r>
        <w:t xml:space="preserve"> entered as a covariate. Dummy-coding four tiers would add three degrees of freedom to an interaction model powered for eleven predictors, and position is in any case a stratification variable rather than a confounder to be partialled out. It is handled through multi-group analysis, which is what the manuscript already specifies. State this reasoning in the methods section — pre-specified and justified is very different from omitted.</w:t>
      </w:r>
    </w:p>
    <w:p>
      <w:pPr>
        <w:pStyle w:val="Heading2"/>
      </w:pPr>
      <w:r>
        <w:t>4.4 The estimated structural equations</w:t>
      </w:r>
    </w:p>
    <w:p>
      <w:pPr>
        <w:spacing w:after="120"/>
        <w:ind w:firstLine="0"/>
      </w:pPr>
      <w:r>
        <w:t>Write these into the manuscript; reviewers in this journal expect them.</w:t>
      </w:r>
    </w:p>
    <w:p>
      <w:pPr>
        <w:pStyle w:val="ListBullet"/>
        <w:spacing w:line="480" w:lineRule="auto"/>
      </w:pPr>
      <w:r>
        <w:rPr>
          <w:b/>
        </w:rPr>
        <w:t>(1)</w:t>
      </w:r>
      <w:r>
        <w:t xml:space="preserve"> CIT = β₁·CAC + γ₁ᵈ·DTC + γ₁ⁱ·IS + γ₁ˢ·SIZE_ln + γ₁ᵃ·AGE_ln + γ₁ᵛ·VOL_ln + γ₁ᵉ·EDU + γ₁ᶠ·AFF + ζ₁</w:t>
      </w:r>
    </w:p>
    <w:p>
      <w:pPr>
        <w:pStyle w:val="ListBullet"/>
        <w:spacing w:line="480" w:lineRule="auto"/>
      </w:pPr>
      <w:r>
        <w:rPr>
          <w:b/>
        </w:rPr>
        <w:t>(2)</w:t>
      </w:r>
      <w:r>
        <w:t xml:space="preserve"> CVCI = β₂·CIT + β₄·CAC + β₆ₐ·CGQ + β₆♭·(CIT × CGQ) + γ₂·(7 controls) + ζ₂</w:t>
      </w:r>
    </w:p>
    <w:p>
      <w:pPr>
        <w:pStyle w:val="ListBullet"/>
        <w:spacing w:line="480" w:lineRule="auto"/>
      </w:pPr>
      <w:r>
        <w:rPr>
          <w:b/>
        </w:rPr>
        <w:t>(3)</w:t>
      </w:r>
      <w:r>
        <w:t xml:space="preserve"> CVCP = β₃·CVCI + β₅·CIT + γ₃·(7 controls) + ζ₃</w:t>
      </w:r>
    </w:p>
    <w:p>
      <w:pPr>
        <w:spacing w:after="120"/>
        <w:ind w:firstLine="0"/>
      </w:pPr>
      <w:r>
        <w:rPr>
          <w:b/>
        </w:rPr>
        <w:t>No path is specified from CAC to CVCP.</w:t>
      </w:r>
      <w:r>
        <w:t xml:space="preserve"> That is deliberate and it is what makes H9 a clean claim: accounting's effect on circular value creation is entirely indirect. Do not add the direct path "to see whether it is significant" — if you estimate it, you must report it and the theoretical claim changes.</w:t>
      </w:r>
    </w:p>
    <w:p>
      <w:pPr>
        <w:keepNext/>
        <w:spacing w:before="240" w:line="240" w:lineRule="auto"/>
      </w:pPr>
      <w:r>
        <w:rPr>
          <w:b/>
          <w:sz w:val="20"/>
        </w:rPr>
        <w:t>Table A9. Hypothesis-to-parameter map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FEFEF"/>
          </w:tcPr>
          <w:p>
            <w:pPr>
              <w:spacing w:line="240" w:lineRule="auto" w:after="40" w:before="40"/>
            </w:pPr>
            <w:r>
              <w:rPr>
                <w:rFonts w:ascii="Times New Roman" w:hAnsi="Times New Roman"/>
                <w:b/>
                <w:sz w:val="18"/>
              </w:rPr>
              <w:t>Hypothesis</w:t>
            </w:r>
          </w:p>
        </w:tc>
        <w:tc>
          <w:tcPr>
            <w:tcW w:type="dxa" w:w="1872"/>
            <w:shd w:val="clear" w:fill="EFEFEF"/>
          </w:tcPr>
          <w:p>
            <w:pPr>
              <w:spacing w:line="240" w:lineRule="auto" w:after="40" w:before="40"/>
            </w:pPr>
            <w:r>
              <w:rPr>
                <w:rFonts w:ascii="Times New Roman" w:hAnsi="Times New Roman"/>
                <w:b/>
                <w:sz w:val="18"/>
              </w:rPr>
              <w:t>Parameter</w:t>
            </w:r>
          </w:p>
        </w:tc>
        <w:tc>
          <w:tcPr>
            <w:tcW w:type="dxa" w:w="1872"/>
            <w:shd w:val="clear" w:fill="EFEFEF"/>
          </w:tcPr>
          <w:p>
            <w:pPr>
              <w:spacing w:line="240" w:lineRule="auto" w:after="40" w:before="40"/>
            </w:pPr>
            <w:r>
              <w:rPr>
                <w:rFonts w:ascii="Times New Roman" w:hAnsi="Times New Roman"/>
                <w:b/>
                <w:sz w:val="18"/>
              </w:rPr>
              <w:t>Equation</w:t>
            </w:r>
          </w:p>
        </w:tc>
        <w:tc>
          <w:tcPr>
            <w:tcW w:type="dxa" w:w="1872"/>
            <w:shd w:val="clear" w:fill="EFEFEF"/>
          </w:tcPr>
          <w:p>
            <w:pPr>
              <w:spacing w:line="240" w:lineRule="auto" w:after="40" w:before="40"/>
            </w:pPr>
            <w:r>
              <w:rPr>
                <w:rFonts w:ascii="Times New Roman" w:hAnsi="Times New Roman"/>
                <w:b/>
                <w:sz w:val="18"/>
              </w:rPr>
              <w:t>Expected</w:t>
            </w:r>
          </w:p>
        </w:tc>
        <w:tc>
          <w:tcPr>
            <w:tcW w:type="dxa" w:w="1872"/>
            <w:shd w:val="clear" w:fill="EFEFEF"/>
          </w:tcPr>
          <w:p>
            <w:pPr>
              <w:spacing w:line="240" w:lineRule="auto" w:after="40" w:before="40"/>
            </w:pPr>
            <w:r>
              <w:rPr>
                <w:rFonts w:ascii="Times New Roman" w:hAnsi="Times New Roman"/>
                <w:b/>
                <w:sz w:val="18"/>
              </w:rPr>
              <w:t>Decision rule</w:t>
            </w:r>
          </w:p>
        </w:tc>
      </w:tr>
      <w:tr>
        <w:tc>
          <w:tcPr>
            <w:tcW w:type="dxa" w:w="1872"/>
          </w:tcPr>
          <w:p>
            <w:pPr>
              <w:spacing w:line="240" w:lineRule="auto" w:after="40" w:before="40"/>
            </w:pPr>
            <w:r>
              <w:rPr>
                <w:rFonts w:ascii="Times New Roman" w:hAnsi="Times New Roman"/>
                <w:sz w:val="18"/>
              </w:rPr>
              <w:t>H1</w:t>
            </w:r>
          </w:p>
        </w:tc>
        <w:tc>
          <w:tcPr>
            <w:tcW w:type="dxa" w:w="1872"/>
          </w:tcPr>
          <w:p>
            <w:pPr>
              <w:spacing w:line="240" w:lineRule="auto" w:after="40" w:before="40"/>
            </w:pPr>
            <w:r>
              <w:rPr>
                <w:rFonts w:ascii="Times New Roman" w:hAnsi="Times New Roman"/>
                <w:sz w:val="18"/>
              </w:rPr>
              <w:t>β₁</w:t>
            </w:r>
          </w:p>
        </w:tc>
        <w:tc>
          <w:tcPr>
            <w:tcW w:type="dxa" w:w="1872"/>
          </w:tcPr>
          <w:p>
            <w:pPr>
              <w:spacing w:line="240" w:lineRule="auto" w:after="40" w:before="40"/>
            </w:pPr>
            <w:r>
              <w:rPr>
                <w:rFonts w:ascii="Times New Roman" w:hAnsi="Times New Roman"/>
                <w:sz w:val="18"/>
              </w:rPr>
              <w:t>(1)</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Bootstrap 95% CI excludes zero, positive</w:t>
            </w:r>
          </w:p>
        </w:tc>
      </w:tr>
      <w:tr>
        <w:tc>
          <w:tcPr>
            <w:tcW w:type="dxa" w:w="1872"/>
          </w:tcPr>
          <w:p>
            <w:pPr>
              <w:spacing w:line="240" w:lineRule="auto" w:after="40" w:before="40"/>
            </w:pPr>
            <w:r>
              <w:rPr>
                <w:rFonts w:ascii="Times New Roman" w:hAnsi="Times New Roman"/>
                <w:sz w:val="18"/>
              </w:rPr>
              <w:t>H2</w:t>
            </w:r>
          </w:p>
        </w:tc>
        <w:tc>
          <w:tcPr>
            <w:tcW w:type="dxa" w:w="1872"/>
          </w:tcPr>
          <w:p>
            <w:pPr>
              <w:spacing w:line="240" w:lineRule="auto" w:after="40" w:before="40"/>
            </w:pPr>
            <w:r>
              <w:rPr>
                <w:rFonts w:ascii="Times New Roman" w:hAnsi="Times New Roman"/>
                <w:sz w:val="18"/>
              </w:rPr>
              <w:t>β₂</w:t>
            </w:r>
          </w:p>
        </w:tc>
        <w:tc>
          <w:tcPr>
            <w:tcW w:type="dxa" w:w="1872"/>
          </w:tcPr>
          <w:p>
            <w:pPr>
              <w:spacing w:line="240" w:lineRule="auto" w:after="40" w:before="40"/>
            </w:pPr>
            <w:r>
              <w:rPr>
                <w:rFonts w:ascii="Times New Roman" w:hAnsi="Times New Roman"/>
                <w:sz w:val="18"/>
              </w:rPr>
              <w:t>(2)</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Bootstrap 95% CI excludes zero, positive</w:t>
            </w:r>
          </w:p>
        </w:tc>
      </w:tr>
      <w:tr>
        <w:tc>
          <w:tcPr>
            <w:tcW w:type="dxa" w:w="1872"/>
          </w:tcPr>
          <w:p>
            <w:pPr>
              <w:spacing w:line="240" w:lineRule="auto" w:after="40" w:before="40"/>
            </w:pPr>
            <w:r>
              <w:rPr>
                <w:rFonts w:ascii="Times New Roman" w:hAnsi="Times New Roman"/>
                <w:sz w:val="18"/>
              </w:rPr>
              <w:t>H3</w:t>
            </w:r>
          </w:p>
        </w:tc>
        <w:tc>
          <w:tcPr>
            <w:tcW w:type="dxa" w:w="1872"/>
          </w:tcPr>
          <w:p>
            <w:pPr>
              <w:spacing w:line="240" w:lineRule="auto" w:after="40" w:before="40"/>
            </w:pPr>
            <w:r>
              <w:rPr>
                <w:rFonts w:ascii="Times New Roman" w:hAnsi="Times New Roman"/>
                <w:sz w:val="18"/>
              </w:rPr>
              <w:t>β₃</w:t>
            </w:r>
          </w:p>
        </w:tc>
        <w:tc>
          <w:tcPr>
            <w:tcW w:type="dxa" w:w="1872"/>
          </w:tcPr>
          <w:p>
            <w:pPr>
              <w:spacing w:line="240" w:lineRule="auto" w:after="40" w:before="40"/>
            </w:pPr>
            <w:r>
              <w:rPr>
                <w:rFonts w:ascii="Times New Roman" w:hAnsi="Times New Roman"/>
                <w:sz w:val="18"/>
              </w:rPr>
              <w:t>(3)</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Bootstrap 95% CI excludes zero, positive</w:t>
            </w:r>
          </w:p>
        </w:tc>
      </w:tr>
      <w:tr>
        <w:tc>
          <w:tcPr>
            <w:tcW w:type="dxa" w:w="1872"/>
          </w:tcPr>
          <w:p>
            <w:pPr>
              <w:spacing w:line="240" w:lineRule="auto" w:after="40" w:before="40"/>
            </w:pPr>
            <w:r>
              <w:rPr>
                <w:rFonts w:ascii="Times New Roman" w:hAnsi="Times New Roman"/>
                <w:sz w:val="18"/>
              </w:rPr>
              <w:t>H4</w:t>
            </w:r>
          </w:p>
        </w:tc>
        <w:tc>
          <w:tcPr>
            <w:tcW w:type="dxa" w:w="1872"/>
          </w:tcPr>
          <w:p>
            <w:pPr>
              <w:spacing w:line="240" w:lineRule="auto" w:after="40" w:before="40"/>
            </w:pPr>
            <w:r>
              <w:rPr>
                <w:rFonts w:ascii="Times New Roman" w:hAnsi="Times New Roman"/>
                <w:sz w:val="18"/>
              </w:rPr>
              <w:t>β₄</w:t>
            </w:r>
          </w:p>
        </w:tc>
        <w:tc>
          <w:tcPr>
            <w:tcW w:type="dxa" w:w="1872"/>
          </w:tcPr>
          <w:p>
            <w:pPr>
              <w:spacing w:line="240" w:lineRule="auto" w:after="40" w:before="40"/>
            </w:pPr>
            <w:r>
              <w:rPr>
                <w:rFonts w:ascii="Times New Roman" w:hAnsi="Times New Roman"/>
                <w:sz w:val="18"/>
              </w:rPr>
              <w:t>(2)</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Bootstrap 95% CI excludes zero, positive</w:t>
            </w:r>
          </w:p>
        </w:tc>
      </w:tr>
      <w:tr>
        <w:tc>
          <w:tcPr>
            <w:tcW w:type="dxa" w:w="1872"/>
          </w:tcPr>
          <w:p>
            <w:pPr>
              <w:spacing w:line="240" w:lineRule="auto" w:after="40" w:before="40"/>
            </w:pPr>
            <w:r>
              <w:rPr>
                <w:rFonts w:ascii="Times New Roman" w:hAnsi="Times New Roman"/>
                <w:sz w:val="18"/>
              </w:rPr>
              <w:t>H5</w:t>
            </w:r>
          </w:p>
        </w:tc>
        <w:tc>
          <w:tcPr>
            <w:tcW w:type="dxa" w:w="1872"/>
          </w:tcPr>
          <w:p>
            <w:pPr>
              <w:spacing w:line="240" w:lineRule="auto" w:after="40" w:before="40"/>
            </w:pPr>
            <w:r>
              <w:rPr>
                <w:rFonts w:ascii="Times New Roman" w:hAnsi="Times New Roman"/>
                <w:sz w:val="18"/>
              </w:rPr>
              <w:t>β₅</w:t>
            </w:r>
          </w:p>
        </w:tc>
        <w:tc>
          <w:tcPr>
            <w:tcW w:type="dxa" w:w="1872"/>
          </w:tcPr>
          <w:p>
            <w:pPr>
              <w:spacing w:line="240" w:lineRule="auto" w:after="40" w:before="40"/>
            </w:pPr>
            <w:r>
              <w:rPr>
                <w:rFonts w:ascii="Times New Roman" w:hAnsi="Times New Roman"/>
                <w:sz w:val="18"/>
              </w:rPr>
              <w:t>(3)</w:t>
            </w:r>
          </w:p>
        </w:tc>
        <w:tc>
          <w:tcPr>
            <w:tcW w:type="dxa" w:w="1872"/>
          </w:tcPr>
          <w:p>
            <w:pPr>
              <w:spacing w:line="240" w:lineRule="auto" w:after="40" w:before="40"/>
            </w:pPr>
            <w:r>
              <w:rPr>
                <w:rFonts w:ascii="Times New Roman" w:hAnsi="Times New Roman"/>
                <w:sz w:val="18"/>
              </w:rPr>
              <w:t>≈ 0 / ns</w:t>
            </w:r>
          </w:p>
        </w:tc>
        <w:tc>
          <w:tcPr>
            <w:tcW w:type="dxa" w:w="1872"/>
          </w:tcPr>
          <w:p>
            <w:pPr>
              <w:spacing w:line="240" w:lineRule="auto" w:after="40" w:before="40"/>
            </w:pPr>
            <w:r>
              <w:rPr>
                <w:rFonts w:ascii="Times New Roman" w:hAnsi="Times New Roman"/>
                <w:b/>
                <w:sz w:val="18"/>
              </w:rPr>
              <w:t>Supported if the CI includes zero.</w:t>
            </w:r>
            <w:r>
              <w:rPr>
                <w:rFonts w:ascii="Times New Roman" w:hAnsi="Times New Roman"/>
                <w:sz w:val="18"/>
              </w:rPr>
              <w:t xml:space="preserve"> Report the point estimate and CI either way</w:t>
            </w:r>
          </w:p>
        </w:tc>
      </w:tr>
      <w:tr>
        <w:tc>
          <w:tcPr>
            <w:tcW w:type="dxa" w:w="1872"/>
          </w:tcPr>
          <w:p>
            <w:pPr>
              <w:spacing w:line="240" w:lineRule="auto" w:after="40" w:before="40"/>
            </w:pPr>
            <w:r>
              <w:rPr>
                <w:rFonts w:ascii="Times New Roman" w:hAnsi="Times New Roman"/>
                <w:sz w:val="18"/>
              </w:rPr>
              <w:t>H6a</w:t>
            </w:r>
          </w:p>
        </w:tc>
        <w:tc>
          <w:tcPr>
            <w:tcW w:type="dxa" w:w="1872"/>
          </w:tcPr>
          <w:p>
            <w:pPr>
              <w:spacing w:line="240" w:lineRule="auto" w:after="40" w:before="40"/>
            </w:pPr>
            <w:r>
              <w:rPr>
                <w:rFonts w:ascii="Times New Roman" w:hAnsi="Times New Roman"/>
                <w:sz w:val="18"/>
              </w:rPr>
              <w:t>β₆ₐ</w:t>
            </w:r>
          </w:p>
        </w:tc>
        <w:tc>
          <w:tcPr>
            <w:tcW w:type="dxa" w:w="1872"/>
          </w:tcPr>
          <w:p>
            <w:pPr>
              <w:spacing w:line="240" w:lineRule="auto" w:after="40" w:before="40"/>
            </w:pPr>
            <w:r>
              <w:rPr>
                <w:rFonts w:ascii="Times New Roman" w:hAnsi="Times New Roman"/>
                <w:sz w:val="18"/>
              </w:rPr>
              <w:t>(2)</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Bootstrap 95% CI excludes zero, positive</w:t>
            </w:r>
          </w:p>
        </w:tc>
      </w:tr>
      <w:tr>
        <w:tc>
          <w:tcPr>
            <w:tcW w:type="dxa" w:w="1872"/>
          </w:tcPr>
          <w:p>
            <w:pPr>
              <w:spacing w:line="240" w:lineRule="auto" w:after="40" w:before="40"/>
            </w:pPr>
            <w:r>
              <w:rPr>
                <w:rFonts w:ascii="Times New Roman" w:hAnsi="Times New Roman"/>
                <w:sz w:val="18"/>
              </w:rPr>
              <w:t>H6b (focal)</w:t>
            </w:r>
          </w:p>
        </w:tc>
        <w:tc>
          <w:tcPr>
            <w:tcW w:type="dxa" w:w="1872"/>
          </w:tcPr>
          <w:p>
            <w:pPr>
              <w:spacing w:line="240" w:lineRule="auto" w:after="40" w:before="40"/>
            </w:pPr>
            <w:r>
              <w:rPr>
                <w:rFonts w:ascii="Times New Roman" w:hAnsi="Times New Roman"/>
                <w:sz w:val="18"/>
              </w:rPr>
              <w:t>β₆♭</w:t>
            </w:r>
          </w:p>
        </w:tc>
        <w:tc>
          <w:tcPr>
            <w:tcW w:type="dxa" w:w="1872"/>
          </w:tcPr>
          <w:p>
            <w:pPr>
              <w:spacing w:line="240" w:lineRule="auto" w:after="40" w:before="40"/>
            </w:pPr>
            <w:r>
              <w:rPr>
                <w:rFonts w:ascii="Times New Roman" w:hAnsi="Times New Roman"/>
                <w:sz w:val="18"/>
              </w:rPr>
              <w:t>(2)</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CI excludes zero, positive; report f² against 0.005/0.01/0.025</w:t>
            </w:r>
          </w:p>
        </w:tc>
      </w:tr>
      <w:tr>
        <w:tc>
          <w:tcPr>
            <w:tcW w:type="dxa" w:w="1872"/>
          </w:tcPr>
          <w:p>
            <w:pPr>
              <w:spacing w:line="240" w:lineRule="auto" w:after="40" w:before="40"/>
            </w:pPr>
            <w:r>
              <w:rPr>
                <w:rFonts w:ascii="Times New Roman" w:hAnsi="Times New Roman"/>
                <w:sz w:val="18"/>
              </w:rPr>
              <w:t>H7</w:t>
            </w:r>
          </w:p>
        </w:tc>
        <w:tc>
          <w:tcPr>
            <w:tcW w:type="dxa" w:w="1872"/>
          </w:tcPr>
          <w:p>
            <w:pPr>
              <w:spacing w:line="240" w:lineRule="auto" w:after="40" w:before="40"/>
            </w:pPr>
            <w:r>
              <w:rPr>
                <w:rFonts w:ascii="Times New Roman" w:hAnsi="Times New Roman"/>
                <w:sz w:val="18"/>
              </w:rPr>
              <w:t>β₁·β₂</w:t>
            </w:r>
          </w:p>
        </w:tc>
        <w:tc>
          <w:tcPr>
            <w:tcW w:type="dxa" w:w="1872"/>
          </w:tcPr>
          <w:p>
            <w:pPr>
              <w:spacing w:line="240" w:lineRule="auto" w:after="40" w:before="40"/>
            </w:pPr>
            <w:r>
              <w:rPr>
                <w:rFonts w:ascii="Times New Roman" w:hAnsi="Times New Roman"/>
                <w:sz w:val="18"/>
              </w:rPr>
              <w:t>(1)(2)</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Specific indirect effect CI excludes zero; complementary mediation expected given H4</w:t>
            </w:r>
          </w:p>
        </w:tc>
      </w:tr>
      <w:tr>
        <w:tc>
          <w:tcPr>
            <w:tcW w:type="dxa" w:w="1872"/>
          </w:tcPr>
          <w:p>
            <w:pPr>
              <w:spacing w:line="240" w:lineRule="auto" w:after="40" w:before="40"/>
            </w:pPr>
            <w:r>
              <w:rPr>
                <w:rFonts w:ascii="Times New Roman" w:hAnsi="Times New Roman"/>
                <w:sz w:val="18"/>
              </w:rPr>
              <w:t>H8</w:t>
            </w:r>
          </w:p>
        </w:tc>
        <w:tc>
          <w:tcPr>
            <w:tcW w:type="dxa" w:w="1872"/>
          </w:tcPr>
          <w:p>
            <w:pPr>
              <w:spacing w:line="240" w:lineRule="auto" w:after="40" w:before="40"/>
            </w:pPr>
            <w:r>
              <w:rPr>
                <w:rFonts w:ascii="Times New Roman" w:hAnsi="Times New Roman"/>
                <w:sz w:val="18"/>
              </w:rPr>
              <w:t>β₂·β₃</w:t>
            </w:r>
          </w:p>
        </w:tc>
        <w:tc>
          <w:tcPr>
            <w:tcW w:type="dxa" w:w="1872"/>
          </w:tcPr>
          <w:p>
            <w:pPr>
              <w:spacing w:line="240" w:lineRule="auto" w:after="40" w:before="40"/>
            </w:pPr>
            <w:r>
              <w:rPr>
                <w:rFonts w:ascii="Times New Roman" w:hAnsi="Times New Roman"/>
                <w:sz w:val="18"/>
              </w:rPr>
              <w:t>(2)(3)</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Specific indirect effect CI excludes zero; indirect-only mediation expected given H5</w:t>
            </w:r>
          </w:p>
        </w:tc>
      </w:tr>
      <w:tr>
        <w:tc>
          <w:tcPr>
            <w:tcW w:type="dxa" w:w="1872"/>
          </w:tcPr>
          <w:p>
            <w:pPr>
              <w:spacing w:line="240" w:lineRule="auto" w:after="40" w:before="40"/>
            </w:pPr>
            <w:r>
              <w:rPr>
                <w:rFonts w:ascii="Times New Roman" w:hAnsi="Times New Roman"/>
                <w:sz w:val="18"/>
              </w:rPr>
              <w:t>H9</w:t>
            </w:r>
          </w:p>
        </w:tc>
        <w:tc>
          <w:tcPr>
            <w:tcW w:type="dxa" w:w="1872"/>
          </w:tcPr>
          <w:p>
            <w:pPr>
              <w:spacing w:line="240" w:lineRule="auto" w:after="40" w:before="40"/>
            </w:pPr>
            <w:r>
              <w:rPr>
                <w:rFonts w:ascii="Times New Roman" w:hAnsi="Times New Roman"/>
                <w:sz w:val="18"/>
              </w:rPr>
              <w:t>β₁·β₂·β₃</w:t>
            </w:r>
          </w:p>
        </w:tc>
        <w:tc>
          <w:tcPr>
            <w:tcW w:type="dxa" w:w="1872"/>
          </w:tcPr>
          <w:p>
            <w:pPr>
              <w:spacing w:line="240" w:lineRule="auto" w:after="40" w:before="40"/>
            </w:pPr>
            <w:r>
              <w:rPr>
                <w:rFonts w:ascii="Times New Roman" w:hAnsi="Times New Roman"/>
                <w:sz w:val="18"/>
              </w:rPr>
              <w:t>(1)(2)(3)</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 xml:space="preserve">Serial indirect effect CI excludes zero; </w:t>
            </w:r>
            <w:r>
              <w:rPr>
                <w:rFonts w:ascii="Times New Roman" w:hAnsi="Times New Roman"/>
                <w:b/>
                <w:sz w:val="18"/>
              </w:rPr>
              <w:t>and</w:t>
            </w:r>
            <w:r>
              <w:rPr>
                <w:rFonts w:ascii="Times New Roman" w:hAnsi="Times New Roman"/>
                <w:sz w:val="18"/>
              </w:rPr>
              <w:t xml:space="preserve"> index of moderated mediation β₁·β₆♭·β₃ CI excludes zero</w:t>
            </w:r>
          </w:p>
        </w:tc>
      </w:tr>
    </w:tbl>
    <w:p>
      <w:pPr>
        <w:spacing w:line="240" w:lineRule="auto"/>
      </w:pPr>
    </w:p>
    <w:p>
      <w:pPr>
        <w:pStyle w:val="Heading2"/>
      </w:pPr>
      <w:r>
        <w:t>4.5 The three failure conditions — commit now</w:t>
      </w:r>
    </w:p>
    <w:p>
      <w:pPr>
        <w:spacing w:after="120"/>
        <w:ind w:firstLine="0"/>
      </w:pPr>
      <w:r>
        <w:t>Section 4.4 of the manuscript forbids three outcomes. Write the reporting sentences before you look at the output.</w:t>
      </w:r>
    </w:p>
    <w:p>
      <w:pPr>
        <w:spacing w:after="120"/>
        <w:ind w:firstLine="0"/>
      </w:pPr>
      <w:r>
        <w:t xml:space="preserve">1. </w:t>
      </w:r>
      <w:r>
        <w:rPr>
          <w:b/>
        </w:rPr>
        <w:t>β₆♭ null while β₂ and β₆ₐ are positive</w:t>
      </w:r>
      <w:r>
        <w:t xml:space="preserve"> → the model reduces to an additive capability bundle and the theoretical contribution fails. Report it as a failure, not as "partial support".</w:t>
      </w:r>
    </w:p>
    <w:p>
      <w:pPr>
        <w:spacing w:after="120"/>
        <w:ind w:firstLine="0"/>
      </w:pPr>
      <w:r>
        <w:t xml:space="preserve">2. </w:t>
      </w:r>
      <w:r>
        <w:rPr>
          <w:b/>
        </w:rPr>
        <w:t>β₅ strong and positive net of CVCI</w:t>
      </w:r>
      <w:r>
        <w:t xml:space="preserve"> → favours an information-economics account over the mediated conditional one. Report it as disconfirmation of the mechanism, not as "an additional finding".</w:t>
      </w:r>
    </w:p>
    <w:p>
      <w:pPr>
        <w:spacing w:after="120"/>
        <w:ind w:firstLine="0"/>
      </w:pPr>
      <w:r>
        <w:t xml:space="preserve">3. </w:t>
      </w:r>
      <w:r>
        <w:rPr>
          <w:b/>
        </w:rPr>
        <w:t>β₁ null or negative</w:t>
      </w:r>
      <w:r>
        <w:t xml:space="preserve"> → accounting is a consequence rather than an antecedent of visibility, inverting the framework.</w:t>
      </w:r>
    </w:p>
    <w:p>
      <w:pPr>
        <w:spacing w:after="120"/>
        <w:ind w:firstLine="0"/>
      </w:pPr>
      <w:r>
        <w:t>A paper that pre-registers failure conditions and then reports one honestly is more publishable than one that quietly reframes. If condition 1 occurs, the paper is still publishable as a scale-development-plus-null-interaction contribution, and the null is itself informative given how widely the conditional claim is assumed.</w:t>
      </w:r>
    </w:p>
    <w:p>
      <w:pPr>
        <w:pStyle w:val="Heading1"/>
      </w:pPr>
      <w:r>
        <w:t>5. Common method bias and endogeneity</w:t>
      </w:r>
    </w:p>
    <w:p>
      <w:pPr>
        <w:keepNext/>
        <w:spacing w:before="240" w:line="240" w:lineRule="auto"/>
      </w:pPr>
      <w:r>
        <w:rPr>
          <w:b/>
          <w:sz w:val="20"/>
        </w:rPr>
        <w:t>Table A10. Method-bias and endogeneity procedures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pPr>
              <w:spacing w:line="240" w:lineRule="auto" w:after="40" w:before="40"/>
            </w:pPr>
            <w:r>
              <w:rPr>
                <w:rFonts w:ascii="Times New Roman" w:hAnsi="Times New Roman"/>
                <w:b/>
                <w:sz w:val="18"/>
              </w:rPr>
              <w:t>Concern</w:t>
            </w:r>
          </w:p>
        </w:tc>
        <w:tc>
          <w:tcPr>
            <w:tcW w:type="dxa" w:w="3120"/>
            <w:shd w:val="clear" w:fill="EFEFEF"/>
          </w:tcPr>
          <w:p>
            <w:pPr>
              <w:spacing w:line="240" w:lineRule="auto" w:after="40" w:before="40"/>
            </w:pPr>
            <w:r>
              <w:rPr>
                <w:rFonts w:ascii="Times New Roman" w:hAnsi="Times New Roman"/>
                <w:b/>
                <w:sz w:val="18"/>
              </w:rPr>
              <w:t>Procedure</w:t>
            </w:r>
          </w:p>
        </w:tc>
        <w:tc>
          <w:tcPr>
            <w:tcW w:type="dxa" w:w="3120"/>
            <w:shd w:val="clear" w:fill="EFEFEF"/>
          </w:tcPr>
          <w:p>
            <w:pPr>
              <w:spacing w:line="240" w:lineRule="auto" w:after="40" w:before="40"/>
            </w:pPr>
            <w:r>
              <w:rPr>
                <w:rFonts w:ascii="Times New Roman" w:hAnsi="Times New Roman"/>
                <w:b/>
                <w:sz w:val="18"/>
              </w:rPr>
              <w:t>Threshold / decision</w:t>
            </w:r>
          </w:p>
        </w:tc>
      </w:tr>
      <w:tr>
        <w:tc>
          <w:tcPr>
            <w:tcW w:type="dxa" w:w="3120"/>
          </w:tcPr>
          <w:p>
            <w:pPr>
              <w:spacing w:line="240" w:lineRule="auto" w:after="40" w:before="40"/>
            </w:pPr>
            <w:r>
              <w:rPr>
                <w:rFonts w:ascii="Times New Roman" w:hAnsi="Times New Roman"/>
                <w:sz w:val="18"/>
              </w:rPr>
              <w:t>Common method variance</w:t>
            </w:r>
          </w:p>
        </w:tc>
        <w:tc>
          <w:tcPr>
            <w:tcW w:type="dxa" w:w="3120"/>
          </w:tcPr>
          <w:p>
            <w:pPr>
              <w:spacing w:line="240" w:lineRule="auto" w:after="40" w:before="40"/>
            </w:pPr>
            <w:r>
              <w:rPr>
                <w:rFonts w:ascii="Times New Roman" w:hAnsi="Times New Roman"/>
                <w:b/>
                <w:sz w:val="18"/>
              </w:rPr>
              <w:t>Full collinearity assessment</w:t>
            </w:r>
            <w:r>
              <w:rPr>
                <w:rFonts w:ascii="Times New Roman" w:hAnsi="Times New Roman"/>
                <w:sz w:val="18"/>
              </w:rPr>
              <w:t>: regress all constructs on a random dummy; inspect VIF</w:t>
            </w:r>
          </w:p>
        </w:tc>
        <w:tc>
          <w:tcPr>
            <w:tcW w:type="dxa" w:w="3120"/>
          </w:tcPr>
          <w:p>
            <w:pPr>
              <w:spacing w:line="240" w:lineRule="auto" w:after="40" w:before="40"/>
            </w:pPr>
            <w:r>
              <w:rPr>
                <w:rFonts w:ascii="Times New Roman" w:hAnsi="Times New Roman"/>
                <w:sz w:val="18"/>
              </w:rPr>
              <w:t>All VIF &lt; 3.3 → no substantial CMV</w:t>
            </w:r>
          </w:p>
        </w:tc>
      </w:tr>
      <w:tr>
        <w:tc>
          <w:tcPr>
            <w:tcW w:type="dxa" w:w="3120"/>
          </w:tcPr>
          <w:p>
            <w:pPr>
              <w:spacing w:line="240" w:lineRule="auto" w:after="40" w:before="40"/>
            </w:pPr>
            <w:r>
              <w:rPr>
                <w:rFonts w:ascii="Times New Roman" w:hAnsi="Times New Roman"/>
                <w:sz w:val="18"/>
              </w:rPr>
              <w:t>Common method variance</w:t>
            </w:r>
          </w:p>
        </w:tc>
        <w:tc>
          <w:tcPr>
            <w:tcW w:type="dxa" w:w="3120"/>
          </w:tcPr>
          <w:p>
            <w:pPr>
              <w:spacing w:line="240" w:lineRule="auto" w:after="40" w:before="40"/>
            </w:pPr>
            <w:r>
              <w:rPr>
                <w:rFonts w:ascii="Times New Roman" w:hAnsi="Times New Roman"/>
                <w:b/>
                <w:sz w:val="18"/>
              </w:rPr>
              <w:t>Marker-variable correlations</w:t>
            </w:r>
            <w:r>
              <w:rPr>
                <w:rFonts w:ascii="Times New Roman" w:hAnsi="Times New Roman"/>
                <w:sz w:val="18"/>
              </w:rPr>
              <w:t>: MK composite against each focal construct</w:t>
            </w:r>
          </w:p>
        </w:tc>
        <w:tc>
          <w:tcPr>
            <w:tcW w:type="dxa" w:w="3120"/>
          </w:tcPr>
          <w:p>
            <w:pPr>
              <w:spacing w:line="240" w:lineRule="auto" w:after="40" w:before="40"/>
            </w:pPr>
            <w:r>
              <w:rPr>
                <w:rFonts w:ascii="Times New Roman" w:hAnsi="Times New Roman"/>
                <w:sz w:val="18"/>
              </w:rPr>
              <w:t>Correlations near zero expected; report the matrix</w:t>
            </w:r>
          </w:p>
        </w:tc>
      </w:tr>
      <w:tr>
        <w:tc>
          <w:tcPr>
            <w:tcW w:type="dxa" w:w="3120"/>
          </w:tcPr>
          <w:p>
            <w:pPr>
              <w:spacing w:line="240" w:lineRule="auto" w:after="40" w:before="40"/>
            </w:pPr>
            <w:r>
              <w:rPr>
                <w:rFonts w:ascii="Times New Roman" w:hAnsi="Times New Roman"/>
                <w:sz w:val="18"/>
              </w:rPr>
              <w:t>Common method variance</w:t>
            </w:r>
          </w:p>
        </w:tc>
        <w:tc>
          <w:tcPr>
            <w:tcW w:type="dxa" w:w="3120"/>
          </w:tcPr>
          <w:p>
            <w:pPr>
              <w:spacing w:line="240" w:lineRule="auto" w:after="40" w:before="40"/>
            </w:pPr>
            <w:r>
              <w:rPr>
                <w:rFonts w:ascii="Times New Roman" w:hAnsi="Times New Roman"/>
                <w:b/>
                <w:sz w:val="18"/>
              </w:rPr>
              <w:t>Measured latent marker variable (MLMV)</w:t>
            </w:r>
            <w:r>
              <w:rPr>
                <w:rFonts w:ascii="Times New Roman" w:hAnsi="Times New Roman"/>
                <w:sz w:val="18"/>
              </w:rPr>
              <w:t xml:space="preserve"> correction: add MK as a predictor of every endogenous construct and compare path estimates with and without</w:t>
            </w:r>
          </w:p>
        </w:tc>
        <w:tc>
          <w:tcPr>
            <w:tcW w:type="dxa" w:w="3120"/>
          </w:tcPr>
          <w:p>
            <w:pPr>
              <w:spacing w:line="240" w:lineRule="auto" w:after="40" w:before="40"/>
            </w:pPr>
            <w:r>
              <w:rPr>
                <w:rFonts w:ascii="Times New Roman" w:hAnsi="Times New Roman"/>
                <w:sz w:val="18"/>
              </w:rPr>
              <w:t>Report both sets; substantive conclusions must not change</w:t>
            </w:r>
          </w:p>
        </w:tc>
      </w:tr>
      <w:tr>
        <w:tc>
          <w:tcPr>
            <w:tcW w:type="dxa" w:w="3120"/>
          </w:tcPr>
          <w:p>
            <w:pPr>
              <w:spacing w:line="240" w:lineRule="auto" w:after="40" w:before="40"/>
            </w:pPr>
            <w:r>
              <w:rPr>
                <w:rFonts w:ascii="Times New Roman" w:hAnsi="Times New Roman"/>
                <w:sz w:val="18"/>
              </w:rPr>
              <w:t>Common method variance</w:t>
            </w:r>
          </w:p>
        </w:tc>
        <w:tc>
          <w:tcPr>
            <w:tcW w:type="dxa" w:w="3120"/>
          </w:tcPr>
          <w:p>
            <w:pPr>
              <w:spacing w:line="240" w:lineRule="auto" w:after="40" w:before="40"/>
            </w:pPr>
            <w:r>
              <w:rPr>
                <w:rFonts w:ascii="Times New Roman" w:hAnsi="Times New Roman"/>
                <w:sz w:val="18"/>
              </w:rPr>
              <w:t>Harman's single-factor test</w:t>
            </w:r>
          </w:p>
        </w:tc>
        <w:tc>
          <w:tcPr>
            <w:tcW w:type="dxa" w:w="3120"/>
          </w:tcPr>
          <w:p>
            <w:pPr>
              <w:spacing w:line="240" w:lineRule="auto" w:after="40" w:before="40"/>
            </w:pPr>
            <w:r>
              <w:rPr>
                <w:rFonts w:ascii="Times New Roman" w:hAnsi="Times New Roman"/>
                <w:b/>
                <w:sz w:val="18"/>
              </w:rPr>
              <w:t>Do not run it.</w:t>
            </w:r>
            <w:r>
              <w:rPr>
                <w:rFonts w:ascii="Times New Roman" w:hAnsi="Times New Roman"/>
                <w:sz w:val="18"/>
              </w:rPr>
              <w:t xml:space="preserve"> It is pre-specified as not used, and running it invites the criticism that you relied on a discredited diagnostic</w:t>
            </w:r>
          </w:p>
        </w:tc>
      </w:tr>
      <w:tr>
        <w:tc>
          <w:tcPr>
            <w:tcW w:type="dxa" w:w="3120"/>
          </w:tcPr>
          <w:p>
            <w:pPr>
              <w:spacing w:line="240" w:lineRule="auto" w:after="40" w:before="40"/>
            </w:pPr>
            <w:r>
              <w:rPr>
                <w:rFonts w:ascii="Times New Roman" w:hAnsi="Times New Roman"/>
                <w:sz w:val="18"/>
              </w:rPr>
              <w:t>Procedural remedies (already built in)</w:t>
            </w:r>
          </w:p>
        </w:tc>
        <w:tc>
          <w:tcPr>
            <w:tcW w:type="dxa" w:w="3120"/>
          </w:tcPr>
          <w:p>
            <w:pPr>
              <w:spacing w:line="240" w:lineRule="auto" w:after="40" w:before="40"/>
            </w:pPr>
            <w:r>
              <w:rPr>
                <w:rFonts w:ascii="Times New Roman" w:hAnsi="Times New Roman"/>
                <w:sz w:val="18"/>
              </w:rPr>
              <w:t>Anonymity; current-state vs change-over-three-seasons separation between predictors and outcome; scripted break; neutral item framing</w:t>
            </w:r>
          </w:p>
        </w:tc>
        <w:tc>
          <w:tcPr>
            <w:tcW w:type="dxa" w:w="3120"/>
          </w:tcPr>
          <w:p>
            <w:pPr>
              <w:spacing w:line="240" w:lineRule="auto" w:after="40" w:before="40"/>
            </w:pPr>
            <w:r>
              <w:rPr>
                <w:rFonts w:ascii="Times New Roman" w:hAnsi="Times New Roman"/>
                <w:sz w:val="18"/>
              </w:rPr>
              <w:t>Describe in methods</w:t>
            </w:r>
          </w:p>
        </w:tc>
      </w:tr>
      <w:tr>
        <w:tc>
          <w:tcPr>
            <w:tcW w:type="dxa" w:w="3120"/>
          </w:tcPr>
          <w:p>
            <w:pPr>
              <w:spacing w:line="240" w:lineRule="auto" w:after="40" w:before="40"/>
            </w:pPr>
            <w:r>
              <w:rPr>
                <w:rFonts w:ascii="Times New Roman" w:hAnsi="Times New Roman"/>
                <w:sz w:val="18"/>
              </w:rPr>
              <w:t>Endogeneity</w:t>
            </w:r>
          </w:p>
        </w:tc>
        <w:tc>
          <w:tcPr>
            <w:tcW w:type="dxa" w:w="3120"/>
          </w:tcPr>
          <w:p>
            <w:pPr>
              <w:spacing w:line="240" w:lineRule="auto" w:after="40" w:before="40"/>
            </w:pPr>
            <w:r>
              <w:rPr>
                <w:rFonts w:ascii="Times New Roman" w:hAnsi="Times New Roman"/>
                <w:b/>
                <w:sz w:val="18"/>
              </w:rPr>
              <w:t>Gaussian copula</w:t>
            </w:r>
            <w:r>
              <w:rPr>
                <w:rFonts w:ascii="Times New Roman" w:hAnsi="Times New Roman"/>
                <w:sz w:val="18"/>
              </w:rPr>
              <w:t xml:space="preserve"> (Park and Gupta 2012) on CAC, CIT and CVCI in turn</w:t>
            </w:r>
          </w:p>
        </w:tc>
        <w:tc>
          <w:tcPr>
            <w:tcW w:type="dxa" w:w="3120"/>
          </w:tcPr>
          <w:p>
            <w:pPr>
              <w:spacing w:line="240" w:lineRule="auto" w:after="40" w:before="40"/>
            </w:pPr>
            <w:r>
              <w:rPr>
                <w:rFonts w:ascii="Times New Roman" w:hAnsi="Times New Roman"/>
                <w:sz w:val="18"/>
              </w:rPr>
              <w:t>First confirm the regressor is non-normal (Kolmogorov–Smirnov / Shapiro–Wilk, p &lt; .05); the method is invalid for normal regressors. Copula term non-significant → no evidence of endogeneity</w:t>
            </w:r>
          </w:p>
        </w:tc>
      </w:tr>
      <w:tr>
        <w:tc>
          <w:tcPr>
            <w:tcW w:type="dxa" w:w="3120"/>
          </w:tcPr>
          <w:p>
            <w:pPr>
              <w:spacing w:line="240" w:lineRule="auto" w:after="40" w:before="40"/>
            </w:pPr>
            <w:r>
              <w:rPr>
                <w:rFonts w:ascii="Times New Roman" w:hAnsi="Times New Roman"/>
                <w:sz w:val="18"/>
              </w:rPr>
              <w:t>Endogeneity</w:t>
            </w:r>
          </w:p>
        </w:tc>
        <w:tc>
          <w:tcPr>
            <w:tcW w:type="dxa" w:w="3120"/>
          </w:tcPr>
          <w:p>
            <w:pPr>
              <w:spacing w:line="240" w:lineRule="auto" w:after="40" w:before="40"/>
            </w:pPr>
            <w:r>
              <w:rPr>
                <w:rFonts w:ascii="Times New Roman" w:hAnsi="Times New Roman"/>
                <w:b/>
                <w:sz w:val="18"/>
              </w:rPr>
              <w:t>Reversed model</w:t>
            </w:r>
            <w:r>
              <w:rPr>
                <w:rFonts w:ascii="Times New Roman" w:hAnsi="Times New Roman"/>
                <w:sz w:val="18"/>
              </w:rPr>
              <w:t>: estimate CIT ← CVCI and compare fit and predictive power</w:t>
            </w:r>
          </w:p>
        </w:tc>
        <w:tc>
          <w:tcPr>
            <w:tcW w:type="dxa" w:w="3120"/>
          </w:tcPr>
          <w:p>
            <w:pPr>
              <w:spacing w:line="240" w:lineRule="auto" w:after="40" w:before="40"/>
            </w:pPr>
            <w:r>
              <w:rPr>
                <w:rFonts w:ascii="Times New Roman" w:hAnsi="Times New Roman"/>
                <w:sz w:val="18"/>
              </w:rPr>
              <w:t>Theorised direction should dominate; report both</w:t>
            </w:r>
          </w:p>
        </w:tc>
      </w:tr>
      <w:tr>
        <w:tc>
          <w:tcPr>
            <w:tcW w:type="dxa" w:w="3120"/>
          </w:tcPr>
          <w:p>
            <w:pPr>
              <w:spacing w:line="240" w:lineRule="auto" w:after="40" w:before="40"/>
            </w:pPr>
            <w:r>
              <w:rPr>
                <w:rFonts w:ascii="Times New Roman" w:hAnsi="Times New Roman"/>
                <w:sz w:val="18"/>
              </w:rPr>
              <w:t>Endogeneity</w:t>
            </w:r>
          </w:p>
        </w:tc>
        <w:tc>
          <w:tcPr>
            <w:tcW w:type="dxa" w:w="3120"/>
          </w:tcPr>
          <w:p>
            <w:pPr>
              <w:spacing w:line="240" w:lineRule="auto" w:after="40" w:before="40"/>
            </w:pPr>
            <w:r>
              <w:rPr>
                <w:rFonts w:ascii="Times New Roman" w:hAnsi="Times New Roman"/>
                <w:b/>
                <w:sz w:val="18"/>
              </w:rPr>
              <w:t>Rival explanations as measured controls</w:t>
            </w:r>
            <w:r>
              <w:rPr>
                <w:rFonts w:ascii="Times New Roman" w:hAnsi="Times New Roman"/>
                <w:sz w:val="18"/>
              </w:rPr>
              <w:t>: DTC and IS</w:t>
            </w:r>
          </w:p>
        </w:tc>
        <w:tc>
          <w:tcPr>
            <w:tcW w:type="dxa" w:w="3120"/>
          </w:tcPr>
          <w:p>
            <w:pPr>
              <w:spacing w:line="240" w:lineRule="auto" w:after="40" w:before="40"/>
            </w:pPr>
            <w:r>
              <w:rPr>
                <w:rFonts w:ascii="Times New Roman" w:hAnsi="Times New Roman"/>
                <w:b/>
                <w:sz w:val="18"/>
              </w:rPr>
              <w:t>The key test of the smart-production argument.</w:t>
            </w:r>
            <w:r>
              <w:rPr>
                <w:rFonts w:ascii="Times New Roman" w:hAnsi="Times New Roman"/>
                <w:sz w:val="18"/>
              </w:rPr>
              <w:t xml:space="preserve"> If β₁ collapses when DTC enters, CAC is a proxy for digital instrumentation rather than a distinct calculative capacity, and you must say so</w:t>
            </w:r>
          </w:p>
        </w:tc>
      </w:tr>
      <w:tr>
        <w:tc>
          <w:tcPr>
            <w:tcW w:type="dxa" w:w="3120"/>
          </w:tcPr>
          <w:p>
            <w:pPr>
              <w:spacing w:line="240" w:lineRule="auto" w:after="40" w:before="40"/>
            </w:pPr>
            <w:r>
              <w:rPr>
                <w:rFonts w:ascii="Times New Roman" w:hAnsi="Times New Roman"/>
                <w:sz w:val="18"/>
              </w:rPr>
              <w:t>Convergent validity of outcome</w:t>
            </w:r>
          </w:p>
        </w:tc>
        <w:tc>
          <w:tcPr>
            <w:tcW w:type="dxa" w:w="3120"/>
          </w:tcPr>
          <w:p>
            <w:pPr>
              <w:spacing w:line="240" w:lineRule="auto" w:after="40" w:before="40"/>
            </w:pPr>
            <w:r>
              <w:rPr>
                <w:rFonts w:ascii="Times New Roman" w:hAnsi="Times New Roman"/>
                <w:sz w:val="18"/>
              </w:rPr>
              <w:t>Objective-indicator subsample (OBJ1–OBJ3) against CVCP</w:t>
            </w:r>
          </w:p>
        </w:tc>
        <w:tc>
          <w:tcPr>
            <w:tcW w:type="dxa" w:w="3120"/>
          </w:tcPr>
          <w:p>
            <w:pPr>
              <w:spacing w:line="240" w:lineRule="auto" w:after="40" w:before="40"/>
            </w:pPr>
            <w:r>
              <w:rPr>
                <w:rFonts w:ascii="Times New Roman" w:hAnsi="Times New Roman"/>
                <w:sz w:val="18"/>
              </w:rPr>
              <w:t>Report correlations and the subsample's CAC mean vs full sample</w:t>
            </w:r>
          </w:p>
        </w:tc>
      </w:tr>
      <w:tr>
        <w:tc>
          <w:tcPr>
            <w:tcW w:type="dxa" w:w="3120"/>
          </w:tcPr>
          <w:p>
            <w:pPr>
              <w:spacing w:line="240" w:lineRule="auto" w:after="40" w:before="40"/>
            </w:pPr>
            <w:r>
              <w:rPr>
                <w:rFonts w:ascii="Times New Roman" w:hAnsi="Times New Roman"/>
                <w:sz w:val="18"/>
              </w:rPr>
              <w:t>Non-response / selection</w:t>
            </w:r>
          </w:p>
        </w:tc>
        <w:tc>
          <w:tcPr>
            <w:tcW w:type="dxa" w:w="3120"/>
          </w:tcPr>
          <w:p>
            <w:pPr>
              <w:spacing w:line="240" w:lineRule="auto" w:after="40" w:before="40"/>
            </w:pPr>
            <w:r>
              <w:rPr>
                <w:rFonts w:ascii="Times New Roman" w:hAnsi="Times New Roman"/>
                <w:sz w:val="18"/>
              </w:rPr>
              <w:t>Compare early vs late respondents; compare register-listed vs referral-recruited actors on all focal constructs</w:t>
            </w:r>
          </w:p>
        </w:tc>
        <w:tc>
          <w:tcPr>
            <w:tcW w:type="dxa" w:w="3120"/>
          </w:tcPr>
          <w:p>
            <w:pPr>
              <w:spacing w:line="240" w:lineRule="auto" w:after="40" w:before="40"/>
            </w:pPr>
            <w:r>
              <w:rPr>
                <w:rFonts w:ascii="Times New Roman" w:hAnsi="Times New Roman"/>
                <w:sz w:val="18"/>
              </w:rPr>
              <w:t>Report; referral-recruited informal intermediaries are the segment whose exclusion would bias results upward</w:t>
            </w:r>
          </w:p>
        </w:tc>
      </w:tr>
    </w:tbl>
    <w:p>
      <w:pPr>
        <w:spacing w:line="240" w:lineRule="auto"/>
      </w:pPr>
    </w:p>
    <w:p>
      <w:pPr>
        <w:pStyle w:val="Heading1"/>
      </w:pPr>
      <w:r>
        <w:t>6. Estimation protocol — the eleven steps</w:t>
      </w:r>
    </w:p>
    <w:p>
      <w:pPr>
        <w:spacing w:after="120"/>
        <w:ind w:firstLine="0"/>
      </w:pPr>
      <w:r>
        <w:t>Run in this order. Each step has a pre-specified action if a criterion is breached, per Table 8 of the manuscript.</w:t>
      </w:r>
    </w:p>
    <w:p>
      <w:pPr>
        <w:spacing w:after="120"/>
        <w:ind w:firstLine="0"/>
      </w:pPr>
      <w:r>
        <w:rPr>
          <w:b/>
        </w:rPr>
        <w:t>Step 1 — Data preparation.</w:t>
      </w:r>
      <w:r>
        <w:t xml:space="preserve"> Apply Table A8. Report the reconciliation count. Derive logged controls. Standardise CIT and CGQ for the interaction.</w:t>
      </w:r>
    </w:p>
    <w:p>
      <w:pPr>
        <w:spacing w:after="120"/>
        <w:ind w:firstLine="0"/>
      </w:pPr>
      <w:r>
        <w:rPr>
          <w:b/>
        </w:rPr>
        <w:t>Step 2 — Stage-1 measurement assessment (reflective constructs and lower-order constructs).</w:t>
      </w:r>
    </w:p>
    <w:p>
      <w:pPr>
        <w:pStyle w:val="ListBullet"/>
        <w:spacing w:line="480" w:lineRule="auto"/>
      </w:pPr>
      <w:r>
        <w:t>Outer loadings ≥ 0.708. Retain 0.40–0.708 only where deletion does not raise AVE above threshold and content validity requires retention. Below 0.40, delete.</w:t>
      </w:r>
    </w:p>
    <w:p>
      <w:pPr>
        <w:pStyle w:val="ListBullet"/>
        <w:spacing w:line="480" w:lineRule="auto"/>
      </w:pPr>
      <w:r>
        <w:t>Reliability ρ_A and ρ_c in 0.70–0.95. Below 0.70, investigate. Above 0.95, check indicator redundancy.</w:t>
      </w:r>
    </w:p>
    <w:p>
      <w:pPr>
        <w:pStyle w:val="ListBullet"/>
        <w:spacing w:line="480" w:lineRule="auto"/>
      </w:pPr>
      <w:r>
        <w:t>AVE ≥ 0.50. If breached, apply the pre-registered escalation to a two-dimensional specification rather than deleting items until it passes.</w:t>
      </w:r>
    </w:p>
    <w:p>
      <w:pPr>
        <w:pStyle w:val="ListBullet"/>
        <w:spacing w:line="480" w:lineRule="auto"/>
      </w:pPr>
      <w:r>
        <w:t xml:space="preserve">HTMT &lt; 0.85 with bootstrap CIs. </w:t>
      </w:r>
      <w:r>
        <w:rPr>
          <w:b/>
        </w:rPr>
        <w:t>If HTMT(CAC, CIT) or HTMT(CGQ, CVCI) reaches 0.85, the corresponding claim is withdrawn</w:t>
      </w:r>
      <w:r>
        <w:t xml:space="preserve"> — this is pre-specified and must be honoured, not defended.</w:t>
      </w:r>
    </w:p>
    <w:p>
      <w:pPr>
        <w:spacing w:after="120"/>
        <w:ind w:firstLine="0"/>
      </w:pPr>
      <w:r>
        <w:rPr>
          <w:b/>
        </w:rPr>
        <w:t>Step 3 — Item-retention decisions.</w:t>
      </w:r>
      <w:r>
        <w:t xml:space="preserve"> Any deletion must be recorded in a deletion log stating the item, the criterion breached, the action, and the effect on AVE and ρ_A. Content validity takes precedence over statistical criteria. Watch CIT5, CAC7–CAC9 and CVCP9–CVCP11 — the newly developed items, which are also the items that carry the paper's measurement contribution. </w:t>
      </w:r>
      <w:r>
        <w:rPr>
          <w:b/>
        </w:rPr>
        <w:t>Deleting a new item because it underperforms removes the contribution it represents.</w:t>
      </w:r>
      <w:r>
        <w:t xml:space="preserve"> If CIT5 must go, say what is lost.</w:t>
      </w:r>
    </w:p>
    <w:p>
      <w:pPr>
        <w:spacing w:after="120"/>
        <w:ind w:firstLine="0"/>
      </w:pPr>
      <w:r>
        <w:rPr>
          <w:b/>
        </w:rPr>
        <w:t>Step 4 — Stage-2 construction of the formative higher-order constructs.</w:t>
      </w:r>
    </w:p>
    <w:p>
      <w:pPr>
        <w:pStyle w:val="ListBullet"/>
        <w:spacing w:line="480" w:lineRule="auto"/>
      </w:pPr>
      <w:r>
        <w:t>Indicator collinearity VIF &lt; 3 among the three lower-order scores per HOC. 3–5 report and discuss.</w:t>
      </w:r>
    </w:p>
    <w:p>
      <w:pPr>
        <w:pStyle w:val="ListBullet"/>
        <w:spacing w:line="480" w:lineRule="auto"/>
      </w:pPr>
      <w:r>
        <w:t>Outer weights significant, or outer loading ≥ 0.50 where the weight is not.</w:t>
      </w:r>
    </w:p>
    <w:p>
      <w:pPr>
        <w:pStyle w:val="ListBullet"/>
        <w:spacing w:line="480" w:lineRule="auto"/>
      </w:pPr>
      <w:r>
        <w:rPr>
          <w:b/>
        </w:rPr>
        <w:t>Redundancy analysis</w:t>
      </w:r>
      <w:r>
        <w:t>: regress each HOC on a global single-item measure of the same construct; path ≥ 0.70. If you did not field global single items, this cannot be done and must be reported as a limitation — check your instrument now, because it is not recoverable after the fact.</w:t>
      </w:r>
    </w:p>
    <w:p>
      <w:pPr>
        <w:pStyle w:val="ListBullet"/>
        <w:spacing w:line="480" w:lineRule="auto"/>
      </w:pPr>
      <w:r>
        <w:t>Run the objective-indicator convergent check for CVCP here.</w:t>
      </w:r>
    </w:p>
    <w:p>
      <w:pPr>
        <w:spacing w:after="120"/>
        <w:ind w:firstLine="0"/>
      </w:pPr>
      <w:r>
        <w:rPr>
          <w:b/>
        </w:rPr>
        <w:t>Step 5 — Method-bias assessment.</w:t>
      </w:r>
      <w:r>
        <w:t xml:space="preserve"> Table A10, rows 1–4.</w:t>
      </w:r>
    </w:p>
    <w:p>
      <w:pPr>
        <w:spacing w:after="120"/>
        <w:ind w:firstLine="0"/>
      </w:pPr>
      <w:r>
        <w:rPr>
          <w:b/>
        </w:rPr>
        <w:t>Step 6 — Structural model estimation.</w:t>
      </w:r>
      <w:r>
        <w:t xml:space="preserve"> Inner VIF &lt; 3 (3–5 report and discuss). Path coefficients with 10,000-subsample bootstrap, percentile </w:t>
      </w:r>
      <w:r>
        <w:rPr>
          <w:b/>
        </w:rPr>
        <w:t>and</w:t>
      </w:r>
      <w:r>
        <w:t xml:space="preserve"> bias-corrected CIs. R² and adjusted R² for CIT, CVCI, CVCP. f² for every path, with interaction-specific benchmarks for β₆♭.</w:t>
      </w:r>
    </w:p>
    <w:p>
      <w:pPr>
        <w:spacing w:after="120"/>
        <w:ind w:firstLine="0"/>
      </w:pPr>
      <w:r>
        <w:rPr>
          <w:b/>
        </w:rPr>
        <w:t>Step 7 — Simple slopes and Johnson–Neyman.</w:t>
      </w:r>
      <w:r>
        <w:t xml:space="preserve"> Plot the CIT → CVCI slope at CGQ = −1 SD, mean, +1 SD. Compute the </w:t>
      </w:r>
      <w:r>
        <w:rPr>
          <w:b/>
        </w:rPr>
        <w:t>Johnson–Neyman point</w:t>
      </w:r>
      <w:r>
        <w:t>: the CGQ value at which the slope's CI first includes zero. This is the paper's actionable output — the governance level below which transparency does not move material. Report it in the construct's original scale as well as in standard-deviation units so a practitioner can locate it.</w:t>
      </w:r>
    </w:p>
    <w:p>
      <w:pPr>
        <w:spacing w:after="120"/>
        <w:ind w:firstLine="0"/>
      </w:pPr>
      <w:r>
        <w:rPr>
          <w:b/>
        </w:rPr>
        <w:t>Step 8 — Mediation and conditional indirect effects.</w:t>
      </w:r>
    </w:p>
    <w:p>
      <w:pPr>
        <w:pStyle w:val="ListBullet"/>
        <w:spacing w:line="480" w:lineRule="auto"/>
      </w:pPr>
      <w:r>
        <w:t xml:space="preserve">Specific indirect effects for H7, H8, H9, each with bootstrap CIs. </w:t>
      </w:r>
      <w:r>
        <w:rPr>
          <w:b/>
        </w:rPr>
        <w:t>The criterion is the indirect effect's CI, not a significant total effect.</w:t>
      </w:r>
    </w:p>
    <w:p>
      <w:pPr>
        <w:pStyle w:val="ListBullet"/>
        <w:spacing w:line="480" w:lineRule="auto"/>
      </w:pPr>
      <w:r>
        <w:t>Classify mediation: complementary (partial) expected for H7 given H4; indirect-only (full) expected for H8 given H5.</w:t>
      </w:r>
    </w:p>
    <w:p>
      <w:pPr>
        <w:pStyle w:val="ListBullet"/>
        <w:spacing w:line="480" w:lineRule="auto"/>
      </w:pPr>
      <w:r>
        <w:rPr>
          <w:b/>
        </w:rPr>
        <w:t>Index of moderated mediation</w:t>
      </w:r>
      <w:r>
        <w:t xml:space="preserve"> = β₁ · β₆♭ · β₃, with bootstrap CI.</w:t>
      </w:r>
    </w:p>
    <w:p>
      <w:pPr>
        <w:pStyle w:val="ListBullet"/>
        <w:spacing w:line="480" w:lineRule="auto"/>
      </w:pPr>
      <w:r>
        <w:rPr>
          <w:b/>
        </w:rPr>
        <w:t>Conditional indirect effects</w:t>
      </w:r>
      <w:r>
        <w:t xml:space="preserve"> of CAC on CVCP at CGQ = −1 SD, mean, +1 SD. The theoretical claim is that the low-governance conditional indirect effect is </w:t>
      </w:r>
      <w:r>
        <w:rPr>
          <w:b/>
        </w:rPr>
        <w:t>not</w:t>
      </w:r>
      <w:r>
        <w:t xml:space="preserve"> distinguishable from zero. That is the central empirical quantity in the paper — put it in the abstract.</w:t>
      </w:r>
    </w:p>
    <w:p>
      <w:pPr>
        <w:spacing w:after="120"/>
        <w:ind w:firstLine="0"/>
      </w:pPr>
      <w:r>
        <w:rPr>
          <w:b/>
        </w:rPr>
        <w:t>Step 9 — Predictive assessment.</w:t>
      </w:r>
      <w:r>
        <w:t xml:space="preserve"> Q²predict &gt; 0 for all endogenous constructs. PLSpredict with 10 folds and 10 repetitions; compare PLS-SEM RMSE against the linear-model benchmark, item by item. Run CVPAT (cross-validated predictive ability test) against both the linear benchmark and the indicator-average benchmark. Additionally, run </w:t>
      </w:r>
      <w:r>
        <w:rPr>
          <w:b/>
        </w:rPr>
        <w:t>prediction-oriented comparison against the two rejected specifications</w:t>
      </w:r>
      <w:r>
        <w:t xml:space="preserve"> from Section 4.3 of the manuscript — the four-link serial chain and the parallel-capabilities model. This converts the paper's a-priori specification argument into an empirical result and is a genuinely distinctive contribution; do not skip it.</w:t>
      </w:r>
    </w:p>
    <w:p>
      <w:pPr>
        <w:spacing w:after="120"/>
        <w:ind w:firstLine="0"/>
      </w:pPr>
      <w:r>
        <w:rPr>
          <w:b/>
        </w:rPr>
        <w:t>Step 10 — Multi-group analysis.</w:t>
      </w:r>
      <w:r>
        <w:t xml:space="preserve"> Grouping variables, in priority order: TIER (upstream / midstream / processing / downstream), AFF (affiliated / not), SIZE (median split). Establish measurement invariance first via </w:t>
      </w:r>
      <w:r>
        <w:rPr>
          <w:b/>
        </w:rPr>
        <w:t>MICOM</w:t>
      </w:r>
      <w:r>
        <w:t xml:space="preserve"> (configural, compositional, equality of means and variances) before comparing paths — an MGA reported without MICOM will be challenged. Use permutation-based MGA. </w:t>
      </w:r>
      <w:r>
        <w:rPr>
          <w:b/>
        </w:rPr>
        <w:t>Do not run the producer-versus-processor comparison</w:t>
      </w:r>
      <w:r>
        <w:t>: with roughly 70 processors it requires β ≥ 0.30 to be detectable, and the manuscript already states it will not be conducted and why. Honour that.</w:t>
      </w:r>
    </w:p>
    <w:p>
      <w:pPr>
        <w:spacing w:after="120"/>
        <w:ind w:firstLine="0"/>
      </w:pPr>
      <w:r>
        <w:rPr>
          <w:b/>
        </w:rPr>
        <w:t>Step 11 — Robustness battery (eleven checks).</w:t>
      </w:r>
    </w:p>
    <w:p>
      <w:pPr>
        <w:keepNext/>
        <w:spacing w:before="240" w:line="240" w:lineRule="auto"/>
      </w:pPr>
      <w:r>
        <w:rPr>
          <w:b/>
          <w:sz w:val="20"/>
        </w:rPr>
        <w:t>Table A11. Robustness battery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after="40" w:before="40"/>
            </w:pPr>
            <w:r>
              <w:rPr>
                <w:rFonts w:ascii="Times New Roman" w:hAnsi="Times New Roman"/>
                <w:b/>
                <w:sz w:val="18"/>
              </w:rPr>
              <w:t>#</w:t>
            </w:r>
          </w:p>
        </w:tc>
        <w:tc>
          <w:tcPr>
            <w:tcW w:type="dxa" w:w="2340"/>
            <w:shd w:val="clear" w:fill="EFEFEF"/>
          </w:tcPr>
          <w:p>
            <w:pPr>
              <w:spacing w:line="240" w:lineRule="auto" w:after="40" w:before="40"/>
            </w:pPr>
            <w:r>
              <w:rPr>
                <w:rFonts w:ascii="Times New Roman" w:hAnsi="Times New Roman"/>
                <w:b/>
                <w:sz w:val="18"/>
              </w:rPr>
              <w:t>Check</w:t>
            </w:r>
          </w:p>
        </w:tc>
        <w:tc>
          <w:tcPr>
            <w:tcW w:type="dxa" w:w="2340"/>
            <w:shd w:val="clear" w:fill="EFEFEF"/>
          </w:tcPr>
          <w:p>
            <w:pPr>
              <w:spacing w:line="240" w:lineRule="auto" w:after="40" w:before="40"/>
            </w:pPr>
            <w:r>
              <w:rPr>
                <w:rFonts w:ascii="Times New Roman" w:hAnsi="Times New Roman"/>
                <w:b/>
                <w:sz w:val="18"/>
              </w:rPr>
              <w:t>What it addresses</w:t>
            </w:r>
          </w:p>
        </w:tc>
        <w:tc>
          <w:tcPr>
            <w:tcW w:type="dxa" w:w="2340"/>
            <w:shd w:val="clear" w:fill="EFEFEF"/>
          </w:tcPr>
          <w:p>
            <w:pPr>
              <w:spacing w:line="240" w:lineRule="auto" w:after="40" w:before="40"/>
            </w:pPr>
          </w:p>
        </w:tc>
      </w:tr>
      <w:tr>
        <w:tc>
          <w:tcPr>
            <w:tcW w:type="dxa" w:w="2340"/>
          </w:tcPr>
          <w:p>
            <w:pPr>
              <w:spacing w:line="240" w:lineRule="auto" w:after="40" w:before="40"/>
            </w:pPr>
            <w:r>
              <w:rPr>
                <w:rFonts w:ascii="Times New Roman" w:hAnsi="Times New Roman"/>
                <w:sz w:val="18"/>
              </w:rPr>
              <w:t>1</w:t>
            </w:r>
          </w:p>
        </w:tc>
        <w:tc>
          <w:tcPr>
            <w:tcW w:type="dxa" w:w="2340"/>
          </w:tcPr>
          <w:p>
            <w:pPr>
              <w:spacing w:line="240" w:lineRule="auto" w:after="40" w:before="40"/>
            </w:pPr>
            <w:r>
              <w:rPr>
                <w:rFonts w:ascii="Times New Roman" w:hAnsi="Times New Roman"/>
                <w:sz w:val="18"/>
              </w:rPr>
              <w:t>Re-estimate excluding multivariate outliers</w:t>
            </w:r>
          </w:p>
        </w:tc>
        <w:tc>
          <w:tcPr>
            <w:tcW w:type="dxa" w:w="2340"/>
          </w:tcPr>
          <w:p>
            <w:pPr>
              <w:spacing w:line="240" w:lineRule="auto" w:after="40" w:before="40"/>
            </w:pPr>
            <w:r>
              <w:rPr>
                <w:rFonts w:ascii="Times New Roman" w:hAnsi="Times New Roman"/>
                <w:sz w:val="18"/>
              </w:rPr>
              <w:t>Influential cases</w:t>
            </w:r>
          </w:p>
        </w:tc>
        <w:tc>
          <w:tcPr>
            <w:tcW w:type="dxa" w:w="2340"/>
          </w:tcPr>
          <w:p>
            <w:pPr>
              <w:spacing w:line="240" w:lineRule="auto" w:after="40" w:before="40"/>
            </w:pPr>
          </w:p>
        </w:tc>
      </w:tr>
      <w:tr>
        <w:tc>
          <w:tcPr>
            <w:tcW w:type="dxa" w:w="2340"/>
          </w:tcPr>
          <w:p>
            <w:pPr>
              <w:spacing w:line="240" w:lineRule="auto" w:after="40" w:before="40"/>
            </w:pPr>
            <w:r>
              <w:rPr>
                <w:rFonts w:ascii="Times New Roman" w:hAnsi="Times New Roman"/>
                <w:sz w:val="18"/>
              </w:rPr>
              <w:t>2</w:t>
            </w:r>
          </w:p>
        </w:tc>
        <w:tc>
          <w:tcPr>
            <w:tcW w:type="dxa" w:w="2340"/>
          </w:tcPr>
          <w:p>
            <w:pPr>
              <w:spacing w:line="240" w:lineRule="auto" w:after="40" w:before="40"/>
            </w:pPr>
            <w:r>
              <w:rPr>
                <w:rFonts w:ascii="Times New Roman" w:hAnsi="Times New Roman"/>
                <w:sz w:val="18"/>
              </w:rPr>
              <w:t>Re-estimate excluding long-string and fast-completion flagged cases</w:t>
            </w:r>
          </w:p>
        </w:tc>
        <w:tc>
          <w:tcPr>
            <w:tcW w:type="dxa" w:w="2340"/>
          </w:tcPr>
          <w:p>
            <w:pPr>
              <w:spacing w:line="240" w:lineRule="auto" w:after="40" w:before="40"/>
            </w:pPr>
            <w:r>
              <w:rPr>
                <w:rFonts w:ascii="Times New Roman" w:hAnsi="Times New Roman"/>
                <w:sz w:val="18"/>
              </w:rPr>
              <w:t>Careless responding</w:t>
            </w:r>
          </w:p>
        </w:tc>
        <w:tc>
          <w:tcPr>
            <w:tcW w:type="dxa" w:w="2340"/>
          </w:tcPr>
          <w:p>
            <w:pPr>
              <w:spacing w:line="240" w:lineRule="auto" w:after="40" w:before="40"/>
            </w:pPr>
          </w:p>
        </w:tc>
      </w:tr>
      <w:tr>
        <w:tc>
          <w:tcPr>
            <w:tcW w:type="dxa" w:w="2340"/>
          </w:tcPr>
          <w:p>
            <w:pPr>
              <w:spacing w:line="240" w:lineRule="auto" w:after="40" w:before="40"/>
            </w:pPr>
            <w:r>
              <w:rPr>
                <w:rFonts w:ascii="Times New Roman" w:hAnsi="Times New Roman"/>
                <w:sz w:val="18"/>
              </w:rPr>
              <w:t>3</w:t>
            </w:r>
          </w:p>
        </w:tc>
        <w:tc>
          <w:tcPr>
            <w:tcW w:type="dxa" w:w="2340"/>
          </w:tcPr>
          <w:p>
            <w:pPr>
              <w:spacing w:line="240" w:lineRule="auto" w:after="40" w:before="40"/>
            </w:pPr>
            <w:r>
              <w:rPr>
                <w:rFonts w:ascii="Times New Roman" w:hAnsi="Times New Roman"/>
                <w:sz w:val="18"/>
              </w:rPr>
              <w:t>Re-estimate with listwise deletion instead of mean replacement</w:t>
            </w:r>
          </w:p>
        </w:tc>
        <w:tc>
          <w:tcPr>
            <w:tcW w:type="dxa" w:w="2340"/>
          </w:tcPr>
          <w:p>
            <w:pPr>
              <w:spacing w:line="240" w:lineRule="auto" w:after="40" w:before="40"/>
            </w:pPr>
            <w:r>
              <w:rPr>
                <w:rFonts w:ascii="Times New Roman" w:hAnsi="Times New Roman"/>
                <w:sz w:val="18"/>
              </w:rPr>
              <w:t>Missing-data treatment</w:t>
            </w:r>
          </w:p>
        </w:tc>
        <w:tc>
          <w:tcPr>
            <w:tcW w:type="dxa" w:w="2340"/>
          </w:tcPr>
          <w:p>
            <w:pPr>
              <w:spacing w:line="240" w:lineRule="auto" w:after="40" w:before="40"/>
            </w:pPr>
          </w:p>
        </w:tc>
      </w:tr>
      <w:tr>
        <w:tc>
          <w:tcPr>
            <w:tcW w:type="dxa" w:w="2340"/>
          </w:tcPr>
          <w:p>
            <w:pPr>
              <w:spacing w:line="240" w:lineRule="auto" w:after="40" w:before="40"/>
            </w:pPr>
            <w:r>
              <w:rPr>
                <w:rFonts w:ascii="Times New Roman" w:hAnsi="Times New Roman"/>
                <w:sz w:val="18"/>
              </w:rPr>
              <w:t>4</w:t>
            </w:r>
          </w:p>
        </w:tc>
        <w:tc>
          <w:tcPr>
            <w:tcW w:type="dxa" w:w="2340"/>
          </w:tcPr>
          <w:p>
            <w:pPr>
              <w:spacing w:line="240" w:lineRule="auto" w:after="40" w:before="40"/>
            </w:pPr>
            <w:r>
              <w:rPr>
                <w:rFonts w:ascii="Times New Roman" w:hAnsi="Times New Roman"/>
                <w:sz w:val="18"/>
              </w:rPr>
              <w:t>Re-estimate without the seven controls</w:t>
            </w:r>
          </w:p>
        </w:tc>
        <w:tc>
          <w:tcPr>
            <w:tcW w:type="dxa" w:w="2340"/>
          </w:tcPr>
          <w:p>
            <w:pPr>
              <w:spacing w:line="240" w:lineRule="auto" w:after="40" w:before="40"/>
            </w:pPr>
            <w:r>
              <w:rPr>
                <w:rFonts w:ascii="Times New Roman" w:hAnsi="Times New Roman"/>
                <w:sz w:val="18"/>
              </w:rPr>
              <w:t>Control-set sensitivity</w:t>
            </w:r>
          </w:p>
        </w:tc>
        <w:tc>
          <w:tcPr>
            <w:tcW w:type="dxa" w:w="2340"/>
          </w:tcPr>
          <w:p>
            <w:pPr>
              <w:spacing w:line="240" w:lineRule="auto" w:after="40" w:before="40"/>
            </w:pPr>
          </w:p>
        </w:tc>
      </w:tr>
      <w:tr>
        <w:tc>
          <w:tcPr>
            <w:tcW w:type="dxa" w:w="2340"/>
          </w:tcPr>
          <w:p>
            <w:pPr>
              <w:spacing w:line="240" w:lineRule="auto" w:after="40" w:before="40"/>
            </w:pPr>
            <w:r>
              <w:rPr>
                <w:rFonts w:ascii="Times New Roman" w:hAnsi="Times New Roman"/>
                <w:sz w:val="18"/>
              </w:rPr>
              <w:t>5</w:t>
            </w:r>
          </w:p>
        </w:tc>
        <w:tc>
          <w:tcPr>
            <w:tcW w:type="dxa" w:w="2340"/>
          </w:tcPr>
          <w:p>
            <w:pPr>
              <w:spacing w:line="240" w:lineRule="auto" w:after="40" w:before="40"/>
            </w:pPr>
            <w:r>
              <w:rPr>
                <w:rFonts w:ascii="Times New Roman" w:hAnsi="Times New Roman"/>
                <w:sz w:val="18"/>
              </w:rPr>
              <w:t>Re-estimate with the reversed path (CVCI → CIT)</w:t>
            </w:r>
          </w:p>
        </w:tc>
        <w:tc>
          <w:tcPr>
            <w:tcW w:type="dxa" w:w="2340"/>
          </w:tcPr>
          <w:p>
            <w:pPr>
              <w:spacing w:line="240" w:lineRule="auto" w:after="40" w:before="40"/>
            </w:pPr>
            <w:r>
              <w:rPr>
                <w:rFonts w:ascii="Times New Roman" w:hAnsi="Times New Roman"/>
                <w:sz w:val="18"/>
              </w:rPr>
              <w:t>Directional assumption</w:t>
            </w:r>
          </w:p>
        </w:tc>
        <w:tc>
          <w:tcPr>
            <w:tcW w:type="dxa" w:w="2340"/>
          </w:tcPr>
          <w:p>
            <w:pPr>
              <w:spacing w:line="240" w:lineRule="auto" w:after="40" w:before="40"/>
            </w:pPr>
          </w:p>
        </w:tc>
      </w:tr>
      <w:tr>
        <w:tc>
          <w:tcPr>
            <w:tcW w:type="dxa" w:w="2340"/>
          </w:tcPr>
          <w:p>
            <w:pPr>
              <w:spacing w:line="240" w:lineRule="auto" w:after="40" w:before="40"/>
            </w:pPr>
            <w:r>
              <w:rPr>
                <w:rFonts w:ascii="Times New Roman" w:hAnsi="Times New Roman"/>
                <w:sz w:val="18"/>
              </w:rPr>
              <w:t>6</w:t>
            </w:r>
          </w:p>
        </w:tc>
        <w:tc>
          <w:tcPr>
            <w:tcW w:type="dxa" w:w="2340"/>
          </w:tcPr>
          <w:p>
            <w:pPr>
              <w:spacing w:line="240" w:lineRule="auto" w:after="40" w:before="40"/>
            </w:pPr>
            <w:r>
              <w:rPr>
                <w:rFonts w:ascii="Times New Roman" w:hAnsi="Times New Roman"/>
                <w:sz w:val="18"/>
              </w:rPr>
              <w:t>Re-estimate with the MLMV marker correction applied</w:t>
            </w:r>
          </w:p>
        </w:tc>
        <w:tc>
          <w:tcPr>
            <w:tcW w:type="dxa" w:w="2340"/>
          </w:tcPr>
          <w:p>
            <w:pPr>
              <w:spacing w:line="240" w:lineRule="auto" w:after="40" w:before="40"/>
            </w:pPr>
            <w:r>
              <w:rPr>
                <w:rFonts w:ascii="Times New Roman" w:hAnsi="Times New Roman"/>
                <w:sz w:val="18"/>
              </w:rPr>
              <w:t>Common method variance</w:t>
            </w:r>
          </w:p>
        </w:tc>
        <w:tc>
          <w:tcPr>
            <w:tcW w:type="dxa" w:w="2340"/>
          </w:tcPr>
          <w:p>
            <w:pPr>
              <w:spacing w:line="240" w:lineRule="auto" w:after="40" w:before="40"/>
            </w:pPr>
          </w:p>
        </w:tc>
      </w:tr>
      <w:tr>
        <w:tc>
          <w:tcPr>
            <w:tcW w:type="dxa" w:w="2340"/>
          </w:tcPr>
          <w:p>
            <w:pPr>
              <w:spacing w:line="240" w:lineRule="auto" w:after="40" w:before="40"/>
            </w:pPr>
            <w:r>
              <w:rPr>
                <w:rFonts w:ascii="Times New Roman" w:hAnsi="Times New Roman"/>
                <w:sz w:val="18"/>
              </w:rPr>
              <w:t>7</w:t>
            </w:r>
          </w:p>
        </w:tc>
        <w:tc>
          <w:tcPr>
            <w:tcW w:type="dxa" w:w="2340"/>
          </w:tcPr>
          <w:p>
            <w:pPr>
              <w:spacing w:line="240" w:lineRule="auto" w:after="40" w:before="40"/>
            </w:pPr>
            <w:r>
              <w:rPr>
                <w:rFonts w:ascii="Times New Roman" w:hAnsi="Times New Roman"/>
                <w:sz w:val="18"/>
              </w:rPr>
              <w:t>Re-estimate with CVCP as three separate dependent constructs rather than one HOC</w:t>
            </w:r>
          </w:p>
        </w:tc>
        <w:tc>
          <w:tcPr>
            <w:tcW w:type="dxa" w:w="2340"/>
          </w:tcPr>
          <w:p>
            <w:pPr>
              <w:spacing w:line="240" w:lineRule="auto" w:after="40" w:before="40"/>
            </w:pPr>
            <w:r>
              <w:rPr>
                <w:rFonts w:ascii="Times New Roman" w:hAnsi="Times New Roman"/>
                <w:sz w:val="18"/>
              </w:rPr>
              <w:t>Dimensional asymmetry (see Table A13)</w:t>
            </w:r>
          </w:p>
        </w:tc>
        <w:tc>
          <w:tcPr>
            <w:tcW w:type="dxa" w:w="2340"/>
          </w:tcPr>
          <w:p>
            <w:pPr>
              <w:spacing w:line="240" w:lineRule="auto" w:after="40" w:before="40"/>
            </w:pPr>
          </w:p>
        </w:tc>
      </w:tr>
      <w:tr>
        <w:tc>
          <w:tcPr>
            <w:tcW w:type="dxa" w:w="2340"/>
          </w:tcPr>
          <w:p>
            <w:pPr>
              <w:spacing w:line="240" w:lineRule="auto" w:after="40" w:before="40"/>
            </w:pPr>
            <w:r>
              <w:rPr>
                <w:rFonts w:ascii="Times New Roman" w:hAnsi="Times New Roman"/>
                <w:sz w:val="18"/>
              </w:rPr>
              <w:t>8</w:t>
            </w:r>
          </w:p>
        </w:tc>
        <w:tc>
          <w:tcPr>
            <w:tcW w:type="dxa" w:w="2340"/>
          </w:tcPr>
          <w:p>
            <w:pPr>
              <w:spacing w:line="240" w:lineRule="auto" w:after="40" w:before="40"/>
            </w:pPr>
            <w:r>
              <w:rPr>
                <w:rFonts w:ascii="Times New Roman" w:hAnsi="Times New Roman"/>
                <w:sz w:val="18"/>
              </w:rPr>
              <w:t>Re-estimate using the product-indicator instead of two-stage interaction</w:t>
            </w:r>
          </w:p>
        </w:tc>
        <w:tc>
          <w:tcPr>
            <w:tcW w:type="dxa" w:w="2340"/>
          </w:tcPr>
          <w:p>
            <w:pPr>
              <w:spacing w:line="240" w:lineRule="auto" w:after="40" w:before="40"/>
            </w:pPr>
            <w:r>
              <w:rPr>
                <w:rFonts w:ascii="Times New Roman" w:hAnsi="Times New Roman"/>
                <w:sz w:val="18"/>
              </w:rPr>
              <w:t>Interaction operationalisation</w:t>
            </w:r>
          </w:p>
        </w:tc>
        <w:tc>
          <w:tcPr>
            <w:tcW w:type="dxa" w:w="2340"/>
          </w:tcPr>
          <w:p>
            <w:pPr>
              <w:spacing w:line="240" w:lineRule="auto" w:after="40" w:before="40"/>
            </w:pPr>
          </w:p>
        </w:tc>
      </w:tr>
      <w:tr>
        <w:tc>
          <w:tcPr>
            <w:tcW w:type="dxa" w:w="2340"/>
          </w:tcPr>
          <w:p>
            <w:pPr>
              <w:spacing w:line="240" w:lineRule="auto" w:after="40" w:before="40"/>
            </w:pPr>
            <w:r>
              <w:rPr>
                <w:rFonts w:ascii="Times New Roman" w:hAnsi="Times New Roman"/>
                <w:sz w:val="18"/>
              </w:rPr>
              <w:t>9</w:t>
            </w:r>
          </w:p>
        </w:tc>
        <w:tc>
          <w:tcPr>
            <w:tcW w:type="dxa" w:w="2340"/>
          </w:tcPr>
          <w:p>
            <w:pPr>
              <w:spacing w:line="240" w:lineRule="auto" w:after="40" w:before="40"/>
            </w:pPr>
            <w:r>
              <w:rPr>
                <w:rFonts w:ascii="Times New Roman" w:hAnsi="Times New Roman"/>
                <w:sz w:val="18"/>
              </w:rPr>
              <w:t>Re-estimate by consistent PLS (PLSc)</w:t>
            </w:r>
          </w:p>
        </w:tc>
        <w:tc>
          <w:tcPr>
            <w:tcW w:type="dxa" w:w="2340"/>
          </w:tcPr>
          <w:p>
            <w:pPr>
              <w:spacing w:line="240" w:lineRule="auto" w:after="40" w:before="40"/>
            </w:pPr>
            <w:r>
              <w:rPr>
                <w:rFonts w:ascii="Times New Roman" w:hAnsi="Times New Roman"/>
                <w:sz w:val="18"/>
              </w:rPr>
              <w:t>Composite vs common-factor assumption</w:t>
            </w:r>
          </w:p>
        </w:tc>
        <w:tc>
          <w:tcPr>
            <w:tcW w:type="dxa" w:w="2340"/>
          </w:tcPr>
          <w:p>
            <w:pPr>
              <w:spacing w:line="240" w:lineRule="auto" w:after="40" w:before="40"/>
            </w:pPr>
          </w:p>
        </w:tc>
      </w:tr>
      <w:tr>
        <w:tc>
          <w:tcPr>
            <w:tcW w:type="dxa" w:w="2340"/>
          </w:tcPr>
          <w:p>
            <w:pPr>
              <w:spacing w:line="240" w:lineRule="auto" w:after="40" w:before="40"/>
            </w:pPr>
            <w:r>
              <w:rPr>
                <w:rFonts w:ascii="Times New Roman" w:hAnsi="Times New Roman"/>
                <w:sz w:val="18"/>
              </w:rPr>
              <w:t>10</w:t>
            </w:r>
          </w:p>
        </w:tc>
        <w:tc>
          <w:tcPr>
            <w:tcW w:type="dxa" w:w="2340"/>
          </w:tcPr>
          <w:p>
            <w:pPr>
              <w:spacing w:line="240" w:lineRule="auto" w:after="40" w:before="40"/>
            </w:pPr>
            <w:r>
              <w:rPr>
                <w:rFonts w:ascii="Times New Roman" w:hAnsi="Times New Roman"/>
                <w:sz w:val="18"/>
              </w:rPr>
              <w:t>Re-estimate by covariance-based SEM on the reflective portion</w:t>
            </w:r>
          </w:p>
        </w:tc>
        <w:tc>
          <w:tcPr>
            <w:tcW w:type="dxa" w:w="2340"/>
          </w:tcPr>
          <w:p>
            <w:pPr>
              <w:spacing w:line="240" w:lineRule="auto" w:after="40" w:before="40"/>
            </w:pPr>
            <w:r>
              <w:rPr>
                <w:rFonts w:ascii="Times New Roman" w:hAnsi="Times New Roman"/>
                <w:sz w:val="18"/>
              </w:rPr>
              <w:t>Estimator sensitivity (see Section 11)</w:t>
            </w:r>
          </w:p>
        </w:tc>
        <w:tc>
          <w:tcPr>
            <w:tcW w:type="dxa" w:w="2340"/>
          </w:tcPr>
          <w:p>
            <w:pPr>
              <w:spacing w:line="240" w:lineRule="auto" w:after="40" w:before="40"/>
            </w:pPr>
          </w:p>
        </w:tc>
      </w:tr>
      <w:tr>
        <w:tc>
          <w:tcPr>
            <w:tcW w:type="dxa" w:w="2340"/>
          </w:tcPr>
          <w:p>
            <w:pPr>
              <w:spacing w:line="240" w:lineRule="auto" w:after="40" w:before="40"/>
            </w:pPr>
            <w:r>
              <w:rPr>
                <w:rFonts w:ascii="Times New Roman" w:hAnsi="Times New Roman"/>
                <w:sz w:val="18"/>
              </w:rPr>
              <w:t>11</w:t>
            </w:r>
          </w:p>
        </w:tc>
        <w:tc>
          <w:tcPr>
            <w:tcW w:type="dxa" w:w="2340"/>
          </w:tcPr>
          <w:p>
            <w:pPr>
              <w:spacing w:line="240" w:lineRule="auto" w:after="40" w:before="40"/>
            </w:pPr>
            <w:r>
              <w:rPr>
                <w:rFonts w:ascii="Times New Roman" w:hAnsi="Times New Roman"/>
                <w:sz w:val="18"/>
              </w:rPr>
              <w:t>Enumerator ICC and re-estimation with enumerator fixed effects</w:t>
            </w:r>
          </w:p>
        </w:tc>
        <w:tc>
          <w:tcPr>
            <w:tcW w:type="dxa" w:w="2340"/>
          </w:tcPr>
          <w:p>
            <w:pPr>
              <w:spacing w:line="240" w:lineRule="auto" w:after="40" w:before="40"/>
            </w:pPr>
            <w:r>
              <w:rPr>
                <w:rFonts w:ascii="Times New Roman" w:hAnsi="Times New Roman"/>
                <w:sz w:val="18"/>
              </w:rPr>
              <w:t>Interviewer effects</w:t>
            </w:r>
          </w:p>
        </w:tc>
        <w:tc>
          <w:tcPr>
            <w:tcW w:type="dxa" w:w="2340"/>
          </w:tcPr>
          <w:p>
            <w:pPr>
              <w:spacing w:line="240" w:lineRule="auto" w:after="40" w:before="40"/>
            </w:pPr>
          </w:p>
        </w:tc>
      </w:tr>
    </w:tbl>
    <w:p>
      <w:pPr>
        <w:spacing w:line="240" w:lineRule="auto"/>
      </w:pPr>
    </w:p>
    <w:p>
      <w:pPr>
        <w:spacing w:after="120"/>
        <w:ind w:firstLine="0"/>
      </w:pPr>
      <w:r>
        <w:t>Report every check in a supplementary table with the focal parameters β₂, β₆♭ and the index of moderated mediation in each. If any check reverses a conclusion, that belongs in the main text, not the supplement.</w:t>
      </w:r>
    </w:p>
    <w:p>
      <w:pPr>
        <w:pStyle w:val="Heading1"/>
      </w:pPr>
      <w:r>
        <w:t>7. Result tables to produce</w:t>
      </w:r>
    </w:p>
    <w:p>
      <w:pPr>
        <w:spacing w:after="120"/>
        <w:ind w:firstLine="0"/>
      </w:pPr>
      <w:r>
        <w:t>Build these as empty shells first and fill them. Numbering continues from the eight tables already in the manuscript.</w:t>
      </w:r>
    </w:p>
    <w:p>
      <w:pPr>
        <w:keepNext/>
        <w:spacing w:before="240" w:line="240" w:lineRule="auto"/>
      </w:pPr>
      <w:r>
        <w:rPr>
          <w:b/>
          <w:sz w:val="20"/>
        </w:rPr>
        <w:t>Table A12. Required result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pPr>
              <w:spacing w:line="240" w:lineRule="auto" w:after="40" w:before="40"/>
            </w:pPr>
            <w:r>
              <w:rPr>
                <w:rFonts w:ascii="Times New Roman" w:hAnsi="Times New Roman"/>
                <w:b/>
                <w:sz w:val="18"/>
              </w:rPr>
              <w:t>Table</w:t>
            </w:r>
          </w:p>
        </w:tc>
        <w:tc>
          <w:tcPr>
            <w:tcW w:type="dxa" w:w="3120"/>
            <w:shd w:val="clear" w:fill="EFEFEF"/>
          </w:tcPr>
          <w:p>
            <w:pPr>
              <w:spacing w:line="240" w:lineRule="auto" w:after="40" w:before="40"/>
            </w:pPr>
            <w:r>
              <w:rPr>
                <w:rFonts w:ascii="Times New Roman" w:hAnsi="Times New Roman"/>
                <w:b/>
                <w:sz w:val="18"/>
              </w:rPr>
              <w:t>Content</w:t>
            </w:r>
          </w:p>
        </w:tc>
        <w:tc>
          <w:tcPr>
            <w:tcW w:type="dxa" w:w="3120"/>
            <w:shd w:val="clear" w:fill="EFEFEF"/>
          </w:tcPr>
          <w:p>
            <w:pPr>
              <w:spacing w:line="240" w:lineRule="auto" w:after="40" w:before="40"/>
            </w:pPr>
            <w:r>
              <w:rPr>
                <w:rFonts w:ascii="Times New Roman" w:hAnsi="Times New Roman"/>
                <w:b/>
                <w:sz w:val="18"/>
              </w:rPr>
              <w:t>Columns</w:t>
            </w:r>
          </w:p>
        </w:tc>
      </w:tr>
      <w:tr>
        <w:tc>
          <w:tcPr>
            <w:tcW w:type="dxa" w:w="3120"/>
          </w:tcPr>
          <w:p>
            <w:pPr>
              <w:spacing w:line="240" w:lineRule="auto" w:after="40" w:before="40"/>
            </w:pPr>
            <w:r>
              <w:rPr>
                <w:rFonts w:ascii="Times New Roman" w:hAnsi="Times New Roman"/>
                <w:sz w:val="18"/>
              </w:rPr>
              <w:t>9</w:t>
            </w:r>
          </w:p>
        </w:tc>
        <w:tc>
          <w:tcPr>
            <w:tcW w:type="dxa" w:w="3120"/>
          </w:tcPr>
          <w:p>
            <w:pPr>
              <w:spacing w:line="240" w:lineRule="auto" w:after="40" w:before="40"/>
            </w:pPr>
            <w:r>
              <w:rPr>
                <w:rFonts w:ascii="Times New Roman" w:hAnsi="Times New Roman"/>
                <w:sz w:val="18"/>
              </w:rPr>
              <w:t>Sample profile and response accounting</w:t>
            </w:r>
          </w:p>
        </w:tc>
        <w:tc>
          <w:tcPr>
            <w:tcW w:type="dxa" w:w="3120"/>
          </w:tcPr>
          <w:p>
            <w:pPr>
              <w:spacing w:line="240" w:lineRule="auto" w:after="40" w:before="40"/>
            </w:pPr>
            <w:r>
              <w:rPr>
                <w:rFonts w:ascii="Times New Roman" w:hAnsi="Times New Roman"/>
                <w:sz w:val="18"/>
              </w:rPr>
              <w:t xml:space="preserve">Stratum; targeted; contacted; screened out; completed; analysed; response rate; </w:t>
            </w:r>
            <w:r>
              <w:rPr>
                <w:rFonts w:ascii="Times New Roman" w:hAnsi="Times New Roman"/>
                <w:b/>
                <w:sz w:val="18"/>
              </w:rPr>
              <w:t>CGQ mean and SD by stratum</w:t>
            </w:r>
          </w:p>
        </w:tc>
      </w:tr>
      <w:tr>
        <w:tc>
          <w:tcPr>
            <w:tcW w:type="dxa" w:w="3120"/>
          </w:tcPr>
          <w:p>
            <w:pPr>
              <w:spacing w:line="240" w:lineRule="auto" w:after="40" w:before="40"/>
            </w:pPr>
            <w:r>
              <w:rPr>
                <w:rFonts w:ascii="Times New Roman" w:hAnsi="Times New Roman"/>
                <w:sz w:val="18"/>
              </w:rPr>
              <w:t>10</w:t>
            </w:r>
          </w:p>
        </w:tc>
        <w:tc>
          <w:tcPr>
            <w:tcW w:type="dxa" w:w="3120"/>
          </w:tcPr>
          <w:p>
            <w:pPr>
              <w:spacing w:line="240" w:lineRule="auto" w:after="40" w:before="40"/>
            </w:pPr>
            <w:r>
              <w:rPr>
                <w:rFonts w:ascii="Times New Roman" w:hAnsi="Times New Roman"/>
                <w:sz w:val="18"/>
              </w:rPr>
              <w:t>Descriptive statistics and construct correlations</w:t>
            </w:r>
          </w:p>
        </w:tc>
        <w:tc>
          <w:tcPr>
            <w:tcW w:type="dxa" w:w="3120"/>
          </w:tcPr>
          <w:p>
            <w:pPr>
              <w:spacing w:line="240" w:lineRule="auto" w:after="40" w:before="40"/>
            </w:pPr>
            <w:r>
              <w:rPr>
                <w:rFonts w:ascii="Times New Roman" w:hAnsi="Times New Roman"/>
                <w:sz w:val="18"/>
              </w:rPr>
              <w:t xml:space="preserve">Construct; mean; SD; skew; kurtosis; correlations below diagonal; </w:t>
            </w:r>
            <w:r>
              <w:rPr>
                <w:rFonts w:ascii="Times New Roman" w:hAnsi="Times New Roman"/>
                <w:b/>
                <w:sz w:val="18"/>
              </w:rPr>
              <w:t>HTMT above diagonal</w:t>
            </w:r>
          </w:p>
        </w:tc>
      </w:tr>
      <w:tr>
        <w:tc>
          <w:tcPr>
            <w:tcW w:type="dxa" w:w="3120"/>
          </w:tcPr>
          <w:p>
            <w:pPr>
              <w:spacing w:line="240" w:lineRule="auto" w:after="40" w:before="40"/>
            </w:pPr>
            <w:r>
              <w:rPr>
                <w:rFonts w:ascii="Times New Roman" w:hAnsi="Times New Roman"/>
                <w:sz w:val="18"/>
              </w:rPr>
              <w:t>11</w:t>
            </w:r>
          </w:p>
        </w:tc>
        <w:tc>
          <w:tcPr>
            <w:tcW w:type="dxa" w:w="3120"/>
          </w:tcPr>
          <w:p>
            <w:pPr>
              <w:spacing w:line="240" w:lineRule="auto" w:after="40" w:before="40"/>
            </w:pPr>
            <w:r>
              <w:rPr>
                <w:rFonts w:ascii="Times New Roman" w:hAnsi="Times New Roman"/>
                <w:sz w:val="18"/>
              </w:rPr>
              <w:t>Reflective measurement model</w:t>
            </w:r>
          </w:p>
        </w:tc>
        <w:tc>
          <w:tcPr>
            <w:tcW w:type="dxa" w:w="3120"/>
          </w:tcPr>
          <w:p>
            <w:pPr>
              <w:spacing w:line="240" w:lineRule="auto" w:after="40" w:before="40"/>
            </w:pPr>
            <w:r>
              <w:rPr>
                <w:rFonts w:ascii="Times New Roman" w:hAnsi="Times New Roman"/>
                <w:sz w:val="18"/>
              </w:rPr>
              <w:t>Construct; item; loading; t; ρ_A; ρ_c; AVE</w:t>
            </w:r>
          </w:p>
        </w:tc>
      </w:tr>
      <w:tr>
        <w:tc>
          <w:tcPr>
            <w:tcW w:type="dxa" w:w="3120"/>
          </w:tcPr>
          <w:p>
            <w:pPr>
              <w:spacing w:line="240" w:lineRule="auto" w:after="40" w:before="40"/>
            </w:pPr>
            <w:r>
              <w:rPr>
                <w:rFonts w:ascii="Times New Roman" w:hAnsi="Times New Roman"/>
                <w:sz w:val="18"/>
              </w:rPr>
              <w:t>12</w:t>
            </w:r>
          </w:p>
        </w:tc>
        <w:tc>
          <w:tcPr>
            <w:tcW w:type="dxa" w:w="3120"/>
          </w:tcPr>
          <w:p>
            <w:pPr>
              <w:spacing w:line="240" w:lineRule="auto" w:after="40" w:before="40"/>
            </w:pPr>
            <w:r>
              <w:rPr>
                <w:rFonts w:ascii="Times New Roman" w:hAnsi="Times New Roman"/>
                <w:sz w:val="18"/>
              </w:rPr>
              <w:t>Formative higher-order constructs</w:t>
            </w:r>
          </w:p>
        </w:tc>
        <w:tc>
          <w:tcPr>
            <w:tcW w:type="dxa" w:w="3120"/>
          </w:tcPr>
          <w:p>
            <w:pPr>
              <w:spacing w:line="240" w:lineRule="auto" w:after="40" w:before="40"/>
            </w:pPr>
            <w:r>
              <w:rPr>
                <w:rFonts w:ascii="Times New Roman" w:hAnsi="Times New Roman"/>
                <w:sz w:val="18"/>
              </w:rPr>
              <w:t>HOC; dimension; outer weight; t; outer loading; VIF; redundancy-analysis path</w:t>
            </w:r>
          </w:p>
        </w:tc>
      </w:tr>
      <w:tr>
        <w:tc>
          <w:tcPr>
            <w:tcW w:type="dxa" w:w="3120"/>
          </w:tcPr>
          <w:p>
            <w:pPr>
              <w:spacing w:line="240" w:lineRule="auto" w:after="40" w:before="40"/>
            </w:pPr>
            <w:r>
              <w:rPr>
                <w:rFonts w:ascii="Times New Roman" w:hAnsi="Times New Roman"/>
                <w:sz w:val="18"/>
              </w:rPr>
              <w:t>13</w:t>
            </w:r>
          </w:p>
        </w:tc>
        <w:tc>
          <w:tcPr>
            <w:tcW w:type="dxa" w:w="3120"/>
          </w:tcPr>
          <w:p>
            <w:pPr>
              <w:spacing w:line="240" w:lineRule="auto" w:after="40" w:before="40"/>
            </w:pPr>
            <w:r>
              <w:rPr>
                <w:rFonts w:ascii="Times New Roman" w:hAnsi="Times New Roman"/>
                <w:sz w:val="18"/>
              </w:rPr>
              <w:t>Discriminant validity</w:t>
            </w:r>
          </w:p>
        </w:tc>
        <w:tc>
          <w:tcPr>
            <w:tcW w:type="dxa" w:w="3120"/>
          </w:tcPr>
          <w:p>
            <w:pPr>
              <w:spacing w:line="240" w:lineRule="auto" w:after="40" w:before="40"/>
            </w:pPr>
            <w:r>
              <w:rPr>
                <w:rFonts w:ascii="Times New Roman" w:hAnsi="Times New Roman"/>
                <w:sz w:val="18"/>
              </w:rPr>
              <w:t>HTMT matrix with bootstrap upper CIs; flag the CAC–CIT and CGQ–CVCI cells explicitly</w:t>
            </w:r>
          </w:p>
        </w:tc>
      </w:tr>
      <w:tr>
        <w:tc>
          <w:tcPr>
            <w:tcW w:type="dxa" w:w="3120"/>
          </w:tcPr>
          <w:p>
            <w:pPr>
              <w:spacing w:line="240" w:lineRule="auto" w:after="40" w:before="40"/>
            </w:pPr>
            <w:r>
              <w:rPr>
                <w:rFonts w:ascii="Times New Roman" w:hAnsi="Times New Roman"/>
                <w:sz w:val="18"/>
              </w:rPr>
              <w:t>14</w:t>
            </w:r>
          </w:p>
        </w:tc>
        <w:tc>
          <w:tcPr>
            <w:tcW w:type="dxa" w:w="3120"/>
          </w:tcPr>
          <w:p>
            <w:pPr>
              <w:spacing w:line="240" w:lineRule="auto" w:after="40" w:before="40"/>
            </w:pPr>
            <w:r>
              <w:rPr>
                <w:rFonts w:ascii="Times New Roman" w:hAnsi="Times New Roman"/>
                <w:sz w:val="18"/>
              </w:rPr>
              <w:t>Common method bias</w:t>
            </w:r>
          </w:p>
        </w:tc>
        <w:tc>
          <w:tcPr>
            <w:tcW w:type="dxa" w:w="3120"/>
          </w:tcPr>
          <w:p>
            <w:pPr>
              <w:spacing w:line="240" w:lineRule="auto" w:after="40" w:before="40"/>
            </w:pPr>
            <w:r>
              <w:rPr>
                <w:rFonts w:ascii="Times New Roman" w:hAnsi="Times New Roman"/>
                <w:sz w:val="18"/>
              </w:rPr>
              <w:t>Full-collinearity VIF; marker correlations; paths with and without MLMV correction</w:t>
            </w:r>
          </w:p>
        </w:tc>
      </w:tr>
      <w:tr>
        <w:tc>
          <w:tcPr>
            <w:tcW w:type="dxa" w:w="3120"/>
          </w:tcPr>
          <w:p>
            <w:pPr>
              <w:spacing w:line="240" w:lineRule="auto" w:after="40" w:before="40"/>
            </w:pPr>
            <w:r>
              <w:rPr>
                <w:rFonts w:ascii="Times New Roman" w:hAnsi="Times New Roman"/>
                <w:sz w:val="18"/>
              </w:rPr>
              <w:t>15</w:t>
            </w:r>
          </w:p>
        </w:tc>
        <w:tc>
          <w:tcPr>
            <w:tcW w:type="dxa" w:w="3120"/>
          </w:tcPr>
          <w:p>
            <w:pPr>
              <w:spacing w:line="240" w:lineRule="auto" w:after="40" w:before="40"/>
            </w:pPr>
            <w:r>
              <w:rPr>
                <w:rFonts w:ascii="Times New Roman" w:hAnsi="Times New Roman"/>
                <w:sz w:val="18"/>
              </w:rPr>
              <w:t>Structural model</w:t>
            </w:r>
          </w:p>
        </w:tc>
        <w:tc>
          <w:tcPr>
            <w:tcW w:type="dxa" w:w="3120"/>
          </w:tcPr>
          <w:p>
            <w:pPr>
              <w:spacing w:line="240" w:lineRule="auto" w:after="40" w:before="40"/>
            </w:pPr>
            <w:r>
              <w:rPr>
                <w:rFonts w:ascii="Times New Roman" w:hAnsi="Times New Roman"/>
                <w:sz w:val="18"/>
              </w:rPr>
              <w:t>Path; β; SE; t; p; 95% percentile CI; 95% BC CI; f²; VIF; hypothesis; supported?</w:t>
            </w:r>
          </w:p>
        </w:tc>
      </w:tr>
      <w:tr>
        <w:tc>
          <w:tcPr>
            <w:tcW w:type="dxa" w:w="3120"/>
          </w:tcPr>
          <w:p>
            <w:pPr>
              <w:spacing w:line="240" w:lineRule="auto" w:after="40" w:before="40"/>
            </w:pPr>
            <w:r>
              <w:rPr>
                <w:rFonts w:ascii="Times New Roman" w:hAnsi="Times New Roman"/>
                <w:sz w:val="18"/>
              </w:rPr>
              <w:t>16</w:t>
            </w:r>
          </w:p>
        </w:tc>
        <w:tc>
          <w:tcPr>
            <w:tcW w:type="dxa" w:w="3120"/>
          </w:tcPr>
          <w:p>
            <w:pPr>
              <w:spacing w:line="240" w:lineRule="auto" w:after="40" w:before="40"/>
            </w:pPr>
            <w:r>
              <w:rPr>
                <w:rFonts w:ascii="Times New Roman" w:hAnsi="Times New Roman"/>
                <w:sz w:val="18"/>
              </w:rPr>
              <w:t>Explanatory and predictive power</w:t>
            </w:r>
          </w:p>
        </w:tc>
        <w:tc>
          <w:tcPr>
            <w:tcW w:type="dxa" w:w="3120"/>
          </w:tcPr>
          <w:p>
            <w:pPr>
              <w:spacing w:line="240" w:lineRule="auto" w:after="40" w:before="40"/>
            </w:pPr>
            <w:r>
              <w:rPr>
                <w:rFonts w:ascii="Times New Roman" w:hAnsi="Times New Roman"/>
                <w:sz w:val="18"/>
              </w:rPr>
              <w:t>Construct; R²; adj. R²; Q²predict; RMSE(PLS) vs RMSE(LM); CVPAT loss difference</w:t>
            </w:r>
          </w:p>
        </w:tc>
      </w:tr>
      <w:tr>
        <w:tc>
          <w:tcPr>
            <w:tcW w:type="dxa" w:w="3120"/>
          </w:tcPr>
          <w:p>
            <w:pPr>
              <w:spacing w:line="240" w:lineRule="auto" w:after="40" w:before="40"/>
            </w:pPr>
            <w:r>
              <w:rPr>
                <w:rFonts w:ascii="Times New Roman" w:hAnsi="Times New Roman"/>
                <w:sz w:val="18"/>
              </w:rPr>
              <w:t>17</w:t>
            </w:r>
          </w:p>
        </w:tc>
        <w:tc>
          <w:tcPr>
            <w:tcW w:type="dxa" w:w="3120"/>
          </w:tcPr>
          <w:p>
            <w:pPr>
              <w:spacing w:line="240" w:lineRule="auto" w:after="40" w:before="40"/>
            </w:pPr>
            <w:r>
              <w:rPr>
                <w:rFonts w:ascii="Times New Roman" w:hAnsi="Times New Roman"/>
                <w:sz w:val="18"/>
              </w:rPr>
              <w:t>Mediation</w:t>
            </w:r>
          </w:p>
        </w:tc>
        <w:tc>
          <w:tcPr>
            <w:tcW w:type="dxa" w:w="3120"/>
          </w:tcPr>
          <w:p>
            <w:pPr>
              <w:spacing w:line="240" w:lineRule="auto" w:after="40" w:before="40"/>
            </w:pPr>
            <w:r>
              <w:rPr>
                <w:rFonts w:ascii="Times New Roman" w:hAnsi="Times New Roman"/>
                <w:sz w:val="18"/>
              </w:rPr>
              <w:t>Effect; point estimate; CI; type (complementary / indirect-only / none); hypothesis</w:t>
            </w:r>
          </w:p>
        </w:tc>
      </w:tr>
      <w:tr>
        <w:tc>
          <w:tcPr>
            <w:tcW w:type="dxa" w:w="3120"/>
          </w:tcPr>
          <w:p>
            <w:pPr>
              <w:spacing w:line="240" w:lineRule="auto" w:after="40" w:before="40"/>
            </w:pPr>
            <w:r>
              <w:rPr>
                <w:rFonts w:ascii="Times New Roman" w:hAnsi="Times New Roman"/>
                <w:sz w:val="18"/>
              </w:rPr>
              <w:t>18</w:t>
            </w:r>
          </w:p>
        </w:tc>
        <w:tc>
          <w:tcPr>
            <w:tcW w:type="dxa" w:w="3120"/>
          </w:tcPr>
          <w:p>
            <w:pPr>
              <w:spacing w:line="240" w:lineRule="auto" w:after="40" w:before="40"/>
            </w:pPr>
            <w:r>
              <w:rPr>
                <w:rFonts w:ascii="Times New Roman" w:hAnsi="Times New Roman"/>
                <w:sz w:val="18"/>
              </w:rPr>
              <w:t>Moderation</w:t>
            </w:r>
          </w:p>
        </w:tc>
        <w:tc>
          <w:tcPr>
            <w:tcW w:type="dxa" w:w="3120"/>
          </w:tcPr>
          <w:p>
            <w:pPr>
              <w:spacing w:line="240" w:lineRule="auto" w:after="40" w:before="40"/>
            </w:pPr>
            <w:r>
              <w:rPr>
                <w:rFonts w:ascii="Times New Roman" w:hAnsi="Times New Roman"/>
                <w:sz w:val="18"/>
              </w:rPr>
              <w:t xml:space="preserve">Interaction β; f² vs 0.005/0.01/0.025; simple slopes at −1SD/mean/+1SD with CIs; </w:t>
            </w:r>
            <w:r>
              <w:rPr>
                <w:rFonts w:ascii="Times New Roman" w:hAnsi="Times New Roman"/>
                <w:b/>
                <w:sz w:val="18"/>
              </w:rPr>
              <w:t>Johnson–Neyman point in raw and SD units</w:t>
            </w:r>
          </w:p>
        </w:tc>
      </w:tr>
      <w:tr>
        <w:tc>
          <w:tcPr>
            <w:tcW w:type="dxa" w:w="3120"/>
          </w:tcPr>
          <w:p>
            <w:pPr>
              <w:spacing w:line="240" w:lineRule="auto" w:after="40" w:before="40"/>
            </w:pPr>
            <w:r>
              <w:rPr>
                <w:rFonts w:ascii="Times New Roman" w:hAnsi="Times New Roman"/>
                <w:sz w:val="18"/>
              </w:rPr>
              <w:t>19</w:t>
            </w:r>
          </w:p>
        </w:tc>
        <w:tc>
          <w:tcPr>
            <w:tcW w:type="dxa" w:w="3120"/>
          </w:tcPr>
          <w:p>
            <w:pPr>
              <w:spacing w:line="240" w:lineRule="auto" w:after="40" w:before="40"/>
            </w:pPr>
            <w:r>
              <w:rPr>
                <w:rFonts w:ascii="Times New Roman" w:hAnsi="Times New Roman"/>
                <w:sz w:val="18"/>
              </w:rPr>
              <w:t>Conditional indirect effects and index of moderated mediation</w:t>
            </w:r>
          </w:p>
        </w:tc>
        <w:tc>
          <w:tcPr>
            <w:tcW w:type="dxa" w:w="3120"/>
          </w:tcPr>
          <w:p>
            <w:pPr>
              <w:spacing w:line="240" w:lineRule="auto" w:after="40" w:before="40"/>
            </w:pPr>
            <w:r>
              <w:rPr>
                <w:rFonts w:ascii="Times New Roman" w:hAnsi="Times New Roman"/>
                <w:sz w:val="18"/>
              </w:rPr>
              <w:t>CGQ level; conditional indirect effect; CI; index; index CI</w:t>
            </w:r>
          </w:p>
        </w:tc>
      </w:tr>
      <w:tr>
        <w:tc>
          <w:tcPr>
            <w:tcW w:type="dxa" w:w="3120"/>
          </w:tcPr>
          <w:p>
            <w:pPr>
              <w:spacing w:line="240" w:lineRule="auto" w:after="40" w:before="40"/>
            </w:pPr>
            <w:r>
              <w:rPr>
                <w:rFonts w:ascii="Times New Roman" w:hAnsi="Times New Roman"/>
                <w:sz w:val="18"/>
              </w:rPr>
              <w:t>20</w:t>
            </w:r>
          </w:p>
        </w:tc>
        <w:tc>
          <w:tcPr>
            <w:tcW w:type="dxa" w:w="3120"/>
          </w:tcPr>
          <w:p>
            <w:pPr>
              <w:spacing w:line="240" w:lineRule="auto" w:after="40" w:before="40"/>
            </w:pPr>
            <w:r>
              <w:rPr>
                <w:rFonts w:ascii="Times New Roman" w:hAnsi="Times New Roman"/>
                <w:sz w:val="18"/>
              </w:rPr>
              <w:t>Specification comparison</w:t>
            </w:r>
          </w:p>
        </w:tc>
        <w:tc>
          <w:tcPr>
            <w:tcW w:type="dxa" w:w="3120"/>
          </w:tcPr>
          <w:p>
            <w:pPr>
              <w:spacing w:line="240" w:lineRule="auto" w:after="40" w:before="40"/>
            </w:pPr>
            <w:r>
              <w:rPr>
                <w:rFonts w:ascii="Times New Roman" w:hAnsi="Times New Roman"/>
                <w:sz w:val="18"/>
              </w:rPr>
              <w:t>Model; R²(CVCI); R²(CVCP); Q²predict; CVPAT; serial indirect effect; verdict — adopted three-link vs rejected four-link vs parallel-capabilities</w:t>
            </w:r>
          </w:p>
        </w:tc>
      </w:tr>
      <w:tr>
        <w:tc>
          <w:tcPr>
            <w:tcW w:type="dxa" w:w="3120"/>
          </w:tcPr>
          <w:p>
            <w:pPr>
              <w:spacing w:line="240" w:lineRule="auto" w:after="40" w:before="40"/>
            </w:pPr>
            <w:r>
              <w:rPr>
                <w:rFonts w:ascii="Times New Roman" w:hAnsi="Times New Roman"/>
                <w:sz w:val="18"/>
              </w:rPr>
              <w:t>21</w:t>
            </w:r>
          </w:p>
        </w:tc>
        <w:tc>
          <w:tcPr>
            <w:tcW w:type="dxa" w:w="3120"/>
          </w:tcPr>
          <w:p>
            <w:pPr>
              <w:spacing w:line="240" w:lineRule="auto" w:after="40" w:before="40"/>
            </w:pPr>
            <w:r>
              <w:rPr>
                <w:rFonts w:ascii="Times New Roman" w:hAnsi="Times New Roman"/>
                <w:sz w:val="18"/>
              </w:rPr>
              <w:t>Multi-group analysis</w:t>
            </w:r>
          </w:p>
        </w:tc>
        <w:tc>
          <w:tcPr>
            <w:tcW w:type="dxa" w:w="3120"/>
          </w:tcPr>
          <w:p>
            <w:pPr>
              <w:spacing w:line="240" w:lineRule="auto" w:after="40" w:before="40"/>
            </w:pPr>
            <w:r>
              <w:rPr>
                <w:rFonts w:ascii="Times New Roman" w:hAnsi="Times New Roman"/>
                <w:sz w:val="18"/>
              </w:rPr>
              <w:t>MICOM results; then group-wise β for β₂, β₆ₐ, β₆♭ with permutation p-values</w:t>
            </w:r>
          </w:p>
        </w:tc>
      </w:tr>
      <w:tr>
        <w:tc>
          <w:tcPr>
            <w:tcW w:type="dxa" w:w="3120"/>
          </w:tcPr>
          <w:p>
            <w:pPr>
              <w:spacing w:line="240" w:lineRule="auto" w:after="40" w:before="40"/>
            </w:pPr>
            <w:r>
              <w:rPr>
                <w:rFonts w:ascii="Times New Roman" w:hAnsi="Times New Roman"/>
                <w:sz w:val="18"/>
              </w:rPr>
              <w:t>22 (supplementary)</w:t>
            </w:r>
          </w:p>
        </w:tc>
        <w:tc>
          <w:tcPr>
            <w:tcW w:type="dxa" w:w="3120"/>
          </w:tcPr>
          <w:p>
            <w:pPr>
              <w:spacing w:line="240" w:lineRule="auto" w:after="40" w:before="40"/>
            </w:pPr>
            <w:r>
              <w:rPr>
                <w:rFonts w:ascii="Times New Roman" w:hAnsi="Times New Roman"/>
                <w:sz w:val="18"/>
              </w:rPr>
              <w:t>Robustness battery</w:t>
            </w:r>
          </w:p>
        </w:tc>
        <w:tc>
          <w:tcPr>
            <w:tcW w:type="dxa" w:w="3120"/>
          </w:tcPr>
          <w:p>
            <w:pPr>
              <w:spacing w:line="240" w:lineRule="auto" w:after="40" w:before="40"/>
            </w:pPr>
            <w:r>
              <w:rPr>
                <w:rFonts w:ascii="Times New Roman" w:hAnsi="Times New Roman"/>
                <w:sz w:val="18"/>
              </w:rPr>
              <w:t>Check; β₂; β₆♭; index of moderated mediation; conclusion changed?</w:t>
            </w:r>
          </w:p>
        </w:tc>
      </w:tr>
    </w:tbl>
    <w:p>
      <w:pPr>
        <w:spacing w:line="240" w:lineRule="auto"/>
      </w:pPr>
    </w:p>
    <w:p>
      <w:pPr>
        <w:pStyle w:val="Heading1"/>
      </w:pPr>
      <w:r>
        <w:t>8. Interpreting the three most likely outcome patterns</w:t>
      </w:r>
    </w:p>
    <w:p>
      <w:pPr>
        <w:spacing w:after="120"/>
        <w:ind w:firstLine="0"/>
      </w:pPr>
      <w:r>
        <w:t>Prepare the interpretation in advance so that the discussion is not written to fit whatever emerged.</w:t>
      </w:r>
    </w:p>
    <w:p>
      <w:pPr>
        <w:keepNext/>
        <w:spacing w:before="240" w:line="240" w:lineRule="auto"/>
      </w:pPr>
      <w:r>
        <w:rPr>
          <w:b/>
          <w:sz w:val="20"/>
        </w:rPr>
        <w:t>Table A13. Pre-committed interpretations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pPr>
              <w:spacing w:line="240" w:lineRule="auto" w:after="40" w:before="40"/>
            </w:pPr>
            <w:r>
              <w:rPr>
                <w:rFonts w:ascii="Times New Roman" w:hAnsi="Times New Roman"/>
                <w:b/>
                <w:sz w:val="18"/>
              </w:rPr>
              <w:t>Pattern</w:t>
            </w:r>
          </w:p>
        </w:tc>
        <w:tc>
          <w:tcPr>
            <w:tcW w:type="dxa" w:w="3120"/>
            <w:shd w:val="clear" w:fill="EFEFEF"/>
          </w:tcPr>
          <w:p>
            <w:pPr>
              <w:spacing w:line="240" w:lineRule="auto" w:after="40" w:before="40"/>
            </w:pPr>
            <w:r>
              <w:rPr>
                <w:rFonts w:ascii="Times New Roman" w:hAnsi="Times New Roman"/>
                <w:b/>
                <w:sz w:val="18"/>
              </w:rPr>
              <w:t>What it means</w:t>
            </w:r>
          </w:p>
        </w:tc>
        <w:tc>
          <w:tcPr>
            <w:tcW w:type="dxa" w:w="3120"/>
            <w:shd w:val="clear" w:fill="EFEFEF"/>
          </w:tcPr>
          <w:p>
            <w:pPr>
              <w:spacing w:line="240" w:lineRule="auto" w:after="40" w:before="40"/>
            </w:pPr>
            <w:r>
              <w:rPr>
                <w:rFonts w:ascii="Times New Roman" w:hAnsi="Times New Roman"/>
                <w:b/>
                <w:sz w:val="18"/>
              </w:rPr>
              <w:t>Where it goes</w:t>
            </w:r>
          </w:p>
        </w:tc>
      </w:tr>
      <w:tr>
        <w:tc>
          <w:tcPr>
            <w:tcW w:type="dxa" w:w="3120"/>
          </w:tcPr>
          <w:p>
            <w:pPr>
              <w:spacing w:line="240" w:lineRule="auto" w:after="40" w:before="40"/>
            </w:pPr>
            <w:r>
              <w:rPr>
                <w:rFonts w:ascii="Times New Roman" w:hAnsi="Times New Roman"/>
                <w:sz w:val="18"/>
              </w:rPr>
              <w:t>β₆♭ positive; conditional indirect effect significant at high CGQ and not at low CGQ</w:t>
            </w:r>
          </w:p>
        </w:tc>
        <w:tc>
          <w:tcPr>
            <w:tcW w:type="dxa" w:w="3120"/>
          </w:tcPr>
          <w:p>
            <w:pPr>
              <w:spacing w:line="240" w:lineRule="auto" w:after="40" w:before="40"/>
            </w:pPr>
            <w:r>
              <w:rPr>
                <w:rFonts w:ascii="Times New Roman" w:hAnsi="Times New Roman"/>
                <w:b/>
                <w:sz w:val="18"/>
              </w:rPr>
              <w:t>Full support for the central claim.</w:t>
            </w:r>
            <w:r>
              <w:rPr>
                <w:rFonts w:ascii="Times New Roman" w:hAnsi="Times New Roman"/>
                <w:sz w:val="18"/>
              </w:rPr>
              <w:t xml:space="preserve"> Governance is the conversion mechanism, not an additive good. The Johnson–Neyman point is the headline practical output</w:t>
            </w:r>
          </w:p>
        </w:tc>
        <w:tc>
          <w:tcPr>
            <w:tcW w:type="dxa" w:w="3120"/>
          </w:tcPr>
          <w:p>
            <w:pPr>
              <w:spacing w:line="240" w:lineRule="auto" w:after="40" w:before="40"/>
            </w:pPr>
            <w:r>
              <w:rPr>
                <w:rFonts w:ascii="Times New Roman" w:hAnsi="Times New Roman"/>
                <w:sz w:val="18"/>
              </w:rPr>
              <w:t>Abstract; §7 discussion; §11 policy sequencing argument</w:t>
            </w:r>
          </w:p>
        </w:tc>
      </w:tr>
      <w:tr>
        <w:tc>
          <w:tcPr>
            <w:tcW w:type="dxa" w:w="3120"/>
          </w:tcPr>
          <w:p>
            <w:pPr>
              <w:spacing w:line="240" w:lineRule="auto" w:after="40" w:before="40"/>
            </w:pPr>
            <w:r>
              <w:rPr>
                <w:rFonts w:ascii="Times New Roman" w:hAnsi="Times New Roman"/>
                <w:sz w:val="18"/>
              </w:rPr>
              <w:t>β₆♭ positive but small; conditional indirect effect significant at both levels, larger at high CGQ</w:t>
            </w:r>
          </w:p>
        </w:tc>
        <w:tc>
          <w:tcPr>
            <w:tcW w:type="dxa" w:w="3120"/>
          </w:tcPr>
          <w:p>
            <w:pPr>
              <w:spacing w:line="240" w:lineRule="auto" w:after="40" w:before="40"/>
            </w:pPr>
            <w:r>
              <w:rPr>
                <w:rFonts w:ascii="Times New Roman" w:hAnsi="Times New Roman"/>
                <w:sz w:val="18"/>
              </w:rPr>
              <w:t>Governance amplifies rather than gates. Weaker but still novel: the claim becomes "governance conditions the magnitude" not "governance conditions the existence"</w:t>
            </w:r>
          </w:p>
        </w:tc>
        <w:tc>
          <w:tcPr>
            <w:tcW w:type="dxa" w:w="3120"/>
          </w:tcPr>
          <w:p>
            <w:pPr>
              <w:spacing w:line="240" w:lineRule="auto" w:after="40" w:before="40"/>
            </w:pPr>
            <w:r>
              <w:rPr>
                <w:rFonts w:ascii="Times New Roman" w:hAnsi="Times New Roman"/>
                <w:sz w:val="18"/>
              </w:rPr>
              <w:t>Requires softening the §8 and §11 claims; say so explicitly rather than overstating</w:t>
            </w:r>
          </w:p>
        </w:tc>
      </w:tr>
      <w:tr>
        <w:tc>
          <w:tcPr>
            <w:tcW w:type="dxa" w:w="3120"/>
          </w:tcPr>
          <w:p>
            <w:pPr>
              <w:spacing w:line="240" w:lineRule="auto" w:after="40" w:before="40"/>
            </w:pPr>
            <w:r>
              <w:rPr>
                <w:rFonts w:ascii="Times New Roman" w:hAnsi="Times New Roman"/>
                <w:sz w:val="18"/>
              </w:rPr>
              <w:t>β₆♭ null</w:t>
            </w:r>
          </w:p>
        </w:tc>
        <w:tc>
          <w:tcPr>
            <w:tcW w:type="dxa" w:w="3120"/>
          </w:tcPr>
          <w:p>
            <w:pPr>
              <w:spacing w:line="240" w:lineRule="auto" w:after="40" w:before="40"/>
            </w:pPr>
            <w:r>
              <w:rPr>
                <w:rFonts w:ascii="Times New Roman" w:hAnsi="Times New Roman"/>
                <w:b/>
                <w:sz w:val="18"/>
              </w:rPr>
              <w:t>Failure condition 1.</w:t>
            </w:r>
            <w:r>
              <w:rPr>
                <w:rFonts w:ascii="Times New Roman" w:hAnsi="Times New Roman"/>
                <w:sz w:val="18"/>
              </w:rPr>
              <w:t xml:space="preserve"> The theoretical contribution fails and the model is an additive bundle</w:t>
            </w:r>
          </w:p>
        </w:tc>
        <w:tc>
          <w:tcPr>
            <w:tcW w:type="dxa" w:w="3120"/>
          </w:tcPr>
          <w:p>
            <w:pPr>
              <w:spacing w:line="240" w:lineRule="auto" w:after="40" w:before="40"/>
            </w:pPr>
            <w:r>
              <w:rPr>
                <w:rFonts w:ascii="Times New Roman" w:hAnsi="Times New Roman"/>
                <w:sz w:val="18"/>
              </w:rPr>
              <w:t>Report as a null. Reposition the paper's contribution onto the instrument and the specification comparison, both of which stand independently</w:t>
            </w:r>
          </w:p>
        </w:tc>
      </w:tr>
      <w:tr>
        <w:tc>
          <w:tcPr>
            <w:tcW w:type="dxa" w:w="3120"/>
          </w:tcPr>
          <w:p>
            <w:pPr>
              <w:spacing w:line="240" w:lineRule="auto" w:after="40" w:before="40"/>
            </w:pPr>
            <w:r>
              <w:rPr>
                <w:rFonts w:ascii="Times New Roman" w:hAnsi="Times New Roman"/>
                <w:sz w:val="18"/>
              </w:rPr>
              <w:t>CVCP_SOC weight low or non-significant while ECO and ENV are strong</w:t>
            </w:r>
          </w:p>
        </w:tc>
        <w:tc>
          <w:tcPr>
            <w:tcW w:type="dxa" w:w="3120"/>
          </w:tcPr>
          <w:p>
            <w:pPr>
              <w:spacing w:line="240" w:lineRule="auto" w:after="40" w:before="40"/>
            </w:pPr>
            <w:r>
              <w:rPr>
                <w:rFonts w:ascii="Times New Roman" w:hAnsi="Times New Roman"/>
                <w:sz w:val="18"/>
              </w:rPr>
              <w:t>The distributional finding: circularity releases value that the actors who observe the losses do not capture</w:t>
            </w:r>
          </w:p>
        </w:tc>
        <w:tc>
          <w:tcPr>
            <w:tcW w:type="dxa" w:w="3120"/>
          </w:tcPr>
          <w:p>
            <w:pPr>
              <w:spacing w:line="240" w:lineRule="auto" w:after="40" w:before="40"/>
            </w:pPr>
            <w:r>
              <w:rPr>
                <w:rFonts w:ascii="Times New Roman" w:hAnsi="Times New Roman"/>
                <w:sz w:val="18"/>
              </w:rPr>
              <w:t xml:space="preserve">This is a </w:t>
            </w:r>
            <w:r>
              <w:rPr>
                <w:rFonts w:ascii="Times New Roman" w:hAnsi="Times New Roman"/>
                <w:b/>
                <w:sz w:val="18"/>
              </w:rPr>
              <w:t>finding, not a measurement failure.</w:t>
            </w:r>
            <w:r>
              <w:rPr>
                <w:rFonts w:ascii="Times New Roman" w:hAnsi="Times New Roman"/>
                <w:sz w:val="18"/>
              </w:rPr>
              <w:t xml:space="preserve"> It is the strongest sustainability contribution available and connects directly to the just-transition argument in §10. Run robustness check 7 to confirm</w:t>
            </w:r>
          </w:p>
        </w:tc>
      </w:tr>
      <w:tr>
        <w:tc>
          <w:tcPr>
            <w:tcW w:type="dxa" w:w="3120"/>
          </w:tcPr>
          <w:p>
            <w:pPr>
              <w:spacing w:line="240" w:lineRule="auto" w:after="40" w:before="40"/>
            </w:pPr>
            <w:r>
              <w:rPr>
                <w:rFonts w:ascii="Times New Roman" w:hAnsi="Times New Roman"/>
                <w:sz w:val="18"/>
              </w:rPr>
              <w:t>β₅ significant and positive</w:t>
            </w:r>
          </w:p>
        </w:tc>
        <w:tc>
          <w:tcPr>
            <w:tcW w:type="dxa" w:w="3120"/>
          </w:tcPr>
          <w:p>
            <w:pPr>
              <w:spacing w:line="240" w:lineRule="auto" w:after="40" w:before="40"/>
            </w:pPr>
            <w:r>
              <w:rPr>
                <w:rFonts w:ascii="Times New Roman" w:hAnsi="Times New Roman"/>
                <w:b/>
                <w:sz w:val="18"/>
              </w:rPr>
              <w:t>Failure condition 2.</w:t>
            </w:r>
            <w:r>
              <w:rPr>
                <w:rFonts w:ascii="Times New Roman" w:hAnsi="Times New Roman"/>
                <w:sz w:val="18"/>
              </w:rPr>
              <w:t xml:space="preserve"> Information-economics account favoured</w:t>
            </w:r>
          </w:p>
        </w:tc>
        <w:tc>
          <w:tcPr>
            <w:tcW w:type="dxa" w:w="3120"/>
          </w:tcPr>
          <w:p>
            <w:pPr>
              <w:spacing w:line="240" w:lineRule="auto" w:after="40" w:before="40"/>
            </w:pPr>
            <w:r>
              <w:rPr>
                <w:rFonts w:ascii="Times New Roman" w:hAnsi="Times New Roman"/>
                <w:sz w:val="18"/>
              </w:rPr>
              <w:t>Report as disconfirmation; discuss what it implies for transparency mandates that do not change physical flows</w:t>
            </w:r>
          </w:p>
        </w:tc>
      </w:tr>
      <w:tr>
        <w:tc>
          <w:tcPr>
            <w:tcW w:type="dxa" w:w="3120"/>
          </w:tcPr>
          <w:p>
            <w:pPr>
              <w:spacing w:line="240" w:lineRule="auto" w:after="40" w:before="40"/>
            </w:pPr>
            <w:r>
              <w:rPr>
                <w:rFonts w:ascii="Times New Roman" w:hAnsi="Times New Roman"/>
                <w:sz w:val="18"/>
              </w:rPr>
              <w:t>β₁ collapses when DTC is entered</w:t>
            </w:r>
          </w:p>
        </w:tc>
        <w:tc>
          <w:tcPr>
            <w:tcW w:type="dxa" w:w="3120"/>
          </w:tcPr>
          <w:p>
            <w:pPr>
              <w:spacing w:line="240" w:lineRule="auto" w:after="40" w:before="40"/>
            </w:pPr>
            <w:r>
              <w:rPr>
                <w:rFonts w:ascii="Times New Roman" w:hAnsi="Times New Roman"/>
                <w:sz w:val="18"/>
              </w:rPr>
              <w:t>CAC is a proxy for digital traceability</w:t>
            </w:r>
          </w:p>
        </w:tc>
        <w:tc>
          <w:tcPr>
            <w:tcW w:type="dxa" w:w="3120"/>
          </w:tcPr>
          <w:p>
            <w:pPr>
              <w:spacing w:line="240" w:lineRule="auto" w:after="40" w:before="40"/>
            </w:pPr>
            <w:r>
              <w:rPr>
                <w:rFonts w:ascii="Times New Roman" w:hAnsi="Times New Roman"/>
                <w:sz w:val="18"/>
              </w:rPr>
              <w:t>Fatal to the paper's premise. Report it; the honest conclusion is that the calculative and technical layers are not empirically separable in this setting</w:t>
            </w:r>
          </w:p>
        </w:tc>
      </w:tr>
    </w:tbl>
    <w:p>
      <w:pPr>
        <w:spacing w:line="240" w:lineRule="auto"/>
      </w:pPr>
    </w:p>
    <w:p>
      <w:pPr>
        <w:pStyle w:val="Heading1"/>
      </w:pPr>
      <w:r>
        <w:t>9. SmartPLS 4 click-path</w:t>
      </w:r>
    </w:p>
    <w:p>
      <w:pPr>
        <w:spacing w:after="120"/>
        <w:ind w:firstLine="0"/>
      </w:pPr>
      <w:r>
        <w:t>1. Import the CSV. Set missing-value marker. Confirm all indicators are numeric.</w:t>
      </w:r>
    </w:p>
    <w:p>
      <w:pPr>
        <w:spacing w:after="120"/>
        <w:ind w:firstLine="0"/>
      </w:pPr>
      <w:r>
        <w:t xml:space="preserve">2. </w:t>
      </w:r>
      <w:r>
        <w:rPr>
          <w:b/>
        </w:rPr>
        <w:t>Stage-1 project.</w:t>
      </w:r>
      <w:r>
        <w:t xml:space="preserve"> Draw CAC_MEA, CAC_COST, CAC_VAL, CIT, CGQ, CVCI, CVCP_ECO, CVCP_ENV, CVCP_SOC, DTC, IS. All Mode A. Draw the theoretical paths with the lower-order constructs in their higher-order construct's positions. Calculate → PLS-SEM (path weighting, +1 initial weights, 3000 iterations, stop 1.0E-7).</w:t>
      </w:r>
    </w:p>
    <w:p>
      <w:pPr>
        <w:spacing w:after="120"/>
        <w:ind w:firstLine="0"/>
      </w:pPr>
      <w:r>
        <w:t>3. Export latent variable scores. Merge the six lower-order construct scores into your dataset.</w:t>
      </w:r>
    </w:p>
    <w:p>
      <w:pPr>
        <w:spacing w:after="120"/>
        <w:ind w:firstLine="0"/>
      </w:pPr>
      <w:r>
        <w:t xml:space="preserve">4. </w:t>
      </w:r>
      <w:r>
        <w:rPr>
          <w:b/>
        </w:rPr>
        <w:t>Stage-2 project.</w:t>
      </w:r>
      <w:r>
        <w:t xml:space="preserve"> Import the merged file. CAC and CVCP as Mode B composites of their three scores; CIT, CGQ, CVCI, DTC, IS with original indicators; SIZE_ln, AGE_ln, VOL_ln, EDU, AFF as single-item constructs.</w:t>
      </w:r>
    </w:p>
    <w:p>
      <w:pPr>
        <w:spacing w:after="120"/>
        <w:ind w:firstLine="0"/>
      </w:pPr>
      <w:r>
        <w:t xml:space="preserve">5. Add the moderation: right-click CVCI → Add Moderating Effect → independent CIT, moderator CGQ, </w:t>
      </w:r>
      <w:r>
        <w:rPr>
          <w:b/>
        </w:rPr>
        <w:t>two-stage</w:t>
      </w:r>
      <w:r>
        <w:t>, standardised.</w:t>
      </w:r>
    </w:p>
    <w:p>
      <w:pPr>
        <w:spacing w:after="120"/>
        <w:ind w:firstLine="0"/>
      </w:pPr>
      <w:r>
        <w:t>6. Draw the three structural equations from Section 4.4. Confirm CVCI has exactly 11 predictors.</w:t>
      </w:r>
    </w:p>
    <w:p>
      <w:pPr>
        <w:spacing w:after="120"/>
        <w:ind w:firstLine="0"/>
      </w:pPr>
      <w:r>
        <w:t xml:space="preserve">7. Calculate → PLS-SEM. Then Bootstrapping: 10,000 subsamples, complete bootstrapping, BCa </w:t>
      </w:r>
      <w:r>
        <w:rPr>
          <w:b/>
        </w:rPr>
        <w:t>and</w:t>
      </w:r>
      <w:r>
        <w:t xml:space="preserve"> percentile intervals, two-tailed, 0.05, "no sign changes".</w:t>
      </w:r>
    </w:p>
    <w:p>
      <w:pPr>
        <w:spacing w:after="120"/>
        <w:ind w:firstLine="0"/>
      </w:pPr>
      <w:r>
        <w:t>8. Moderation → simple slope plot; and use the continuous moderation output for the Johnson–Neyman region.</w:t>
      </w:r>
    </w:p>
    <w:p>
      <w:pPr>
        <w:spacing w:after="120"/>
        <w:ind w:firstLine="0"/>
      </w:pPr>
      <w:r>
        <w:t>9. Bootstrapping output → Total Indirect Effects and Specific Indirect Effects for H7–H9; and Moderated Mediation for the index.</w:t>
      </w:r>
    </w:p>
    <w:p>
      <w:pPr>
        <w:spacing w:after="120"/>
        <w:ind w:firstLine="0"/>
      </w:pPr>
      <w:r>
        <w:t>10. Calculate → PLSpredict: 10 folds, 10 repetitions. Then CVPAT.</w:t>
      </w:r>
    </w:p>
    <w:p>
      <w:pPr>
        <w:spacing w:after="120"/>
        <w:ind w:firstLine="0"/>
      </w:pPr>
      <w:r>
        <w:t>11. Calculate → MICOM (permutation) for each grouping variable, then Multi-Group Analysis (permutation).</w:t>
      </w:r>
    </w:p>
    <w:p>
      <w:pPr>
        <w:spacing w:after="120"/>
        <w:ind w:firstLine="0"/>
      </w:pPr>
      <w:r>
        <w:t>12. Robustness: Calculate → PLSc for check 9; Nonlinear Effects and Endogeneity (Gaussian copula) for the endogeneity assessment.</w:t>
      </w:r>
    </w:p>
    <w:p>
      <w:pPr>
        <w:pStyle w:val="Heading1"/>
      </w:pPr>
      <w:r>
        <w:t>10. R script (seminr)</w:t>
      </w:r>
    </w:p>
    <w:p>
      <w:pPr>
        <w:spacing w:after="120"/>
        <w:ind w:firstLine="0"/>
      </w:pPr>
      <w:r>
        <w:t>A complete script is supplied as `analysis_seminr.R` in the same folder. It assumes the column names in Section 3.1. Two cautions:</w:t>
      </w:r>
    </w:p>
    <w:p>
      <w:pPr>
        <w:pStyle w:val="ListBullet"/>
        <w:spacing w:line="480" w:lineRule="auto"/>
      </w:pPr>
      <w:r>
        <w:rPr>
          <w:b/>
        </w:rPr>
        <w:t>Verify the API against your installed `seminr` version.</w:t>
      </w:r>
      <w:r>
        <w:t xml:space="preserve"> Function signatures for `higher_composite()`, `specific_effect_significance()` and the bootstrap object's internals have changed across releases. Run the script section by section rather than end to end the first time.</w:t>
      </w:r>
    </w:p>
    <w:p>
      <w:pPr>
        <w:pStyle w:val="ListBullet"/>
        <w:spacing w:line="480" w:lineRule="auto"/>
      </w:pPr>
      <w:r>
        <w:t>`seminr` does not implement MICOM as completely as SmartPLS. Use SmartPLS for step 10 (multi-group analysis) even if you run everything else in R, and say which software produced which result in the methods section.</w:t>
      </w:r>
    </w:p>
    <w:p>
      <w:pPr>
        <w:pStyle w:val="Heading1"/>
      </w:pPr>
      <w:r>
        <w:t>11. Covariance-based robustness check</w:t>
      </w:r>
    </w:p>
    <w:p>
      <w:pPr>
        <w:spacing w:after="120"/>
        <w:ind w:firstLine="0"/>
      </w:pPr>
      <w:r>
        <w:t xml:space="preserve">The manuscript pre-specifies CB-SEM as a robustness check and — importantly — states that the reason for choosing PLS was </w:t>
      </w:r>
      <w:r>
        <w:rPr>
          <w:i/>
        </w:rPr>
        <w:t>not</w:t>
      </w:r>
      <w:r>
        <w:t xml:space="preserve"> sample size. Be precise about what the check can and cannot do.</w:t>
      </w:r>
    </w:p>
    <w:p>
      <w:pPr>
        <w:spacing w:after="120"/>
        <w:ind w:firstLine="0"/>
      </w:pPr>
      <w:r>
        <w:t xml:space="preserve">The two reflective-formative higher-order constructs cannot be estimated in CB-SEM without identification constraints that distort the theorised structure. This is one of the stated reasons for choosing composite-based estimation, so a CB-SEM replication of the </w:t>
      </w:r>
      <w:r>
        <w:rPr>
          <w:i/>
        </w:rPr>
        <w:t>full</w:t>
      </w:r>
      <w:r>
        <w:t xml:space="preserve"> model is not the right check and running one anyway would misrepresent the comparison.</w:t>
      </w:r>
    </w:p>
    <w:p>
      <w:pPr>
        <w:spacing w:after="120"/>
        <w:ind w:firstLine="0"/>
      </w:pPr>
      <w:r>
        <w:t xml:space="preserve">Run instead: a CB-SEM (ML, robust SEs) estimate of the </w:t>
      </w:r>
      <w:r>
        <w:rPr>
          <w:b/>
        </w:rPr>
        <w:t>reflective portion</w:t>
      </w:r>
      <w:r>
        <w:t xml:space="preserve"> — CIT, CGQ, CVCI as latent common factors, with the CAC and CVCP dimensions entered at lower-order level as three-indicator and three/four-indicator factors respectively, and the interaction handled by latent moderated structural equations or by the unconstrained product-indicator approach. Report χ², CFI, TLI, RMSEA, SRMR, and compare β₂, β₆ₐ and β₆♭ against the PLS estimates. Disclose any divergence. Report SRMR for the PLS model too, since it is the one absolute-fit index available there.</w:t>
      </w:r>
    </w:p>
    <w:p>
      <w:pPr>
        <w:pStyle w:val="Heading1"/>
      </w:pPr>
      <w:r>
        <w:t>12. What changes in the manuscript now that data exist</w:t>
      </w:r>
    </w:p>
    <w:p>
      <w:pPr>
        <w:keepNext/>
        <w:spacing w:before="240" w:line="240" w:lineRule="auto"/>
      </w:pPr>
      <w:r>
        <w:rPr>
          <w:b/>
          <w:sz w:val="20"/>
        </w:rPr>
        <w:t>Table A14. Manuscript revisions required</w:t>
      </w:r>
    </w:p>
    <w:tbl>
      <w:tblPr>
        <w:tblStyle w:val="TableGrid"/>
        <w:tblW w:type="auto" w:w="0"/>
        <w:jc w:val="center"/>
        <w:tblLook w:firstColumn="1" w:firstRow="1" w:lastColumn="0" w:lastRow="0" w:noHBand="0" w:noVBand="1" w:val="04A0"/>
      </w:tblPr>
      <w:tblGrid>
        <w:gridCol w:w="4680"/>
        <w:gridCol w:w="4680"/>
      </w:tblGrid>
      <w:tr>
        <w:tc>
          <w:tcPr>
            <w:tcW w:type="dxa" w:w="4680"/>
            <w:shd w:val="clear" w:fill="EFEFEF"/>
          </w:tcPr>
          <w:p>
            <w:pPr>
              <w:spacing w:line="240" w:lineRule="auto" w:after="40" w:before="40"/>
            </w:pPr>
            <w:r>
              <w:rPr>
                <w:rFonts w:ascii="Times New Roman" w:hAnsi="Times New Roman"/>
                <w:b/>
                <w:sz w:val="18"/>
              </w:rPr>
              <w:t>Location</w:t>
            </w:r>
          </w:p>
        </w:tc>
        <w:tc>
          <w:tcPr>
            <w:tcW w:type="dxa" w:w="4680"/>
            <w:shd w:val="clear" w:fill="EFEFEF"/>
          </w:tcPr>
          <w:p>
            <w:pPr>
              <w:spacing w:line="240" w:lineRule="auto" w:after="40" w:before="40"/>
            </w:pPr>
            <w:r>
              <w:rPr>
                <w:rFonts w:ascii="Times New Roman" w:hAnsi="Times New Roman"/>
                <w:b/>
                <w:sz w:val="18"/>
              </w:rPr>
              <w:t>Change</w:t>
            </w:r>
          </w:p>
        </w:tc>
      </w:tr>
      <w:tr>
        <w:tc>
          <w:tcPr>
            <w:tcW w:type="dxa" w:w="4680"/>
          </w:tcPr>
          <w:p>
            <w:pPr>
              <w:spacing w:line="240" w:lineRule="auto" w:after="40" w:before="40"/>
            </w:pPr>
            <w:r>
              <w:rPr>
                <w:rFonts w:ascii="Times New Roman" w:hAnsi="Times New Roman"/>
                <w:sz w:val="18"/>
              </w:rPr>
              <w:t>Title</w:t>
            </w:r>
          </w:p>
        </w:tc>
        <w:tc>
          <w:tcPr>
            <w:tcW w:type="dxa" w:w="4680"/>
          </w:tcPr>
          <w:p>
            <w:pPr>
              <w:spacing w:line="240" w:lineRule="auto" w:after="40" w:before="40"/>
            </w:pPr>
            <w:r>
              <w:rPr>
                <w:rFonts w:ascii="Times New Roman" w:hAnsi="Times New Roman"/>
                <w:sz w:val="18"/>
              </w:rPr>
              <w:t>Keep. "From vision to measurable practice" now reads as a claim the paper delivers on</w:t>
            </w:r>
          </w:p>
        </w:tc>
      </w:tr>
      <w:tr>
        <w:tc>
          <w:tcPr>
            <w:tcW w:type="dxa" w:w="4680"/>
          </w:tcPr>
          <w:p>
            <w:pPr>
              <w:spacing w:line="240" w:lineRule="auto" w:after="40" w:before="40"/>
            </w:pPr>
            <w:r>
              <w:rPr>
                <w:rFonts w:ascii="Times New Roman" w:hAnsi="Times New Roman"/>
                <w:sz w:val="18"/>
              </w:rPr>
              <w:t>Abstract</w:t>
            </w:r>
          </w:p>
        </w:tc>
        <w:tc>
          <w:tcPr>
            <w:tcW w:type="dxa" w:w="4680"/>
          </w:tcPr>
          <w:p>
            <w:pPr>
              <w:spacing w:line="240" w:lineRule="auto" w:after="40" w:before="40"/>
            </w:pPr>
            <w:r>
              <w:rPr>
                <w:rFonts w:ascii="Times New Roman" w:hAnsi="Times New Roman"/>
                <w:sz w:val="18"/>
              </w:rPr>
              <w:t xml:space="preserve">Replace with the alternative shell in Section 5 of the submission pack, filling every bracketed slot with real estimates. Lead the results with the </w:t>
            </w:r>
            <w:r>
              <w:rPr>
                <w:rFonts w:ascii="Times New Roman" w:hAnsi="Times New Roman"/>
                <w:b/>
                <w:sz w:val="18"/>
              </w:rPr>
              <w:t>conditional indirect effect</w:t>
            </w:r>
            <w:r>
              <w:rPr>
                <w:rFonts w:ascii="Times New Roman" w:hAnsi="Times New Roman"/>
                <w:sz w:val="18"/>
              </w:rPr>
              <w:t xml:space="preserve"> and the </w:t>
            </w:r>
            <w:r>
              <w:rPr>
                <w:rFonts w:ascii="Times New Roman" w:hAnsi="Times New Roman"/>
                <w:b/>
                <w:sz w:val="18"/>
              </w:rPr>
              <w:t>Johnson–Neyman point</w:t>
            </w:r>
            <w:r>
              <w:rPr>
                <w:rFonts w:ascii="Times New Roman" w:hAnsi="Times New Roman"/>
                <w:sz w:val="18"/>
              </w:rPr>
              <w:t>, not with β₁</w:t>
            </w:r>
          </w:p>
        </w:tc>
      </w:tr>
      <w:tr>
        <w:tc>
          <w:tcPr>
            <w:tcW w:type="dxa" w:w="4680"/>
          </w:tcPr>
          <w:p>
            <w:pPr>
              <w:spacing w:line="240" w:lineRule="auto" w:after="40" w:before="40"/>
            </w:pPr>
            <w:r>
              <w:rPr>
                <w:rFonts w:ascii="Times New Roman" w:hAnsi="Times New Roman"/>
                <w:sz w:val="18"/>
              </w:rPr>
              <w:t>§1.3 Contributions and scope</w:t>
            </w:r>
          </w:p>
        </w:tc>
        <w:tc>
          <w:tcPr>
            <w:tcW w:type="dxa" w:w="4680"/>
          </w:tcPr>
          <w:p>
            <w:pPr>
              <w:spacing w:line="240" w:lineRule="auto" w:after="40" w:before="40"/>
            </w:pPr>
            <w:r>
              <w:rPr>
                <w:rFonts w:ascii="Times New Roman" w:hAnsi="Times New Roman"/>
                <w:sz w:val="18"/>
              </w:rPr>
              <w:t>Delete the boundary statement "the structural model is specified and its instrument validated here; it is not estimated." Replace with the sample description</w:t>
            </w:r>
          </w:p>
        </w:tc>
      </w:tr>
      <w:tr>
        <w:tc>
          <w:tcPr>
            <w:tcW w:type="dxa" w:w="4680"/>
          </w:tcPr>
          <w:p>
            <w:pPr>
              <w:spacing w:line="240" w:lineRule="auto" w:after="40" w:before="40"/>
            </w:pPr>
            <w:r>
              <w:rPr>
                <w:rFonts w:ascii="Times New Roman" w:hAnsi="Times New Roman"/>
                <w:sz w:val="18"/>
              </w:rPr>
              <w:t>§5 Research design</w:t>
            </w:r>
          </w:p>
        </w:tc>
        <w:tc>
          <w:tcPr>
            <w:tcW w:type="dxa" w:w="4680"/>
          </w:tcPr>
          <w:p>
            <w:pPr>
              <w:spacing w:line="240" w:lineRule="auto" w:after="40" w:before="40"/>
            </w:pPr>
            <w:r>
              <w:rPr>
                <w:rFonts w:ascii="Times New Roman" w:hAnsi="Times New Roman"/>
                <w:sz w:val="18"/>
              </w:rPr>
              <w:t>Change tense from proposed to executed throughout. Table 5 becomes achieved composition alongside targets. Add response-rate accounting, ethics approval and informed-consent statements</w:t>
            </w:r>
          </w:p>
        </w:tc>
      </w:tr>
      <w:tr>
        <w:tc>
          <w:tcPr>
            <w:tcW w:type="dxa" w:w="4680"/>
          </w:tcPr>
          <w:p>
            <w:pPr>
              <w:spacing w:line="240" w:lineRule="auto" w:after="40" w:before="40"/>
            </w:pPr>
            <w:r>
              <w:rPr>
                <w:rFonts w:ascii="Times New Roman" w:hAnsi="Times New Roman"/>
                <w:sz w:val="18"/>
              </w:rPr>
              <w:t>§5.4</w:t>
            </w:r>
          </w:p>
        </w:tc>
        <w:tc>
          <w:tcPr>
            <w:tcW w:type="dxa" w:w="4680"/>
          </w:tcPr>
          <w:p>
            <w:pPr>
              <w:spacing w:line="240" w:lineRule="auto" w:after="40" w:before="40"/>
            </w:pPr>
            <w:r>
              <w:rPr>
                <w:rFonts w:ascii="Times New Roman" w:hAnsi="Times New Roman"/>
                <w:sz w:val="18"/>
              </w:rPr>
              <w:t xml:space="preserve">Retain the a-priori derivation, then add achieved </w:t>
            </w:r>
            <w:r>
              <w:rPr>
                <w:rFonts w:ascii="Times New Roman" w:hAnsi="Times New Roman"/>
                <w:i/>
                <w:sz w:val="18"/>
              </w:rPr>
              <w:t>n</w:t>
            </w:r>
            <w:r>
              <w:rPr>
                <w:rFonts w:ascii="Times New Roman" w:hAnsi="Times New Roman"/>
                <w:sz w:val="18"/>
              </w:rPr>
              <w:t xml:space="preserve"> and, if </w:t>
            </w:r>
            <w:r>
              <w:rPr>
                <w:rFonts w:ascii="Times New Roman" w:hAnsi="Times New Roman"/>
                <w:i/>
                <w:sz w:val="18"/>
              </w:rPr>
              <w:t>n</w:t>
            </w:r>
            <w:r>
              <w:rPr>
                <w:rFonts w:ascii="Times New Roman" w:hAnsi="Times New Roman"/>
                <w:sz w:val="18"/>
              </w:rPr>
              <w:t xml:space="preserve"> &lt; 511, a post-hoc power statement for the interaction. Do not delete the derivation — computing power against the interaction rather than the largest path is a methodological strength</w:t>
            </w:r>
          </w:p>
        </w:tc>
      </w:tr>
      <w:tr>
        <w:tc>
          <w:tcPr>
            <w:tcW w:type="dxa" w:w="4680"/>
          </w:tcPr>
          <w:p>
            <w:pPr>
              <w:spacing w:line="240" w:lineRule="auto" w:after="40" w:before="40"/>
            </w:pPr>
            <w:r>
              <w:rPr>
                <w:rFonts w:ascii="Times New Roman" w:hAnsi="Times New Roman"/>
                <w:sz w:val="18"/>
              </w:rPr>
              <w:t>§5.5</w:t>
            </w:r>
          </w:p>
        </w:tc>
        <w:tc>
          <w:tcPr>
            <w:tcW w:type="dxa" w:w="4680"/>
          </w:tcPr>
          <w:p>
            <w:pPr>
              <w:spacing w:line="240" w:lineRule="auto" w:after="40" w:before="40"/>
            </w:pPr>
            <w:r>
              <w:rPr>
                <w:rFonts w:ascii="Times New Roman" w:hAnsi="Times New Roman"/>
                <w:sz w:val="18"/>
              </w:rPr>
              <w:t>Keep in full. The three-round validation including the failed round remains a distinctive strength and now serves as the measurement-model foundation</w:t>
            </w:r>
          </w:p>
        </w:tc>
      </w:tr>
      <w:tr>
        <w:tc>
          <w:tcPr>
            <w:tcW w:type="dxa" w:w="4680"/>
          </w:tcPr>
          <w:p>
            <w:pPr>
              <w:spacing w:line="240" w:lineRule="auto" w:after="40" w:before="40"/>
            </w:pPr>
            <w:r>
              <w:rPr>
                <w:rFonts w:ascii="Times New Roman" w:hAnsi="Times New Roman"/>
                <w:sz w:val="18"/>
              </w:rPr>
              <w:t>§6 Analytical strategy</w:t>
            </w:r>
          </w:p>
        </w:tc>
        <w:tc>
          <w:tcPr>
            <w:tcW w:type="dxa" w:w="4680"/>
          </w:tcPr>
          <w:p>
            <w:pPr>
              <w:spacing w:line="240" w:lineRule="auto" w:after="40" w:before="40"/>
            </w:pPr>
            <w:r>
              <w:rPr>
                <w:rFonts w:ascii="Times New Roman" w:hAnsi="Times New Roman"/>
                <w:sz w:val="18"/>
              </w:rPr>
              <w:t>Change from "the protocol proceeds" to "the protocol proceeded". Move the threshold table forward as the criteria applied</w:t>
            </w:r>
          </w:p>
        </w:tc>
      </w:tr>
      <w:tr>
        <w:tc>
          <w:tcPr>
            <w:tcW w:type="dxa" w:w="4680"/>
          </w:tcPr>
          <w:p>
            <w:pPr>
              <w:spacing w:line="240" w:lineRule="auto" w:after="40" w:before="40"/>
            </w:pPr>
            <w:r>
              <w:rPr>
                <w:rFonts w:ascii="Times New Roman" w:hAnsi="Times New Roman"/>
                <w:b/>
                <w:sz w:val="18"/>
              </w:rPr>
              <w:t>New §7 Results</w:t>
            </w:r>
          </w:p>
        </w:tc>
        <w:tc>
          <w:tcPr>
            <w:tcW w:type="dxa" w:w="4680"/>
          </w:tcPr>
          <w:p>
            <w:pPr>
              <w:spacing w:line="240" w:lineRule="auto" w:after="40" w:before="40"/>
            </w:pPr>
            <w:r>
              <w:rPr>
                <w:rFonts w:ascii="Times New Roman" w:hAnsi="Times New Roman"/>
                <w:sz w:val="18"/>
              </w:rPr>
              <w:t>Insert Tables 9–21 with narrative. This is the section that does not currently exist</w:t>
            </w:r>
          </w:p>
        </w:tc>
      </w:tr>
      <w:tr>
        <w:tc>
          <w:tcPr>
            <w:tcW w:type="dxa" w:w="4680"/>
          </w:tcPr>
          <w:p>
            <w:pPr>
              <w:spacing w:line="240" w:lineRule="auto" w:after="40" w:before="40"/>
            </w:pPr>
            <w:r>
              <w:rPr>
                <w:rFonts w:ascii="Times New Roman" w:hAnsi="Times New Roman"/>
                <w:sz w:val="18"/>
              </w:rPr>
              <w:t>§7 → §8 Discussion</w:t>
            </w:r>
          </w:p>
        </w:tc>
        <w:tc>
          <w:tcPr>
            <w:tcW w:type="dxa" w:w="4680"/>
          </w:tcPr>
          <w:p>
            <w:pPr>
              <w:spacing w:line="240" w:lineRule="auto" w:after="40" w:before="40"/>
            </w:pPr>
            <w:r>
              <w:rPr>
                <w:rFonts w:ascii="Times New Roman" w:hAnsi="Times New Roman"/>
                <w:sz w:val="18"/>
              </w:rPr>
              <w:t>Rewrite around actual findings. Keep the three convergences and three tensions structure — the tensions section becomes the adjudication it promises</w:t>
            </w:r>
          </w:p>
        </w:tc>
      </w:tr>
      <w:tr>
        <w:tc>
          <w:tcPr>
            <w:tcW w:type="dxa" w:w="4680"/>
          </w:tcPr>
          <w:p>
            <w:pPr>
              <w:spacing w:line="240" w:lineRule="auto" w:after="40" w:before="40"/>
            </w:pPr>
            <w:r>
              <w:rPr>
                <w:rFonts w:ascii="Times New Roman" w:hAnsi="Times New Roman"/>
                <w:sz w:val="18"/>
              </w:rPr>
              <w:t>§8 → §9 Theoretical contributions</w:t>
            </w:r>
          </w:p>
        </w:tc>
        <w:tc>
          <w:tcPr>
            <w:tcW w:type="dxa" w:w="4680"/>
          </w:tcPr>
          <w:p>
            <w:pPr>
              <w:spacing w:line="240" w:lineRule="auto" w:after="40" w:before="40"/>
            </w:pPr>
            <w:r>
              <w:rPr>
                <w:rFonts w:ascii="Times New Roman" w:hAnsi="Times New Roman"/>
                <w:sz w:val="18"/>
              </w:rPr>
              <w:t>Convert predictions to findings. The Scope-3-as-accountability-problem claim becomes evidenced rather than argued</w:t>
            </w:r>
          </w:p>
        </w:tc>
      </w:tr>
      <w:tr>
        <w:tc>
          <w:tcPr>
            <w:tcW w:type="dxa" w:w="4680"/>
          </w:tcPr>
          <w:p>
            <w:pPr>
              <w:spacing w:line="240" w:lineRule="auto" w:after="40" w:before="40"/>
            </w:pPr>
            <w:r>
              <w:rPr>
                <w:rFonts w:ascii="Times New Roman" w:hAnsi="Times New Roman"/>
                <w:sz w:val="18"/>
              </w:rPr>
              <w:t>§9 → §10 Managerial implications</w:t>
            </w:r>
          </w:p>
        </w:tc>
        <w:tc>
          <w:tcPr>
            <w:tcW w:type="dxa" w:w="4680"/>
          </w:tcPr>
          <w:p>
            <w:pPr>
              <w:spacing w:line="240" w:lineRule="auto" w:after="40" w:before="40"/>
            </w:pPr>
            <w:r>
              <w:rPr>
                <w:rFonts w:ascii="Times New Roman" w:hAnsi="Times New Roman"/>
                <w:sz w:val="18"/>
              </w:rPr>
              <w:t>Replace "once the structural estimates are available" with the estimates. The Johnson–Neyman threshold becomes a number managers can use</w:t>
            </w:r>
          </w:p>
        </w:tc>
      </w:tr>
      <w:tr>
        <w:tc>
          <w:tcPr>
            <w:tcW w:type="dxa" w:w="4680"/>
          </w:tcPr>
          <w:p>
            <w:pPr>
              <w:spacing w:line="240" w:lineRule="auto" w:after="40" w:before="40"/>
            </w:pPr>
            <w:r>
              <w:rPr>
                <w:rFonts w:ascii="Times New Roman" w:hAnsi="Times New Roman"/>
                <w:sz w:val="18"/>
              </w:rPr>
              <w:t>§11 Policy implications</w:t>
            </w:r>
          </w:p>
        </w:tc>
        <w:tc>
          <w:tcPr>
            <w:tcW w:type="dxa" w:w="4680"/>
          </w:tcPr>
          <w:p>
            <w:pPr>
              <w:spacing w:line="240" w:lineRule="auto" w:after="40" w:before="40"/>
            </w:pPr>
            <w:r>
              <w:rPr>
                <w:rFonts w:ascii="Times New Roman" w:hAnsi="Times New Roman"/>
                <w:sz w:val="18"/>
              </w:rPr>
              <w:t>The sequencing argument becomes empirically grounded. If the low-governance conditional indirect effect is null, say so plainly — it is the strongest policy sentence in the paper</w:t>
            </w:r>
          </w:p>
        </w:tc>
      </w:tr>
      <w:tr>
        <w:tc>
          <w:tcPr>
            <w:tcW w:type="dxa" w:w="4680"/>
          </w:tcPr>
          <w:p>
            <w:pPr>
              <w:spacing w:line="240" w:lineRule="auto" w:after="40" w:before="40"/>
            </w:pPr>
            <w:r>
              <w:rPr>
                <w:rFonts w:ascii="Times New Roman" w:hAnsi="Times New Roman"/>
                <w:sz w:val="18"/>
              </w:rPr>
              <w:t>§12 Limitations</w:t>
            </w:r>
          </w:p>
        </w:tc>
        <w:tc>
          <w:tcPr>
            <w:tcW w:type="dxa" w:w="4680"/>
          </w:tcPr>
          <w:p>
            <w:pPr>
              <w:spacing w:line="240" w:lineRule="auto" w:after="40" w:before="40"/>
            </w:pPr>
            <w:r>
              <w:rPr>
                <w:rFonts w:ascii="Times New Roman" w:hAnsi="Times New Roman"/>
                <w:b/>
                <w:sz w:val="18"/>
              </w:rPr>
              <w:t>Delete the first limitation</w:t>
            </w:r>
            <w:r>
              <w:rPr>
                <w:rFonts w:ascii="Times New Roman" w:hAnsi="Times New Roman"/>
                <w:sz w:val="18"/>
              </w:rPr>
              <w:t xml:space="preserve"> (model not estimated) and the whole framing that follows from it. Retain the cross-sectional, single-informant, non-probability, new-item, carbon-denomination and social-indicator limitations. Add any item deletions and the reason</w:t>
            </w:r>
          </w:p>
        </w:tc>
      </w:tr>
      <w:tr>
        <w:tc>
          <w:tcPr>
            <w:tcW w:type="dxa" w:w="4680"/>
          </w:tcPr>
          <w:p>
            <w:pPr>
              <w:spacing w:line="240" w:lineRule="auto" w:after="40" w:before="40"/>
            </w:pPr>
            <w:r>
              <w:rPr>
                <w:rFonts w:ascii="Times New Roman" w:hAnsi="Times New Roman"/>
                <w:sz w:val="18"/>
              </w:rPr>
              <w:t>Declarations</w:t>
            </w:r>
          </w:p>
        </w:tc>
        <w:tc>
          <w:tcPr>
            <w:tcW w:type="dxa" w:w="4680"/>
          </w:tcPr>
          <w:p>
            <w:pPr>
              <w:spacing w:line="240" w:lineRule="auto" w:after="40" w:before="40"/>
            </w:pPr>
            <w:r>
              <w:rPr>
                <w:rFonts w:ascii="Times New Roman" w:hAnsi="Times New Roman"/>
                <w:sz w:val="18"/>
              </w:rPr>
              <w:t>Add ethics approval reference, informed consent statement, and funding statement</w:t>
            </w:r>
          </w:p>
        </w:tc>
      </w:tr>
      <w:tr>
        <w:tc>
          <w:tcPr>
            <w:tcW w:type="dxa" w:w="4680"/>
          </w:tcPr>
          <w:p>
            <w:pPr>
              <w:spacing w:line="240" w:lineRule="auto" w:after="40" w:before="40"/>
            </w:pPr>
            <w:r>
              <w:rPr>
                <w:rFonts w:ascii="Times New Roman" w:hAnsi="Times New Roman"/>
                <w:sz w:val="18"/>
              </w:rPr>
              <w:t>Appendices</w:t>
            </w:r>
          </w:p>
        </w:tc>
        <w:tc>
          <w:tcPr>
            <w:tcW w:type="dxa" w:w="4680"/>
          </w:tcPr>
          <w:p>
            <w:pPr>
              <w:spacing w:line="240" w:lineRule="auto" w:after="40" w:before="40"/>
            </w:pPr>
            <w:r>
              <w:rPr>
                <w:rFonts w:ascii="Times New Roman" w:hAnsi="Times New Roman"/>
                <w:sz w:val="18"/>
              </w:rPr>
              <w:t>Appendix A the full instrument with source codes; Appendix B panel composition and item-level validation results; Appendix C scoring script and raw returns; Appendix D robustness battery</w:t>
            </w:r>
          </w:p>
        </w:tc>
      </w:tr>
    </w:tbl>
    <w:p>
      <w:pPr>
        <w:spacing w:line="240" w:lineRule="auto"/>
      </w:pPr>
    </w:p>
    <w:p>
      <w:pPr>
        <w:spacing w:after="120"/>
        <w:ind w:firstLine="0"/>
      </w:pPr>
      <w:r>
        <w:rPr>
          <w:b/>
        </w:rPr>
        <w:t>On length.</w:t>
      </w:r>
      <w:r>
        <w:t xml:space="preserve"> Adding a results section to a body already at ~14,500 words makes the reduction plan in the editorial assessment mandatory rather than advisable. Target ~10,000 words including results. The literature review is where the space is: it is currently comprehensive to the point of being a review, and 1,800 words can come out of §2.4 and §2.5 without losing an argument.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