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0"/>
        </w:rPr>
        <w:t>Cover Letter</w:t>
      </w:r>
    </w:p>
    <w:p>
      <w:pPr>
        <w:spacing w:after="120"/>
        <w:ind w:firstLine="0"/>
      </w:pPr>
      <w:r>
        <w:t>[Author name(s)]</w:t>
      </w:r>
    </w:p>
    <w:p>
      <w:pPr>
        <w:spacing w:after="120"/>
        <w:ind w:firstLine="0"/>
      </w:pPr>
      <w:r>
        <w:t>[Institutional affiliation]</w:t>
      </w:r>
    </w:p>
    <w:p>
      <w:pPr>
        <w:spacing w:after="120"/>
        <w:ind w:firstLine="0"/>
      </w:pPr>
      <w:r>
        <w:t>[Address]</w:t>
      </w:r>
    </w:p>
    <w:p>
      <w:pPr>
        <w:spacing w:after="120"/>
        <w:ind w:firstLine="0"/>
      </w:pPr>
      <w:r>
        <w:t>[Email] · [ORCID]</w:t>
      </w:r>
    </w:p>
    <w:p>
      <w:pPr>
        <w:spacing w:after="120"/>
        <w:ind w:firstLine="0"/>
      </w:pPr>
      <w:r>
        <w:t>14 August 2026</w:t>
      </w:r>
    </w:p>
    <w:p>
      <w:pPr>
        <w:spacing w:after="120"/>
        <w:ind w:firstLine="0"/>
      </w:pPr>
      <w:r>
        <w:t>The Guest Editors</w:t>
      </w:r>
    </w:p>
    <w:p>
      <w:pPr>
        <w:spacing w:after="120"/>
        <w:ind w:firstLine="0"/>
      </w:pPr>
      <w:r>
        <w:t xml:space="preserve">Special Issue: </w:t>
      </w:r>
      <w:r>
        <w:rPr>
          <w:i/>
        </w:rPr>
        <w:t>From Vision to Practice: Realizing Net-Zero Manufacturing Through Circular Economy and Smart Production</w:t>
      </w:r>
    </w:p>
    <w:p>
      <w:pPr>
        <w:spacing w:after="120"/>
        <w:ind w:firstLine="0"/>
      </w:pPr>
      <w:r>
        <w:rPr>
          <w:i/>
        </w:rPr>
        <w:t>International Journal of Production Research</w:t>
      </w:r>
    </w:p>
    <w:p>
      <w:pPr>
        <w:spacing w:after="120"/>
        <w:ind w:firstLine="0"/>
      </w:pPr>
      <w:r>
        <w:t>Dear Guest Editors,</w:t>
      </w:r>
    </w:p>
    <w:p>
      <w:pPr>
        <w:pStyle w:val="Heading1"/>
      </w:pPr>
      <w:r>
        <w:t>Submission: "From vision to measurable practice: circular accounting capability, chain transparency and the governance conditions of net-zero value creation in fragmented manufacturing networks"</w:t>
      </w:r>
    </w:p>
    <w:p>
      <w:pPr>
        <w:spacing w:after="120"/>
        <w:ind w:firstLine="0"/>
      </w:pPr>
      <w:r>
        <w:t xml:space="preserve">We are pleased to submit the above manuscript for consideration in the Special Issue on </w:t>
      </w:r>
      <w:r>
        <w:rPr>
          <w:i/>
        </w:rPr>
        <w:t>From Vision to Practice: Realizing Net-Zero Manufacturing Through Circular Economy and Smart Production</w:t>
      </w:r>
      <w:r>
        <w:t>.</w:t>
      </w:r>
    </w:p>
    <w:p>
      <w:pPr>
        <w:spacing w:after="120"/>
        <w:ind w:firstLine="0"/>
      </w:pPr>
      <w:r>
        <w:t>The paper takes the Special Issue's central question literally. Net-zero manufacturing is a commitment expressed in quantities — tonnes of material retained, tonnes of carbon dioxide equivalent avoided — and the distance between that vision and realised practice is occupied by two problems that the manufacturing literature has not separated. Someone must compute the quantities, and someone must be answerable for them. Our argument is that circular economy strategies supply the physical lever and smart production supplies the instrumentation, but that neither performs either conversion: digital technologies generate data rather than decision objects, and a visible opportunity becomes realised material re-routing only where an actor is accountable for the loss. We identify circular accounting capability as the first conversion and value-chain governance as the second, and we show that treating them as one is a plausible explanation for the instability of reported effects in the digitalisation-and-sustainability literature.</w:t>
      </w:r>
    </w:p>
    <w:p>
      <w:pPr>
        <w:pStyle w:val="Heading2"/>
      </w:pPr>
      <w:r>
        <w:t>Why the paper fits this Special Issue</w:t>
      </w:r>
    </w:p>
    <w:p>
      <w:pPr>
        <w:spacing w:after="120"/>
        <w:ind w:firstLine="0"/>
      </w:pPr>
      <w:r>
        <w:rPr>
          <w:b/>
        </w:rPr>
        <w:t>It addresses the vision-to-practice gap directly, and identifies its mechanism.</w:t>
      </w:r>
      <w:r>
        <w:t xml:space="preserve"> The paper's contribution is not another demonstration that circularity or digitalisation is beneficial. It is an account of the measurement and accountability infrastructure without which net-zero targets set at chain level cannot be acted upon by the actors who hold the material. That is precisely the territory between vision and practice.</w:t>
      </w:r>
    </w:p>
    <w:p>
      <w:pPr>
        <w:spacing w:after="120"/>
        <w:ind w:firstLine="0"/>
      </w:pPr>
      <w:r>
        <w:rPr>
          <w:b/>
        </w:rPr>
        <w:t>It engages all three pillars of the call.</w:t>
      </w:r>
      <w:r>
        <w:t xml:space="preserve"> Circular economy supplies the outcome construct, specified as a formative higher-order measure spanning economic, environmental and social circular value rather than as material-flow efficiency. Smart production enters as the technical substrate whose insufficiency the model explains, and digital traceability capability is measured and modelled as the rival explanation the accounting mechanism must survive. Net-zero manufacturing supplies the framing problem: an inter-organisational material loss is also an unrecorded embodied-emissions loss, and it is unrecorded for the same reason — no entity recognises it.</w:t>
      </w:r>
    </w:p>
    <w:p>
      <w:pPr>
        <w:spacing w:after="120"/>
        <w:ind w:firstLine="0"/>
      </w:pPr>
      <w:r>
        <w:rPr>
          <w:b/>
        </w:rPr>
        <w:t>It speaks to production systems that the field under-studies but that dominate global manufacturing employment.</w:t>
      </w:r>
      <w:r>
        <w:t xml:space="preserve"> The empirical setting is a fragmented agro-industrial manufacturing network of dispersed small producers, informal intermediaries, processors and shared facility centres. We select it as a critical case, not as a regional study: it exhibits in observable form the four conditions — no coordinating hierarchy, material recoverable loss, intermediary-sustained information asymmetry, and wide within-network variation in governance quality — that the theory requires. We are explicit that fragmentation is a property of circular manufacturing generally rather than of developing economies, and that the model applies unchanged to textile recovery, construction and demolition, and electronics, failing only where hierarchy performs the coordination. That boundary condition is itself testable, which we regard as a strength rather than a hedge.</w:t>
      </w:r>
    </w:p>
    <w:p>
      <w:pPr>
        <w:spacing w:after="120"/>
        <w:ind w:firstLine="0"/>
      </w:pPr>
      <w:r>
        <w:rPr>
          <w:b/>
        </w:rPr>
        <w:t>It offers policy guidance of immediate relevance to industrial decarbonisation.</w:t>
      </w:r>
      <w:r>
        <w:t xml:space="preserve"> If governance is the conversion mechanism, then transparency instruments — from sustainability reporting requirements to digital product passports — imposed on networks in which responsibility for loss is unallocated will generate compliance data without abatement. The implication is a sequencing rule: allocate responsibility, agree how recovered value is shared, then instrument. The paper specifies the analysis (a Johnson–Neyman threshold) that would locate the governance level at which the rule binds.</w:t>
      </w:r>
    </w:p>
    <w:p>
      <w:pPr>
        <w:pStyle w:val="Heading2"/>
      </w:pPr>
      <w:r>
        <w:t>What the paper contributes</w:t>
      </w:r>
    </w:p>
    <w:p>
      <w:pPr>
        <w:spacing w:after="120"/>
        <w:ind w:firstLine="0"/>
      </w:pPr>
      <w:r>
        <w:t xml:space="preserve">1. </w:t>
      </w:r>
      <w:r>
        <w:rPr>
          <w:b/>
        </w:rPr>
        <w:t>An operationalisation.</w:t>
      </w:r>
      <w:r>
        <w:t xml:space="preserve"> Circular accounting capability has been named in the literature as a dynamic capability but never made measurable. We specify it as a three-dimensional, reflective-formative construct at the level of the individual network actor, spanning organisational boundaries, and we report three rounds of expert validation in full.</w:t>
      </w:r>
    </w:p>
    <w:p>
      <w:pPr>
        <w:spacing w:after="120"/>
        <w:ind w:firstLine="0"/>
      </w:pPr>
      <w:r>
        <w:t xml:space="preserve">2. </w:t>
      </w:r>
      <w:r>
        <w:rPr>
          <w:b/>
        </w:rPr>
        <w:t>A theoretical extension.</w:t>
      </w:r>
      <w:r>
        <w:t xml:space="preserve"> The dynamic capabilities view locates capability and its returns inside the firm. Where the value-creating reconfiguration crosses firm boundaries — the standing condition of net-zero targets that reach beyond the factory gate — returns are relationally contingent. We identify which complementary asset substitutes for hierarchy under fragmentation, and give the claim a socio-technical statement that connects it to the Industry 4.0 implementation literature.</w:t>
      </w:r>
    </w:p>
    <w:p>
      <w:pPr>
        <w:spacing w:after="120"/>
        <w:ind w:firstLine="0"/>
      </w:pPr>
      <w:r>
        <w:t xml:space="preserve">3. </w:t>
      </w:r>
      <w:r>
        <w:rPr>
          <w:b/>
        </w:rPr>
        <w:t>A falsifiable conditional claim.</w:t>
      </w:r>
      <w:r>
        <w:t xml:space="preserve"> The proposition that transparency requires verification, consequence or participation to matter is asserted across several literatures and estimated in none. We specify it as a moderation with a stated null-result failure condition.</w:t>
      </w:r>
    </w:p>
    <w:p>
      <w:pPr>
        <w:spacing w:after="120"/>
        <w:ind w:firstLine="0"/>
      </w:pPr>
      <w:r>
        <w:t xml:space="preserve">4. </w:t>
      </w:r>
      <w:r>
        <w:rPr>
          <w:b/>
        </w:rPr>
        <w:t>A validated instrument and a pre-registrable protocol.</w:t>
      </w:r>
      <w:r>
        <w:t xml:space="preserve"> Forty-six items with a source code against each, three validation rounds including a failed round with its cause disclosed, a blind item-placement test of the two construct boundaries whose failure would invalidate the focal hypothesis, a formal comparison of specification alternatives with the attenuation arithmetic made explicit, and a sample size derived against the interaction rather than against the largest path.</w:t>
      </w:r>
    </w:p>
    <w:p>
      <w:pPr>
        <w:pStyle w:val="Heading2"/>
      </w:pPr>
      <w:r>
        <w:t>Statement on the paper's empirical status</w:t>
      </w:r>
    </w:p>
    <w:p>
      <w:pPr>
        <w:spacing w:after="120"/>
        <w:ind w:firstLine="0"/>
      </w:pPr>
      <w:r>
        <w:t>We wish to be entirely transparent on this point, since it governs how the manuscript should be reviewed.</w:t>
      </w:r>
    </w:p>
    <w:p>
      <w:pPr>
        <w:spacing w:after="120"/>
        <w:ind w:firstLine="0"/>
      </w:pPr>
      <w:r>
        <w:t xml:space="preserve">The structural model is </w:t>
      </w:r>
      <w:r>
        <w:rPr>
          <w:b/>
        </w:rPr>
        <w:t>specified and its instrument validated; it is not estimated.</w:t>
      </w:r>
      <w:r>
        <w:t xml:space="preserve"> The empirical content of this submission is the construct development and the three-round expert validation, which raised scale-level content validity from 0.799 to 0.908 and established discriminant boundaries with leakage of 4.2 and 2.1 per cent against a pre-specified 20 per cent tolerance. Every structural claim in the paper is stated as a prediction with an explicit failure condition, and Section 4.4 sets out in advance the three outcomes that would require the framework to be abandoned. No path coefficients, fit statistics or significance tests are reported anywhere, because none exist.</w:t>
      </w:r>
    </w:p>
    <w:p>
      <w:pPr>
        <w:spacing w:after="120"/>
        <w:ind w:firstLine="0"/>
      </w:pPr>
      <w:r>
        <w:t>We would welcome the Guest Editors' guidance on whether a submission of this type — theory development with a validated instrument and a pre-registered protocol — falls within the scope of the Special Issue, or whether we should submit following data collection. The instrument is ready to field and the protocol is complete; we are in a position to return an estimated model if that is the preferred route.</w:t>
      </w:r>
    </w:p>
    <w:p>
      <w:pPr>
        <w:pStyle w:val="Heading2"/>
      </w:pPr>
      <w:r>
        <w:t>Compliance</w:t>
      </w:r>
    </w:p>
    <w:p>
      <w:pPr>
        <w:spacing w:after="120"/>
        <w:ind w:firstLine="0"/>
      </w:pPr>
      <w:r>
        <w:t>The manuscript is original, has not been published elsewhere, and is not under consideration by another journal. All authors have approved the submission and agree to its content. No potential conflict of interest is reported. Use of generative AI tools was limited to improving spelling, grammar and clarity of author-created content, and is declared in the manuscript in accordance with Taylor &amp; Francis policy. The expert-panel ratings, the item-level scoring script and the full instrument are available on request. Ethics approval and informed-consent procedures for the survey phase are [in place / being obtained] under [reference].</w:t>
      </w:r>
    </w:p>
    <w:p>
      <w:pPr>
        <w:spacing w:after="120"/>
        <w:ind w:firstLine="0"/>
      </w:pPr>
      <w:r>
        <w:t>We believe the manuscript speaks directly to the Special Issue's concern with moving from net-zero vision to net-zero practice, and we look forward to the review process.</w:t>
      </w:r>
    </w:p>
    <w:p>
      <w:pPr>
        <w:spacing w:after="120"/>
        <w:ind w:firstLine="0"/>
      </w:pPr>
      <w:r>
        <w:t>Yours sincerely,</w:t>
      </w:r>
    </w:p>
    <w:p>
      <w:pPr>
        <w:spacing w:after="120"/>
        <w:ind w:firstLine="0"/>
      </w:pPr>
      <w:r>
        <w:t>[Author name(s)]</w:t>
      </w:r>
    </w:p>
    <w:p>
      <w:pPr>
        <w:spacing w:after="120"/>
        <w:ind w:firstLine="0"/>
      </w:pPr>
      <w:r>
        <w:t>[Corresponding author, on behalf of all authors]</w:t>
      </w:r>
    </w:p>
    <w:p>
      <w:pPr>
        <w:pBdr>
          <w:bottom w:val="single" w:sz="6" w:space="1" w:color="999999"/>
        </w:pBdr>
      </w:pPr>
    </w:p>
    <w:p>
      <w:pPr>
        <w:spacing w:after="120"/>
        <w:ind w:firstLine="0"/>
      </w:pPr>
      <w:r>
        <w:rPr>
          <w:b/>
        </w:rPr>
        <w:t>Suggested reviewers</w:t>
      </w:r>
      <w:r>
        <w:t xml:space="preserve"> (please replace or delete according to the journal's policy)</w:t>
      </w:r>
    </w:p>
    <w:p>
      <w:pPr>
        <w:spacing w:after="120"/>
        <w:ind w:firstLine="0"/>
      </w:pPr>
      <w:r>
        <w:t>Researchers working at the intersection of circular economy implementation in operations, multi-tier sustainability governance, and measurement or performance systems for circular production would be best placed to assess this manuscript. We have not proposed named individuals in order to avoid conflicts of interest, and defer to the Guest Editors.</w:t>
      </w:r>
    </w:p>
    <w:p>
      <w:pPr>
        <w:spacing w:after="120"/>
        <w:ind w:firstLine="0"/>
      </w:pPr>
      <w:r>
        <w:rPr>
          <w:b/>
        </w:rPr>
        <w:t>Note to the authors before sending.</w:t>
      </w:r>
      <w:r>
        <w:t xml:space="preserve"> Replace every bracketed placeholder. Confirm the Guest Editors' names and the article type from the live call. If option (a) in the editorial assessment is taken — fielding the survey before submission — delete the "Statement on the paper's empirical status" section entirely and replace it with a one-paragraph summary of the sample and headline findings.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