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0"/>
        </w:rPr>
        <w:t>IJPR Special Issue Submission Pack</w:t>
      </w:r>
    </w:p>
    <w:p>
      <w:pPr>
        <w:pStyle w:val="Heading1"/>
      </w:pPr>
      <w:r>
        <w:t>0. Read this first: the one issue that outranks everything else</w:t>
      </w:r>
    </w:p>
    <w:p>
      <w:pPr>
        <w:spacing w:after="120"/>
        <w:ind w:firstLine="0"/>
      </w:pPr>
      <w:r>
        <w:t xml:space="preserve">The original manuscript states in Section 1 that </w:t>
      </w:r>
      <w:r>
        <w:rPr>
          <w:b/>
        </w:rPr>
        <w:t>"the model is specified here, not estimated, and no empirical results are reported."</w:t>
      </w:r>
      <w:r>
        <w:t xml:space="preserve"> The original abstract nevertheless states that </w:t>
      </w:r>
      <w:r>
        <w:rPr>
          <w:b/>
        </w:rPr>
        <w:t>"The empirical analysis demonstrates that circular accounting capability significantly enhances information transparency"</w:t>
      </w:r>
      <w:r>
        <w:t xml:space="preserve"> and that </w:t>
      </w:r>
      <w:r>
        <w:rPr>
          <w:b/>
        </w:rPr>
        <w:t>"value-chain governance acts as a critical conditional enabler."</w:t>
      </w:r>
    </w:p>
    <w:p>
      <w:pPr>
        <w:spacing w:after="120"/>
        <w:ind w:firstLine="0"/>
      </w:pPr>
      <w:r>
        <w:t xml:space="preserve">Those are results that appear nowhere in the paper. There is no sample, no measurement model, no path coefficients, no </w:t>
      </w:r>
      <w:r>
        <w:rPr>
          <w:i/>
        </w:rPr>
        <w:t>R²</w:t>
      </w:r>
      <w:r>
        <w:t>, no bootstrap intervals. The only data in the manuscript are the three rounds of expert content-validity ratings (S-CVI/Ave 0.799 → 0.908) and the arithmetic in Table 3.</w:t>
      </w:r>
    </w:p>
    <w:p>
      <w:pPr>
        <w:spacing w:after="120"/>
        <w:ind w:firstLine="0"/>
      </w:pPr>
      <w:r>
        <w:t xml:space="preserve">This has been corrected rather than propagated. The revised abstract, contributions and discussion describe the study as what it is: construct development, instrument validation, formal specification analysis, and a pre-registrable protocol. </w:t>
      </w:r>
      <w:r>
        <w:rPr>
          <w:b/>
        </w:rPr>
        <w:t>No statistical output has been invented anywhere in the revision.</w:t>
      </w:r>
      <w:r>
        <w:t xml:space="preserve"> If the abstract had been left as written, a desk editor at </w:t>
      </w:r>
      <w:r>
        <w:rPr>
          <w:i/>
        </w:rPr>
        <w:t>IJPR</w:t>
      </w:r>
      <w:r>
        <w:t xml:space="preserve"> would very likely reject the submission on integrity grounds, and a reviewer who noticed the contradiction would say so in terms that are hard to recover from. Section 9 of this pack sets out the options for the empirical-status problem, which remains the single largest barrier to acceptance.</w:t>
      </w:r>
    </w:p>
    <w:p>
      <w:pPr>
        <w:pStyle w:val="Heading1"/>
      </w:pPr>
      <w:r>
        <w:t>1. Step 1 — Analysis of the current manuscript</w:t>
      </w:r>
    </w:p>
    <w:p>
      <w:pPr>
        <w:pStyle w:val="Heading2"/>
      </w:pPr>
      <w:r>
        <w:t>1.1 What the manuscript currently is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FEFEF"/>
          </w:tcPr>
          <w:p>
            <w:pPr>
              <w:spacing w:line="240" w:lineRule="auto" w:after="40" w:before="40"/>
            </w:pPr>
            <w:r>
              <w:rPr>
                <w:rFonts w:ascii="Times New Roman" w:hAnsi="Times New Roman"/>
                <w:b/>
                <w:sz w:val="18"/>
              </w:rPr>
              <w:t>Element</w:t>
            </w:r>
          </w:p>
        </w:tc>
        <w:tc>
          <w:tcPr>
            <w:tcW w:type="dxa" w:w="4680"/>
            <w:shd w:val="clear" w:fill="EFEFEF"/>
          </w:tcPr>
          <w:p>
            <w:pPr>
              <w:spacing w:line="240" w:lineRule="auto" w:after="40" w:before="40"/>
            </w:pPr>
            <w:r>
              <w:rPr>
                <w:rFonts w:ascii="Times New Roman" w:hAnsi="Times New Roman"/>
                <w:b/>
                <w:sz w:val="18"/>
              </w:rPr>
              <w:t>As found in the original</w:t>
            </w:r>
          </w:p>
        </w:tc>
      </w:tr>
      <w:tr>
        <w:tc>
          <w:tcPr>
            <w:tcW w:type="dxa" w:w="4680"/>
          </w:tcPr>
          <w:p>
            <w:pPr>
              <w:spacing w:line="240" w:lineRule="auto" w:after="40" w:before="40"/>
            </w:pPr>
            <w:r>
              <w:rPr>
                <w:rFonts w:ascii="Times New Roman" w:hAnsi="Times New Roman"/>
                <w:sz w:val="18"/>
              </w:rPr>
              <w:t>Research problem</w:t>
            </w:r>
          </w:p>
        </w:tc>
        <w:tc>
          <w:tcPr>
            <w:tcW w:type="dxa" w:w="4680"/>
          </w:tcPr>
          <w:p>
            <w:pPr>
              <w:spacing w:line="240" w:lineRule="auto" w:after="40" w:before="40"/>
            </w:pPr>
            <w:r>
              <w:rPr>
                <w:rFonts w:ascii="Times New Roman" w:hAnsi="Times New Roman"/>
                <w:sz w:val="18"/>
              </w:rPr>
              <w:t>Conventional management accounting is bounded by the legal entity, so inter-organisational material losses in fragmented value chains go unrecorded and therefore unmanaged.</w:t>
            </w:r>
          </w:p>
        </w:tc>
      </w:tr>
      <w:tr>
        <w:tc>
          <w:tcPr>
            <w:tcW w:type="dxa" w:w="4680"/>
          </w:tcPr>
          <w:p>
            <w:pPr>
              <w:spacing w:line="240" w:lineRule="auto" w:after="40" w:before="40"/>
            </w:pPr>
            <w:r>
              <w:rPr>
                <w:rFonts w:ascii="Times New Roman" w:hAnsi="Times New Roman"/>
                <w:sz w:val="18"/>
              </w:rPr>
              <w:t>Research gap</w:t>
            </w:r>
          </w:p>
        </w:tc>
        <w:tc>
          <w:tcPr>
            <w:tcW w:type="dxa" w:w="4680"/>
          </w:tcPr>
          <w:p>
            <w:pPr>
              <w:spacing w:line="240" w:lineRule="auto" w:after="40" w:before="40"/>
            </w:pPr>
            <w:r>
              <w:rPr>
                <w:rFonts w:ascii="Times New Roman" w:hAnsi="Times New Roman"/>
                <w:sz w:val="18"/>
              </w:rPr>
              <w:t>(i) Circular accounting named but never operationalised; (ii) governance asserted but never modelled as a conditional mechanism; (iii) circular performance measured as material efficiency, not as integrated economic/environmental/social value.</w:t>
            </w:r>
          </w:p>
        </w:tc>
      </w:tr>
      <w:tr>
        <w:tc>
          <w:tcPr>
            <w:tcW w:type="dxa" w:w="4680"/>
          </w:tcPr>
          <w:p>
            <w:pPr>
              <w:spacing w:line="240" w:lineRule="auto" w:after="40" w:before="40"/>
            </w:pPr>
            <w:r>
              <w:rPr>
                <w:rFonts w:ascii="Times New Roman" w:hAnsi="Times New Roman"/>
                <w:sz w:val="18"/>
              </w:rPr>
              <w:t>Constructs</w:t>
            </w:r>
          </w:p>
        </w:tc>
        <w:tc>
          <w:tcPr>
            <w:tcW w:type="dxa" w:w="4680"/>
          </w:tcPr>
          <w:p>
            <w:pPr>
              <w:spacing w:line="240" w:lineRule="auto" w:after="40" w:before="40"/>
            </w:pPr>
            <w:r>
              <w:rPr>
                <w:rFonts w:ascii="Times New Roman" w:hAnsi="Times New Roman"/>
                <w:sz w:val="18"/>
              </w:rPr>
              <w:t>CAC (circular accounting capability, reflective-formative, 3 dimensions, 9 items); CIT (transparency, reflective, 5); CGQ (governance quality, reflective, 6); CVCI (value-chain integration, reflective, 6); CVCP (circular value creation, reflective-formative, 3 dimensions, 11). Plus 8 controls and a 3-item marker. 46 items total.</w:t>
            </w:r>
          </w:p>
        </w:tc>
      </w:tr>
      <w:tr>
        <w:tc>
          <w:tcPr>
            <w:tcW w:type="dxa" w:w="4680"/>
          </w:tcPr>
          <w:p>
            <w:pPr>
              <w:spacing w:line="240" w:lineRule="auto" w:after="40" w:before="40"/>
            </w:pPr>
            <w:r>
              <w:rPr>
                <w:rFonts w:ascii="Times New Roman" w:hAnsi="Times New Roman"/>
                <w:sz w:val="18"/>
              </w:rPr>
              <w:t>Theory</w:t>
            </w:r>
          </w:p>
        </w:tc>
        <w:tc>
          <w:tcPr>
            <w:tcW w:type="dxa" w:w="4680"/>
          </w:tcPr>
          <w:p>
            <w:pPr>
              <w:spacing w:line="240" w:lineRule="auto" w:after="40" w:before="40"/>
            </w:pPr>
            <w:r>
              <w:rPr>
                <w:rFonts w:ascii="Times New Roman" w:hAnsi="Times New Roman"/>
                <w:sz w:val="18"/>
              </w:rPr>
              <w:t>Dynamic capabilities view (Teece 2007) as primary; value-chain governance theory (Gereffi et al. 2005) as sole complement. Institutional, stakeholder, NRBV, resource-dependence and contingency theories explicitly considered and declined.</w:t>
            </w:r>
          </w:p>
        </w:tc>
      </w:tr>
      <w:tr>
        <w:tc>
          <w:tcPr>
            <w:tcW w:type="dxa" w:w="4680"/>
          </w:tcPr>
          <w:p>
            <w:pPr>
              <w:spacing w:line="240" w:lineRule="auto" w:after="40" w:before="40"/>
            </w:pPr>
            <w:r>
              <w:rPr>
                <w:rFonts w:ascii="Times New Roman" w:hAnsi="Times New Roman"/>
                <w:sz w:val="18"/>
              </w:rPr>
              <w:t>Objectives</w:t>
            </w:r>
          </w:p>
        </w:tc>
        <w:tc>
          <w:tcPr>
            <w:tcW w:type="dxa" w:w="4680"/>
          </w:tcPr>
          <w:p>
            <w:pPr>
              <w:spacing w:line="240" w:lineRule="auto" w:after="40" w:before="40"/>
            </w:pPr>
            <w:r>
              <w:rPr>
                <w:rFonts w:ascii="Times New Roman" w:hAnsi="Times New Roman"/>
                <w:sz w:val="18"/>
              </w:rPr>
              <w:t>Three research questions on the accounting → transparency → integration → value pathway and the governance contingency.</w:t>
            </w:r>
          </w:p>
        </w:tc>
      </w:tr>
      <w:tr>
        <w:tc>
          <w:tcPr>
            <w:tcW w:type="dxa" w:w="4680"/>
          </w:tcPr>
          <w:p>
            <w:pPr>
              <w:spacing w:line="240" w:lineRule="auto" w:after="40" w:before="40"/>
            </w:pPr>
            <w:r>
              <w:rPr>
                <w:rFonts w:ascii="Times New Roman" w:hAnsi="Times New Roman"/>
                <w:sz w:val="18"/>
              </w:rPr>
              <w:t>Model</w:t>
            </w:r>
          </w:p>
        </w:tc>
        <w:tc>
          <w:tcPr>
            <w:tcW w:type="dxa" w:w="4680"/>
          </w:tcPr>
          <w:p>
            <w:pPr>
              <w:spacing w:line="240" w:lineRule="auto" w:after="40" w:before="40"/>
            </w:pPr>
            <w:r>
              <w:rPr>
                <w:rFonts w:ascii="Times New Roman" w:hAnsi="Times New Roman"/>
                <w:sz w:val="18"/>
              </w:rPr>
              <w:t>Moderated serial mediation: CAC → CIT → CVCI → CVCP, with CGQ moderating CIT → CVCI. Nine hypotheses, two framed for disconfirmation (H5, and the H6b null as a failure condition).</w:t>
            </w:r>
          </w:p>
        </w:tc>
      </w:tr>
      <w:tr>
        <w:tc>
          <w:tcPr>
            <w:tcW w:type="dxa" w:w="4680"/>
          </w:tcPr>
          <w:p>
            <w:pPr>
              <w:spacing w:line="240" w:lineRule="auto" w:after="40" w:before="40"/>
            </w:pPr>
            <w:r>
              <w:rPr>
                <w:rFonts w:ascii="Times New Roman" w:hAnsi="Times New Roman"/>
                <w:sz w:val="18"/>
              </w:rPr>
              <w:t>Methodology</w:t>
            </w:r>
          </w:p>
        </w:tc>
        <w:tc>
          <w:tcPr>
            <w:tcW w:type="dxa" w:w="4680"/>
          </w:tcPr>
          <w:p>
            <w:pPr>
              <w:spacing w:line="240" w:lineRule="auto" w:after="40" w:before="40"/>
            </w:pPr>
            <w:r>
              <w:rPr>
                <w:rFonts w:ascii="Times New Roman" w:hAnsi="Times New Roman"/>
                <w:sz w:val="18"/>
              </w:rPr>
              <w:t xml:space="preserve">Cross-sectional survey design, stratified purposive sampling with chain-referral, target </w:t>
            </w:r>
            <w:r>
              <w:rPr>
                <w:rFonts w:ascii="Times New Roman" w:hAnsi="Times New Roman"/>
                <w:i/>
                <w:sz w:val="18"/>
              </w:rPr>
              <w:t>n</w:t>
            </w:r>
            <w:r>
              <w:rPr>
                <w:rFonts w:ascii="Times New Roman" w:hAnsi="Times New Roman"/>
                <w:sz w:val="18"/>
              </w:rPr>
              <w:t xml:space="preserve"> = 520, seven-point scales, key-informant screening, temporal/format separation, objective-indicator subsample.</w:t>
            </w:r>
          </w:p>
        </w:tc>
      </w:tr>
      <w:tr>
        <w:tc>
          <w:tcPr>
            <w:tcW w:type="dxa" w:w="4680"/>
          </w:tcPr>
          <w:p>
            <w:pPr>
              <w:spacing w:line="240" w:lineRule="auto" w:after="40" w:before="40"/>
            </w:pPr>
            <w:r>
              <w:rPr>
                <w:rFonts w:ascii="Times New Roman" w:hAnsi="Times New Roman"/>
                <w:sz w:val="18"/>
              </w:rPr>
              <w:t>Dataset</w:t>
            </w:r>
          </w:p>
        </w:tc>
        <w:tc>
          <w:tcPr>
            <w:tcW w:type="dxa" w:w="4680"/>
          </w:tcPr>
          <w:p>
            <w:pPr>
              <w:spacing w:line="240" w:lineRule="auto" w:after="40" w:before="40"/>
            </w:pPr>
            <w:r>
              <w:rPr>
                <w:rFonts w:ascii="Times New Roman" w:hAnsi="Times New Roman"/>
                <w:b/>
                <w:sz w:val="18"/>
              </w:rPr>
              <w:t>None collected.</w:t>
            </w:r>
            <w:r>
              <w:rPr>
                <w:rFonts w:ascii="Times New Roman" w:hAnsi="Times New Roman"/>
                <w:sz w:val="18"/>
              </w:rPr>
              <w:t xml:space="preserve"> The only data are 368 expert ratings and 368 item placements per round from an eight-member panel over three rounds.</w:t>
            </w:r>
          </w:p>
        </w:tc>
      </w:tr>
      <w:tr>
        <w:tc>
          <w:tcPr>
            <w:tcW w:type="dxa" w:w="4680"/>
          </w:tcPr>
          <w:p>
            <w:pPr>
              <w:spacing w:line="240" w:lineRule="auto" w:after="40" w:before="40"/>
            </w:pPr>
            <w:r>
              <w:rPr>
                <w:rFonts w:ascii="Times New Roman" w:hAnsi="Times New Roman"/>
                <w:sz w:val="18"/>
              </w:rPr>
              <w:t>Statistical techniques</w:t>
            </w:r>
          </w:p>
        </w:tc>
        <w:tc>
          <w:tcPr>
            <w:tcW w:type="dxa" w:w="4680"/>
          </w:tcPr>
          <w:p>
            <w:pPr>
              <w:spacing w:line="240" w:lineRule="auto" w:after="40" w:before="40"/>
            </w:pPr>
            <w:r>
              <w:rPr>
                <w:rFonts w:ascii="Times New Roman" w:hAnsi="Times New Roman"/>
                <w:sz w:val="18"/>
              </w:rPr>
              <w:t>PLS-SEM specified (not run), with CB-SEM robustness check, Johnson–Neyman analysis, index of moderated mediation, 10,000-subsample bootstrap, MGA, 11-check robustness battery. All pre-specified; no results.</w:t>
            </w:r>
          </w:p>
        </w:tc>
      </w:tr>
      <w:tr>
        <w:tc>
          <w:tcPr>
            <w:tcW w:type="dxa" w:w="4680"/>
          </w:tcPr>
          <w:p>
            <w:pPr>
              <w:spacing w:line="240" w:lineRule="auto" w:after="40" w:before="40"/>
            </w:pPr>
            <w:r>
              <w:rPr>
                <w:rFonts w:ascii="Times New Roman" w:hAnsi="Times New Roman"/>
                <w:sz w:val="18"/>
              </w:rPr>
              <w:t>Findings</w:t>
            </w:r>
          </w:p>
        </w:tc>
        <w:tc>
          <w:tcPr>
            <w:tcW w:type="dxa" w:w="4680"/>
          </w:tcPr>
          <w:p>
            <w:pPr>
              <w:spacing w:line="240" w:lineRule="auto" w:after="40" w:before="40"/>
            </w:pPr>
            <w:r>
              <w:rPr>
                <w:rFonts w:ascii="Times New Roman" w:hAnsi="Times New Roman"/>
                <w:sz w:val="18"/>
              </w:rPr>
              <w:t>Content validity rose 0.799 → 0.864 → 0.908 (whole instrument) and 0.794 → 0.878 → 0.926 (focal). All five constructs passed the blind placement test in round 2. Boundary leakage 4.2% and 2.1% against a 20% tolerance. Four-link serial chain formally rejected.</w:t>
            </w:r>
          </w:p>
        </w:tc>
      </w:tr>
      <w:tr>
        <w:tc>
          <w:tcPr>
            <w:tcW w:type="dxa" w:w="4680"/>
          </w:tcPr>
          <w:p>
            <w:pPr>
              <w:spacing w:line="240" w:lineRule="auto" w:after="40" w:before="40"/>
            </w:pPr>
            <w:r>
              <w:rPr>
                <w:rFonts w:ascii="Times New Roman" w:hAnsi="Times New Roman"/>
                <w:sz w:val="18"/>
              </w:rPr>
              <w:t>Contributions claimed</w:t>
            </w:r>
          </w:p>
        </w:tc>
        <w:tc>
          <w:tcPr>
            <w:tcW w:type="dxa" w:w="4680"/>
          </w:tcPr>
          <w:p>
            <w:pPr>
              <w:spacing w:line="240" w:lineRule="auto" w:after="40" w:before="40"/>
            </w:pPr>
            <w:r>
              <w:rPr>
                <w:rFonts w:ascii="Times New Roman" w:hAnsi="Times New Roman"/>
                <w:sz w:val="18"/>
              </w:rPr>
              <w:t>Operationalisation of CAC; extension of DCV to hierarchy-substitution; falsifiable governance-as-conversion claim; pre-registrable protocol.</w:t>
            </w:r>
          </w:p>
        </w:tc>
      </w:tr>
      <w:tr>
        <w:tc>
          <w:tcPr>
            <w:tcW w:type="dxa" w:w="4680"/>
          </w:tcPr>
          <w:p>
            <w:pPr>
              <w:spacing w:line="240" w:lineRule="auto" w:after="40" w:before="40"/>
            </w:pPr>
            <w:r>
              <w:rPr>
                <w:rFonts w:ascii="Times New Roman" w:hAnsi="Times New Roman"/>
                <w:sz w:val="18"/>
              </w:rPr>
              <w:t>Practical implications</w:t>
            </w:r>
          </w:p>
        </w:tc>
        <w:tc>
          <w:tcPr>
            <w:tcW w:type="dxa" w:w="4680"/>
          </w:tcPr>
          <w:p>
            <w:pPr>
              <w:spacing w:line="240" w:lineRule="auto" w:after="40" w:before="40"/>
            </w:pPr>
            <w:r>
              <w:rPr>
                <w:rFonts w:ascii="Times New Roman" w:hAnsi="Times New Roman"/>
                <w:sz w:val="18"/>
              </w:rPr>
              <w:t>One paragraph, embedded in Section 7, on policy sequencing (measurement mandates need paired responsibility allocation).</w:t>
            </w:r>
          </w:p>
        </w:tc>
      </w:tr>
      <w:tr>
        <w:tc>
          <w:tcPr>
            <w:tcW w:type="dxa" w:w="4680"/>
          </w:tcPr>
          <w:p>
            <w:pPr>
              <w:spacing w:line="240" w:lineRule="auto" w:after="40" w:before="40"/>
            </w:pPr>
            <w:r>
              <w:rPr>
                <w:rFonts w:ascii="Times New Roman" w:hAnsi="Times New Roman"/>
                <w:sz w:val="18"/>
              </w:rPr>
              <w:t>Empirical setting</w:t>
            </w:r>
          </w:p>
        </w:tc>
        <w:tc>
          <w:tcPr>
            <w:tcW w:type="dxa" w:w="4680"/>
          </w:tcPr>
          <w:p>
            <w:pPr>
              <w:spacing w:line="240" w:lineRule="auto" w:after="40" w:before="40"/>
            </w:pPr>
            <w:r>
              <w:rPr>
                <w:rFonts w:ascii="Times New Roman" w:hAnsi="Times New Roman"/>
                <w:sz w:val="18"/>
              </w:rPr>
              <w:t>Malta (</w:t>
            </w:r>
            <w:r>
              <w:rPr>
                <w:rFonts w:ascii="Times New Roman" w:hAnsi="Times New Roman"/>
                <w:i/>
                <w:sz w:val="18"/>
              </w:rPr>
              <w:t>Citrus sinensis</w:t>
            </w:r>
            <w:r>
              <w:rPr>
                <w:rFonts w:ascii="Times New Roman" w:hAnsi="Times New Roman"/>
                <w:sz w:val="18"/>
              </w:rPr>
              <w:t>) agri-food value chain, Indian Himalayan region. Framed as agriculture/agri-food throughout.</w:t>
            </w:r>
          </w:p>
        </w:tc>
      </w:tr>
      <w:tr>
        <w:tc>
          <w:tcPr>
            <w:tcW w:type="dxa" w:w="4680"/>
          </w:tcPr>
          <w:p>
            <w:pPr>
              <w:spacing w:line="240" w:lineRule="auto" w:after="40" w:before="40"/>
            </w:pPr>
            <w:r>
              <w:rPr>
                <w:rFonts w:ascii="Times New Roman" w:hAnsi="Times New Roman"/>
                <w:sz w:val="18"/>
              </w:rPr>
              <w:t>Target journal signals</w:t>
            </w:r>
          </w:p>
        </w:tc>
        <w:tc>
          <w:tcPr>
            <w:tcW w:type="dxa" w:w="4680"/>
          </w:tcPr>
          <w:p>
            <w:pPr>
              <w:spacing w:line="240" w:lineRule="auto" w:after="40" w:before="40"/>
            </w:pPr>
            <w:r>
              <w:rPr>
                <w:rFonts w:ascii="Times New Roman" w:hAnsi="Times New Roman"/>
                <w:sz w:val="18"/>
              </w:rPr>
              <w:t>Emerald reference style ("Vol., No., pp."), filename `JCLP_11_08_26`, Table numbering in Roman numerals (Table I–VIII), heavy accounting-journal citation base (AAAJ, SAMPJ, Meditari).</w:t>
            </w:r>
          </w:p>
        </w:tc>
      </w:tr>
    </w:tbl>
    <w:p>
      <w:pPr>
        <w:spacing w:line="240" w:lineRule="auto"/>
      </w:pPr>
    </w:p>
    <w:p>
      <w:pPr>
        <w:pStyle w:val="Heading2"/>
      </w:pPr>
      <w:r>
        <w:t>1.2 Gap analysis against the Special Issue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Existing Paper</w:t>
            </w:r>
          </w:p>
        </w:tc>
        <w:tc>
          <w:tcPr>
            <w:tcW w:type="dxa" w:w="3120"/>
            <w:shd w:val="clear" w:fill="EFEFEF"/>
          </w:tcPr>
          <w:p>
            <w:pPr>
              <w:spacing w:line="240" w:lineRule="auto" w:after="40" w:before="40"/>
            </w:pPr>
            <w:r>
              <w:rPr>
                <w:rFonts w:ascii="Times New Roman" w:hAnsi="Times New Roman"/>
                <w:b/>
                <w:sz w:val="18"/>
              </w:rPr>
              <w:t>Required by Special Issue</w:t>
            </w:r>
          </w:p>
        </w:tc>
        <w:tc>
          <w:tcPr>
            <w:tcW w:type="dxa" w:w="3120"/>
            <w:shd w:val="clear" w:fill="EFEFEF"/>
          </w:tcPr>
          <w:p>
            <w:pPr>
              <w:spacing w:line="240" w:lineRule="auto" w:after="40" w:before="40"/>
            </w:pPr>
            <w:r>
              <w:rPr>
                <w:rFonts w:ascii="Times New Roman" w:hAnsi="Times New Roman"/>
                <w:b/>
                <w:sz w:val="18"/>
              </w:rPr>
              <w:t>Recommended Changes</w:t>
            </w:r>
          </w:p>
        </w:tc>
      </w:tr>
      <w:tr>
        <w:tc>
          <w:tcPr>
            <w:tcW w:type="dxa" w:w="3120"/>
          </w:tcPr>
          <w:p>
            <w:pPr>
              <w:spacing w:line="240" w:lineRule="auto" w:after="40" w:before="40"/>
            </w:pPr>
            <w:r>
              <w:rPr>
                <w:rFonts w:ascii="Times New Roman" w:hAnsi="Times New Roman"/>
                <w:sz w:val="18"/>
              </w:rPr>
              <w:t xml:space="preserve">Framed as a </w:t>
            </w:r>
            <w:r>
              <w:rPr>
                <w:rFonts w:ascii="Times New Roman" w:hAnsi="Times New Roman"/>
                <w:i/>
                <w:sz w:val="18"/>
              </w:rPr>
              <w:t>supply chain</w:t>
            </w:r>
            <w:r>
              <w:rPr>
                <w:rFonts w:ascii="Times New Roman" w:hAnsi="Times New Roman"/>
                <w:sz w:val="18"/>
              </w:rPr>
              <w:t xml:space="preserve"> and </w:t>
            </w:r>
            <w:r>
              <w:rPr>
                <w:rFonts w:ascii="Times New Roman" w:hAnsi="Times New Roman"/>
                <w:i/>
                <w:sz w:val="18"/>
              </w:rPr>
              <w:t>management accounting</w:t>
            </w:r>
            <w:r>
              <w:rPr>
                <w:rFonts w:ascii="Times New Roman" w:hAnsi="Times New Roman"/>
                <w:sz w:val="18"/>
              </w:rPr>
              <w:t xml:space="preserve"> paper. Title and abstract lead with "Fragmented Supply Chains" and "Management Accounting".</w:t>
            </w:r>
          </w:p>
        </w:tc>
        <w:tc>
          <w:tcPr>
            <w:tcW w:type="dxa" w:w="3120"/>
          </w:tcPr>
          <w:p>
            <w:pPr>
              <w:spacing w:line="240" w:lineRule="auto" w:after="40" w:before="40"/>
            </w:pPr>
            <w:r>
              <w:rPr>
                <w:rFonts w:ascii="Times New Roman" w:hAnsi="Times New Roman"/>
                <w:sz w:val="18"/>
              </w:rPr>
              <w:t xml:space="preserve">A </w:t>
            </w:r>
            <w:r>
              <w:rPr>
                <w:rFonts w:ascii="Times New Roman" w:hAnsi="Times New Roman"/>
                <w:i/>
                <w:sz w:val="18"/>
              </w:rPr>
              <w:t>production research</w:t>
            </w:r>
            <w:r>
              <w:rPr>
                <w:rFonts w:ascii="Times New Roman" w:hAnsi="Times New Roman"/>
                <w:sz w:val="18"/>
              </w:rPr>
              <w:t xml:space="preserve"> paper on net-zero manufacturing.</w:t>
            </w:r>
          </w:p>
        </w:tc>
        <w:tc>
          <w:tcPr>
            <w:tcW w:type="dxa" w:w="3120"/>
          </w:tcPr>
          <w:p>
            <w:pPr>
              <w:spacing w:line="240" w:lineRule="auto" w:after="40" w:before="40"/>
            </w:pPr>
            <w:r>
              <w:rPr>
                <w:rFonts w:ascii="Times New Roman" w:hAnsi="Times New Roman"/>
                <w:sz w:val="18"/>
              </w:rPr>
              <w:t xml:space="preserve">Retitle around net-zero manufacturing and manufacturing networks; lead the abstract with the net-zero quantities problem; substitute "production network" / "manufacturing network" for "supply chain" where the referent is the production system.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No mention of net zero, carbon, decarbonisation or emissions anywhere in the manuscript.</w:t>
            </w:r>
          </w:p>
        </w:tc>
        <w:tc>
          <w:tcPr>
            <w:tcW w:type="dxa" w:w="3120"/>
          </w:tcPr>
          <w:p>
            <w:pPr>
              <w:spacing w:line="240" w:lineRule="auto" w:after="40" w:before="40"/>
            </w:pPr>
            <w:r>
              <w:rPr>
                <w:rFonts w:ascii="Times New Roman" w:hAnsi="Times New Roman"/>
                <w:sz w:val="18"/>
              </w:rPr>
              <w:t>Net-zero manufacturing is the organising theme of the call.</w:t>
            </w:r>
          </w:p>
        </w:tc>
        <w:tc>
          <w:tcPr>
            <w:tcW w:type="dxa" w:w="3120"/>
          </w:tcPr>
          <w:p>
            <w:pPr>
              <w:spacing w:line="240" w:lineRule="auto" w:after="40" w:before="40"/>
            </w:pPr>
            <w:r>
              <w:rPr>
                <w:rFonts w:ascii="Times New Roman" w:hAnsi="Times New Roman"/>
                <w:sz w:val="18"/>
              </w:rPr>
              <w:t xml:space="preserve">Establish the carbon bridge: unrecorded inter-organisational material loss is unrecorded embodied emissions, and Scope 3 targets rest on quantities that entity-bounded accounting does not compute. Threaded through §1, §2.1, §2.2, §4.1 (H1), §8, §9, §12. </w:t>
            </w:r>
            <w:r>
              <w:rPr>
                <w:rFonts w:ascii="Times New Roman" w:hAnsi="Times New Roman"/>
                <w:b/>
                <w:sz w:val="18"/>
              </w:rPr>
              <w:t>Done, and honestly bounded</w:t>
            </w:r>
            <w:r>
              <w:rPr>
                <w:rFonts w:ascii="Times New Roman" w:hAnsi="Times New Roman"/>
                <w:sz w:val="18"/>
              </w:rPr>
              <w:t xml:space="preserve"> — see the instrument caveat below.</w:t>
            </w:r>
          </w:p>
        </w:tc>
      </w:tr>
      <w:tr>
        <w:tc>
          <w:tcPr>
            <w:tcW w:type="dxa" w:w="3120"/>
          </w:tcPr>
          <w:p>
            <w:pPr>
              <w:spacing w:line="240" w:lineRule="auto" w:after="40" w:before="40"/>
            </w:pPr>
            <w:r>
              <w:rPr>
                <w:rFonts w:ascii="Times New Roman" w:hAnsi="Times New Roman"/>
                <w:sz w:val="18"/>
              </w:rPr>
              <w:t>No mention of Industry 4.0, smart production, digital manufacturing, IoT, AI or digital twins. "Digital traceability capability" appears once, as an unexplained control variable.</w:t>
            </w:r>
          </w:p>
        </w:tc>
        <w:tc>
          <w:tcPr>
            <w:tcW w:type="dxa" w:w="3120"/>
          </w:tcPr>
          <w:p>
            <w:pPr>
              <w:spacing w:line="240" w:lineRule="auto" w:after="40" w:before="40"/>
            </w:pPr>
            <w:r>
              <w:rPr>
                <w:rFonts w:ascii="Times New Roman" w:hAnsi="Times New Roman"/>
                <w:sz w:val="18"/>
              </w:rPr>
              <w:t>Smart production is the call's second pillar.</w:t>
            </w:r>
          </w:p>
        </w:tc>
        <w:tc>
          <w:tcPr>
            <w:tcW w:type="dxa" w:w="3120"/>
          </w:tcPr>
          <w:p>
            <w:pPr>
              <w:spacing w:line="240" w:lineRule="auto" w:after="40" w:before="40"/>
            </w:pPr>
            <w:r>
              <w:rPr>
                <w:rFonts w:ascii="Times New Roman" w:hAnsi="Times New Roman"/>
                <w:sz w:val="18"/>
              </w:rPr>
              <w:t xml:space="preserve">New §1.1 ("the smart production paradox") and new §2.3 ("smart production, digital traceability and the data-to-decision gap"); digital traceability capability promoted from an unexplained control to a theorised rival explanation (§3.4, §5.1, §6); digital product passports, IoT, digital twins, AI added to §2.3, §9, §12.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Circular economy present but framed through accounting and metrics literatures (RCR, JCP, SAMPJ).</w:t>
            </w:r>
          </w:p>
        </w:tc>
        <w:tc>
          <w:tcPr>
            <w:tcW w:type="dxa" w:w="3120"/>
          </w:tcPr>
          <w:p>
            <w:pPr>
              <w:spacing w:line="240" w:lineRule="auto" w:after="40" w:before="40"/>
            </w:pPr>
            <w:r>
              <w:rPr>
                <w:rFonts w:ascii="Times New Roman" w:hAnsi="Times New Roman"/>
                <w:sz w:val="18"/>
              </w:rPr>
              <w:t>Circular economy framed through production and operations research.</w:t>
            </w:r>
          </w:p>
        </w:tc>
        <w:tc>
          <w:tcPr>
            <w:tcW w:type="dxa" w:w="3120"/>
          </w:tcPr>
          <w:p>
            <w:pPr>
              <w:spacing w:line="240" w:lineRule="auto" w:after="40" w:before="40"/>
            </w:pPr>
            <w:r>
              <w:rPr>
                <w:rFonts w:ascii="Times New Roman" w:hAnsi="Times New Roman"/>
                <w:sz w:val="18"/>
              </w:rPr>
              <w:t xml:space="preserve">Added the IJPR/IJPE/PPC circular-manufacturing stream: circularity at scheduling level, circular supplier selection, planned vs self-organised circular networks, circular maturity models, remanufacturing-based circular chains, circular implementation pathways.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Setting described as "a fragmented agri-food value chain"; unit of analysis "value-chain actor enterprise".</w:t>
            </w:r>
          </w:p>
        </w:tc>
        <w:tc>
          <w:tcPr>
            <w:tcW w:type="dxa" w:w="3120"/>
          </w:tcPr>
          <w:p>
            <w:pPr>
              <w:spacing w:line="240" w:lineRule="auto" w:after="40" w:before="40"/>
            </w:pPr>
            <w:r>
              <w:rPr>
                <w:rFonts w:ascii="Times New Roman" w:hAnsi="Times New Roman"/>
                <w:sz w:val="18"/>
              </w:rPr>
              <w:t>Manufacturing relevance.</w:t>
            </w:r>
          </w:p>
        </w:tc>
        <w:tc>
          <w:tcPr>
            <w:tcW w:type="dxa" w:w="3120"/>
          </w:tcPr>
          <w:p>
            <w:pPr>
              <w:spacing w:line="240" w:lineRule="auto" w:after="40" w:before="40"/>
            </w:pPr>
            <w:r>
              <w:rPr>
                <w:rFonts w:ascii="Times New Roman" w:hAnsi="Times New Roman"/>
                <w:sz w:val="18"/>
              </w:rPr>
              <w:t xml:space="preserve">Reframed as a </w:t>
            </w:r>
            <w:r>
              <w:rPr>
                <w:rFonts w:ascii="Times New Roman" w:hAnsi="Times New Roman"/>
                <w:b/>
                <w:sz w:val="18"/>
              </w:rPr>
              <w:t>fragmented agro-industrial manufacturing network</w:t>
            </w:r>
            <w:r>
              <w:rPr>
                <w:rFonts w:ascii="Times New Roman" w:hAnsi="Times New Roman"/>
                <w:sz w:val="18"/>
              </w:rPr>
              <w:t xml:space="preserve">: food processing is a manufacturing sector; processors and Common Facility Centres are production units; precedents cited from IJPE/PPC that treat food processing as manufacturing (peach canning, palm oil, European food manufacturer production losses). Stratum label changed to "manufacturing and recovery actors".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Theory: DCV + GVC governance. NRBV and TOE not addressed.</w:t>
            </w:r>
          </w:p>
        </w:tc>
        <w:tc>
          <w:tcPr>
            <w:tcW w:type="dxa" w:w="3120"/>
          </w:tcPr>
          <w:p>
            <w:pPr>
              <w:spacing w:line="240" w:lineRule="auto" w:after="40" w:before="40"/>
            </w:pPr>
            <w:r>
              <w:rPr>
                <w:rFonts w:ascii="Times New Roman" w:hAnsi="Times New Roman"/>
                <w:sz w:val="18"/>
              </w:rPr>
              <w:t>Robust, explicit theoretical foundation.</w:t>
            </w:r>
          </w:p>
        </w:tc>
        <w:tc>
          <w:tcPr>
            <w:tcW w:type="dxa" w:w="3120"/>
          </w:tcPr>
          <w:p>
            <w:pPr>
              <w:spacing w:line="240" w:lineRule="auto" w:after="40" w:before="40"/>
            </w:pPr>
            <w:r>
              <w:rPr>
                <w:rFonts w:ascii="Times New Roman" w:hAnsi="Times New Roman"/>
                <w:sz w:val="18"/>
              </w:rPr>
              <w:t xml:space="preserve">DCV + GVC retained unchanged. </w:t>
            </w:r>
            <w:r>
              <w:rPr>
                <w:rFonts w:ascii="Times New Roman" w:hAnsi="Times New Roman"/>
                <w:b/>
                <w:sz w:val="18"/>
              </w:rPr>
              <w:t>Socio-technical systems theory added as the framing complement</w:t>
            </w:r>
            <w:r>
              <w:rPr>
                <w:rFonts w:ascii="Times New Roman" w:hAnsi="Times New Roman"/>
                <w:sz w:val="18"/>
              </w:rPr>
              <w:t xml:space="preserve"> (new §3.4) because it gives the smart-production argument a testable form: technical subsystem = digital instrumentation + calculative capacity; social subsystem = accountability architecture. NRBV and TOE now explicitly considered and declined with reasons. Model untouched.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Nine hypotheses stated with theoretical logic but no link to production or carbon outcomes.</w:t>
            </w:r>
          </w:p>
        </w:tc>
        <w:tc>
          <w:tcPr>
            <w:tcW w:type="dxa" w:w="3120"/>
          </w:tcPr>
          <w:p>
            <w:pPr>
              <w:spacing w:line="240" w:lineRule="auto" w:after="40" w:before="40"/>
            </w:pPr>
            <w:r>
              <w:rPr>
                <w:rFonts w:ascii="Times New Roman" w:hAnsi="Times New Roman"/>
                <w:sz w:val="18"/>
              </w:rPr>
              <w:t>Hypotheses connected to sustainable/net-zero manufacturing.</w:t>
            </w:r>
          </w:p>
        </w:tc>
        <w:tc>
          <w:tcPr>
            <w:tcW w:type="dxa" w:w="3120"/>
          </w:tcPr>
          <w:p>
            <w:pPr>
              <w:spacing w:line="240" w:lineRule="auto" w:after="40" w:before="40"/>
            </w:pPr>
            <w:r>
              <w:rPr>
                <w:rFonts w:ascii="Times New Roman" w:hAnsi="Times New Roman"/>
                <w:sz w:val="18"/>
              </w:rPr>
              <w:t xml:space="preserve">All nine retained with identical direction, sign and structure. Wording sharpened; each of H1–H3 and H5 now carries an explicit production or net-zero implication; H6b citation base expanded with six recent conditional-effect precedents. </w:t>
            </w:r>
            <w:r>
              <w:rPr>
                <w:rFonts w:ascii="Times New Roman" w:hAnsi="Times New Roman"/>
                <w:b/>
                <w:sz w:val="18"/>
              </w:rPr>
              <w:t>Done — no hypothesis added, removed or reversed.</w:t>
            </w:r>
          </w:p>
        </w:tc>
      </w:tr>
      <w:tr>
        <w:tc>
          <w:tcPr>
            <w:tcW w:type="dxa" w:w="3120"/>
          </w:tcPr>
          <w:p>
            <w:pPr>
              <w:spacing w:line="240" w:lineRule="auto" w:after="40" w:before="40"/>
            </w:pPr>
            <w:r>
              <w:rPr>
                <w:rFonts w:ascii="Times New Roman" w:hAnsi="Times New Roman"/>
                <w:sz w:val="18"/>
              </w:rPr>
              <w:t>Section 7 "Expected contributions" mixes theory, practice and policy in seven short paragraphs.</w:t>
            </w:r>
          </w:p>
        </w:tc>
        <w:tc>
          <w:tcPr>
            <w:tcW w:type="dxa" w:w="3120"/>
          </w:tcPr>
          <w:p>
            <w:pPr>
              <w:spacing w:line="240" w:lineRule="auto" w:after="40" w:before="40"/>
            </w:pPr>
            <w:r>
              <w:rPr>
                <w:rFonts w:ascii="Times New Roman" w:hAnsi="Times New Roman"/>
                <w:sz w:val="18"/>
              </w:rPr>
              <w:t>Distinct, substantial theoretical, managerial, sustainability and policy sections.</w:t>
            </w:r>
          </w:p>
        </w:tc>
        <w:tc>
          <w:tcPr>
            <w:tcW w:type="dxa" w:w="3120"/>
          </w:tcPr>
          <w:p>
            <w:pPr>
              <w:spacing w:line="240" w:lineRule="auto" w:after="40" w:before="40"/>
            </w:pPr>
            <w:r>
              <w:rPr>
                <w:rFonts w:ascii="Times New Roman" w:hAnsi="Times New Roman"/>
                <w:sz w:val="18"/>
              </w:rPr>
              <w:t xml:space="preserve">Split into §7 Discussion, §8 Theoretical contributions (7 sub-claims), §9 Managerial implications (7 audiences), §10 Sustainability implications (7 themes incl. SDG mapping), §11 Policy implications (7 instrument classes).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No Discussion section (the paper has no results to discuss).</w:t>
            </w:r>
          </w:p>
        </w:tc>
        <w:tc>
          <w:tcPr>
            <w:tcW w:type="dxa" w:w="3120"/>
          </w:tcPr>
          <w:p>
            <w:pPr>
              <w:spacing w:line="240" w:lineRule="auto" w:after="40" w:before="40"/>
            </w:pPr>
            <w:r>
              <w:rPr>
                <w:rFonts w:ascii="Times New Roman" w:hAnsi="Times New Roman"/>
                <w:sz w:val="18"/>
              </w:rPr>
              <w:t>A discussion demonstrating scholarly depth against 2022–2026 work.</w:t>
            </w:r>
          </w:p>
        </w:tc>
        <w:tc>
          <w:tcPr>
            <w:tcW w:type="dxa" w:w="3120"/>
          </w:tcPr>
          <w:p>
            <w:pPr>
              <w:spacing w:line="240" w:lineRule="auto" w:after="40" w:before="40"/>
            </w:pPr>
            <w:r>
              <w:rPr>
                <w:rFonts w:ascii="Times New Roman" w:hAnsi="Times New Roman"/>
                <w:sz w:val="18"/>
              </w:rPr>
              <w:t xml:space="preserve">New §7 discusses what the validation </w:t>
            </w:r>
            <w:r>
              <w:rPr>
                <w:rFonts w:ascii="Times New Roman" w:hAnsi="Times New Roman"/>
                <w:i/>
                <w:sz w:val="18"/>
              </w:rPr>
              <w:t>does</w:t>
            </w:r>
            <w:r>
              <w:rPr>
                <w:rFonts w:ascii="Times New Roman" w:hAnsi="Times New Roman"/>
                <w:sz w:val="18"/>
              </w:rPr>
              <w:t xml:space="preserve"> establish and concede, three convergences with recent evidence, and three tensions the eventual estimation will adjudicate (transparency's inconsistent sign; sufficiency of digital instrumentation; the social dimension). </w:t>
            </w:r>
            <w:r>
              <w:rPr>
                <w:rFonts w:ascii="Times New Roman" w:hAnsi="Times New Roman"/>
                <w:b/>
                <w:sz w:val="18"/>
              </w:rPr>
              <w:t>Done, without inventing results.</w:t>
            </w:r>
          </w:p>
        </w:tc>
      </w:tr>
      <w:tr>
        <w:tc>
          <w:tcPr>
            <w:tcW w:type="dxa" w:w="3120"/>
          </w:tcPr>
          <w:p>
            <w:pPr>
              <w:spacing w:line="240" w:lineRule="auto" w:after="40" w:before="40"/>
            </w:pPr>
            <w:r>
              <w:rPr>
                <w:rFonts w:ascii="Times New Roman" w:hAnsi="Times New Roman"/>
                <w:sz w:val="18"/>
              </w:rPr>
              <w:t>Limitations: one paragraph.</w:t>
            </w:r>
          </w:p>
        </w:tc>
        <w:tc>
          <w:tcPr>
            <w:tcW w:type="dxa" w:w="3120"/>
          </w:tcPr>
          <w:p>
            <w:pPr>
              <w:spacing w:line="240" w:lineRule="auto" w:after="40" w:before="40"/>
            </w:pPr>
            <w:r>
              <w:rPr>
                <w:rFonts w:ascii="Times New Roman" w:hAnsi="Times New Roman"/>
                <w:sz w:val="18"/>
              </w:rPr>
              <w:t>Professional limitations section with an AI/digital-twin/Industry 5.0 agenda.</w:t>
            </w:r>
          </w:p>
        </w:tc>
        <w:tc>
          <w:tcPr>
            <w:tcW w:type="dxa" w:w="3120"/>
          </w:tcPr>
          <w:p>
            <w:pPr>
              <w:spacing w:line="240" w:lineRule="auto" w:after="40" w:before="40"/>
            </w:pPr>
            <w:r>
              <w:rPr>
                <w:rFonts w:ascii="Times New Roman" w:hAnsi="Times New Roman"/>
                <w:sz w:val="18"/>
              </w:rPr>
              <w:t xml:space="preserve">§12 rewritten: limitations ordered by severity, each paired with the design that would address it, plus six research directions (automated calculation/AI, digital twins, IoT at handover points, Industry 5.0, replication across fragmented production systems, green innovation).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72 references, Emerald style, heavily accounting-weighted; 2022–2026 production-research literature almost absent.</w:t>
            </w:r>
          </w:p>
        </w:tc>
        <w:tc>
          <w:tcPr>
            <w:tcW w:type="dxa" w:w="3120"/>
          </w:tcPr>
          <w:p>
            <w:pPr>
              <w:spacing w:line="240" w:lineRule="auto" w:after="40" w:before="40"/>
            </w:pPr>
            <w:r>
              <w:rPr>
                <w:rFonts w:ascii="Times New Roman" w:hAnsi="Times New Roman"/>
                <w:sz w:val="18"/>
              </w:rPr>
              <w:t>IJPR (Chicago author-date) style; recent high-quality operations literature.</w:t>
            </w:r>
          </w:p>
        </w:tc>
        <w:tc>
          <w:tcPr>
            <w:tcW w:type="dxa" w:w="3120"/>
          </w:tcPr>
          <w:p>
            <w:pPr>
              <w:spacing w:line="240" w:lineRule="auto" w:after="40" w:before="40"/>
            </w:pPr>
            <w:r>
              <w:rPr>
                <w:rFonts w:ascii="Times New Roman" w:hAnsi="Times New Roman"/>
                <w:sz w:val="18"/>
              </w:rPr>
              <w:t xml:space="preserve">All 72 originals retained and converted to IJPR style. </w:t>
            </w:r>
            <w:r>
              <w:rPr>
                <w:rFonts w:ascii="Times New Roman" w:hAnsi="Times New Roman"/>
                <w:b/>
                <w:sz w:val="18"/>
              </w:rPr>
              <w:t>83 new 2022–2026 references added</w:t>
            </w:r>
            <w:r>
              <w:rPr>
                <w:rFonts w:ascii="Times New Roman" w:hAnsi="Times New Roman"/>
                <w:sz w:val="18"/>
              </w:rPr>
              <w:t xml:space="preserve">, all verified against Crossref. Journal spread now includes IJPR (19), IJPE (21), PPC (13), JCP (9), TFSC (7), SCM:IJ (7), IJOPM (4), BSE (4), IJLM (2), RCR (3), JOM.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Tables numbered I–VIII; figures referenced but one cross-reference is broken ("1 sets out the evidence").</w:t>
            </w:r>
          </w:p>
        </w:tc>
        <w:tc>
          <w:tcPr>
            <w:tcW w:type="dxa" w:w="3120"/>
          </w:tcPr>
          <w:p>
            <w:pPr>
              <w:spacing w:line="240" w:lineRule="auto" w:after="40" w:before="40"/>
            </w:pPr>
            <w:r>
              <w:rPr>
                <w:rFonts w:ascii="Times New Roman" w:hAnsi="Times New Roman"/>
                <w:sz w:val="18"/>
              </w:rPr>
              <w:t>Clean IJPR presentation.</w:t>
            </w:r>
          </w:p>
        </w:tc>
        <w:tc>
          <w:tcPr>
            <w:tcW w:type="dxa" w:w="3120"/>
          </w:tcPr>
          <w:p>
            <w:pPr>
              <w:spacing w:line="240" w:lineRule="auto" w:after="40" w:before="40"/>
            </w:pPr>
            <w:r>
              <w:rPr>
                <w:rFonts w:ascii="Times New Roman" w:hAnsi="Times New Roman"/>
                <w:sz w:val="18"/>
              </w:rPr>
              <w:t xml:space="preserve">Renumbered Tables 1–8 in Arabic; broken cross-reference repaired; "Table VI" used twice in the original for two different objects (sample size and the instrument) — the instrument is now Appendix A.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Keywords: circular economy; circular accounting; management accounting; information transparency; value-chain governance; accountability.</w:t>
            </w:r>
          </w:p>
        </w:tc>
        <w:tc>
          <w:tcPr>
            <w:tcW w:type="dxa" w:w="3120"/>
          </w:tcPr>
          <w:p>
            <w:pPr>
              <w:spacing w:line="240" w:lineRule="auto" w:after="40" w:before="40"/>
            </w:pPr>
            <w:r>
              <w:rPr>
                <w:rFonts w:ascii="Times New Roman" w:hAnsi="Times New Roman"/>
                <w:sz w:val="18"/>
              </w:rPr>
              <w:t>Keywords aligned to the call.</w:t>
            </w:r>
          </w:p>
        </w:tc>
        <w:tc>
          <w:tcPr>
            <w:tcW w:type="dxa" w:w="3120"/>
          </w:tcPr>
          <w:p>
            <w:pPr>
              <w:spacing w:line="240" w:lineRule="auto" w:after="40" w:before="40"/>
            </w:pPr>
            <w:r>
              <w:rPr>
                <w:rFonts w:ascii="Times New Roman" w:hAnsi="Times New Roman"/>
                <w:sz w:val="18"/>
              </w:rPr>
              <w:t xml:space="preserve">Revised — see §6 of this pack. </w:t>
            </w:r>
            <w:r>
              <w:rPr>
                <w:rFonts w:ascii="Times New Roman" w:hAnsi="Times New Roman"/>
                <w:b/>
                <w:sz w:val="18"/>
              </w:rPr>
              <w:t>Done.</w:t>
            </w:r>
          </w:p>
        </w:tc>
      </w:tr>
      <w:tr>
        <w:tc>
          <w:tcPr>
            <w:tcW w:type="dxa" w:w="3120"/>
          </w:tcPr>
          <w:p>
            <w:pPr>
              <w:spacing w:line="240" w:lineRule="auto" w:after="40" w:before="40"/>
            </w:pPr>
            <w:r>
              <w:rPr>
                <w:rFonts w:ascii="Times New Roman" w:hAnsi="Times New Roman"/>
                <w:sz w:val="18"/>
              </w:rPr>
              <w:t>Abstract claims empirical SEM findings that do not exist.</w:t>
            </w:r>
          </w:p>
        </w:tc>
        <w:tc>
          <w:tcPr>
            <w:tcW w:type="dxa" w:w="3120"/>
          </w:tcPr>
          <w:p>
            <w:pPr>
              <w:spacing w:line="240" w:lineRule="auto" w:after="40" w:before="40"/>
            </w:pPr>
            <w:r>
              <w:rPr>
                <w:rFonts w:ascii="Times New Roman" w:hAnsi="Times New Roman"/>
                <w:sz w:val="18"/>
              </w:rPr>
              <w:t>Accurate abstract.</w:t>
            </w:r>
          </w:p>
        </w:tc>
        <w:tc>
          <w:tcPr>
            <w:tcW w:type="dxa" w:w="3120"/>
          </w:tcPr>
          <w:p>
            <w:pPr>
              <w:spacing w:line="240" w:lineRule="auto" w:after="40" w:before="40"/>
            </w:pPr>
            <w:r>
              <w:rPr>
                <w:rFonts w:ascii="Times New Roman" w:hAnsi="Times New Roman"/>
                <w:sz w:val="18"/>
              </w:rPr>
              <w:t xml:space="preserve">Rewritten to describe construct development, validation, specification analysis and protocol. </w:t>
            </w:r>
            <w:r>
              <w:rPr>
                <w:rFonts w:ascii="Times New Roman" w:hAnsi="Times New Roman"/>
                <w:b/>
                <w:sz w:val="18"/>
              </w:rPr>
              <w:t>Corrected.</w:t>
            </w:r>
          </w:p>
        </w:tc>
      </w:tr>
    </w:tbl>
    <w:p>
      <w:pPr>
        <w:spacing w:line="240" w:lineRule="auto"/>
      </w:pPr>
    </w:p>
    <w:p>
      <w:pPr>
        <w:pStyle w:val="Heading1"/>
      </w:pPr>
      <w:r>
        <w:t>2. Step 2 — How the study was repositioned without changing it</w:t>
      </w:r>
    </w:p>
    <w:p>
      <w:pPr>
        <w:spacing w:after="120"/>
        <w:ind w:firstLine="0"/>
      </w:pPr>
      <w:r>
        <w:t>The repositioning rests on four moves, none of which alters a construct, a path, a sign, an item or a statistic.</w:t>
      </w:r>
    </w:p>
    <w:p>
      <w:pPr>
        <w:spacing w:after="120"/>
        <w:ind w:firstLine="0"/>
      </w:pPr>
      <w:r>
        <w:rPr>
          <w:b/>
        </w:rPr>
        <w:t>Move 1 — the carbon bridge.</w:t>
      </w:r>
      <w:r>
        <w:t xml:space="preserve"> An inter-organisational material loss is also an embodied-emissions loss, and it is unrecorded for the same reason: no entity recognises it. Net-zero manufacturing targets are set on chain-level quantities while accounting is bounded by the legal entity, which is precisely the structural gap the paper already identified. This converts the paper's existing argument into a net-zero argument without adding a variable.</w:t>
      </w:r>
    </w:p>
    <w:p>
      <w:pPr>
        <w:spacing w:after="120"/>
        <w:ind w:firstLine="0"/>
      </w:pPr>
      <w:r>
        <w:rPr>
          <w:b/>
        </w:rPr>
        <w:t>Move 2 — accounting as the calculative layer of smart production.</w:t>
      </w:r>
      <w:r>
        <w:t xml:space="preserve"> The paper already positions accounting as the "sensing apparatus of circularity." Recast against the smart-production literature, this says that digital technologies generate </w:t>
      </w:r>
      <w:r>
        <w:rPr>
          <w:i/>
        </w:rPr>
        <w:t>data</w:t>
      </w:r>
      <w:r>
        <w:t xml:space="preserve"> while accounting generates </w:t>
      </w:r>
      <w:r>
        <w:rPr>
          <w:i/>
        </w:rPr>
        <w:t>decision objects</w:t>
      </w:r>
      <w:r>
        <w:t>, and that the field has been estimating a three-stage mechanism (instrumentation → calculation → accountable action) as a one-stage one. This is the paper's most distinctive contribution to the Special Issue and it required no model change — only the promotion of the existing "digital traceability capability" control from an unexplained variable to a theorised rival explanation.</w:t>
      </w:r>
    </w:p>
    <w:p>
      <w:pPr>
        <w:spacing w:after="120"/>
        <w:ind w:firstLine="0"/>
      </w:pPr>
      <w:r>
        <w:rPr>
          <w:b/>
        </w:rPr>
        <w:t>Move 3 — the setting as manufacturing.</w:t>
      </w:r>
      <w:r>
        <w:t xml:space="preserve"> Fruit processing is manufacturing. The processors, juice and concentrate lines, peel and pomace valorisers and Common Facility Centres in the studied network are production units, and they are the tier the sampling design deliberately over-samples. Production research already treats comparable settings as manufacturing systems, and three such precedents are now cited.</w:t>
      </w:r>
    </w:p>
    <w:p>
      <w:pPr>
        <w:spacing w:after="120"/>
        <w:ind w:firstLine="0"/>
      </w:pPr>
      <w:r>
        <w:rPr>
          <w:b/>
        </w:rPr>
        <w:t>Move 4 — governance as the socio-technical conversion condition.</w:t>
      </w:r>
      <w:r>
        <w:t xml:space="preserve"> The existing focal hypothesis is, restated, that intervening on the technical subsystem alone will not deliver reconfiguration because the conversion is performed by the social subsystem. This is a standard socio-technical prediction that the operations literature has largely made qualitatively; the paper gives it a testable form. Adding socio-technical systems theory as a framing complement therefore strengthens the theory section without disturbing the dynamic-capabilities core.</w:t>
      </w:r>
    </w:p>
    <w:p>
      <w:pPr>
        <w:pStyle w:val="Heading1"/>
      </w:pPr>
      <w:r>
        <w:t>3. Step 3 — Fifteen publication-ready titles</w:t>
      </w:r>
    </w:p>
    <w:p>
      <w:pPr>
        <w:spacing w:after="120"/>
        <w:ind w:firstLine="0"/>
      </w:pPr>
      <w:r>
        <w:t>The adopted title is #1. Titles are ordered from most conservative to most assertive.</w:t>
      </w:r>
    </w:p>
    <w:p>
      <w:pPr>
        <w:spacing w:after="120"/>
        <w:ind w:firstLine="0"/>
      </w:pPr>
      <w:r>
        <w:t xml:space="preserve">1. </w:t>
      </w:r>
      <w:r>
        <w:rPr>
          <w:b/>
        </w:rPr>
        <w:t>From vision to measurable practice: circular accounting capability, chain transparency and the governance conditions of net-zero value creation in fragmented manufacturing networks</w:t>
      </w:r>
      <w:r>
        <w:t xml:space="preserve"> </w:t>
      </w:r>
      <w:r>
        <w:rPr>
          <w:i/>
        </w:rPr>
        <w:t>(adopted)</w:t>
      </w:r>
    </w:p>
    <w:p>
      <w:pPr>
        <w:spacing w:after="120"/>
        <w:ind w:firstLine="0"/>
      </w:pPr>
      <w:r>
        <w:t>2. Operationalising circular accounting for net-zero manufacturing: scale development and a pre-registered structural protocol</w:t>
      </w:r>
    </w:p>
    <w:p>
      <w:pPr>
        <w:spacing w:after="120"/>
        <w:ind w:firstLine="0"/>
      </w:pPr>
      <w:r>
        <w:t>3. Circular accounting capability and net-zero manufacturing: a moderated serial-mediation model of transparency, governance and circular value creation</w:t>
      </w:r>
    </w:p>
    <w:p>
      <w:pPr>
        <w:spacing w:after="120"/>
        <w:ind w:firstLine="0"/>
      </w:pPr>
      <w:r>
        <w:t>4. Circular economy and smart production in fragmented manufacturing ecosystems: a capability-and-governance model of net-zero value creation</w:t>
      </w:r>
    </w:p>
    <w:p>
      <w:pPr>
        <w:spacing w:after="120"/>
        <w:ind w:firstLine="0"/>
      </w:pPr>
      <w:r>
        <w:t>5. The calculative foundations of circular manufacturing: from Industry 4.0 data to accountable material re-routing</w:t>
      </w:r>
    </w:p>
    <w:p>
      <w:pPr>
        <w:spacing w:after="120"/>
        <w:ind w:firstLine="0"/>
      </w:pPr>
      <w:r>
        <w:t>6. Data is not a decision: circular accounting capability as the missing layer between smart production and net-zero outcomes</w:t>
      </w:r>
    </w:p>
    <w:p>
      <w:pPr>
        <w:spacing w:after="120"/>
        <w:ind w:firstLine="0"/>
      </w:pPr>
      <w:r>
        <w:t>7. Measuring what the factory gate hides: inter-organisational accounting capability for carbon-efficient production</w:t>
      </w:r>
    </w:p>
    <w:p>
      <w:pPr>
        <w:spacing w:after="120"/>
        <w:ind w:firstLine="0"/>
      </w:pPr>
      <w:r>
        <w:t>8. Beyond the digital product passport: calculative capability, accountability and circular value realisation in smart production networks</w:t>
      </w:r>
    </w:p>
    <w:p>
      <w:pPr>
        <w:spacing w:after="120"/>
        <w:ind w:firstLine="0"/>
      </w:pPr>
      <w:r>
        <w:t>9. Scope 3 as an accountability problem: inter-organisational accounting capability and low-carbon manufacturing networks</w:t>
      </w:r>
    </w:p>
    <w:p>
      <w:pPr>
        <w:spacing w:after="120"/>
        <w:ind w:firstLine="0"/>
      </w:pPr>
      <w:r>
        <w:t>10. When does transparency decarbonise? Governance-contingent pathways from circular measurement to sustainable production performance</w:t>
      </w:r>
    </w:p>
    <w:p>
      <w:pPr>
        <w:spacing w:after="120"/>
        <w:ind w:firstLine="0"/>
      </w:pPr>
      <w:r>
        <w:t>11. Governance as the conversion mechanism: why transparency alone does not deliver circular manufacturing</w:t>
      </w:r>
    </w:p>
    <w:p>
      <w:pPr>
        <w:spacing w:after="120"/>
        <w:ind w:firstLine="0"/>
      </w:pPr>
      <w:r>
        <w:t>12. Smart production, circular calculation and the governance threshold for low-carbon value creation in manufacturing</w:t>
      </w:r>
    </w:p>
    <w:p>
      <w:pPr>
        <w:spacing w:after="120"/>
        <w:ind w:firstLine="0"/>
      </w:pPr>
      <w:r>
        <w:t>13. Making losses visible and owed: circular accounting capability, value-chain governance and sustainable manufacturing performance</w:t>
      </w:r>
    </w:p>
    <w:p>
      <w:pPr>
        <w:spacing w:after="120"/>
        <w:ind w:firstLine="0"/>
      </w:pPr>
      <w:r>
        <w:t>14. Whose loss is it? Accountability, transparency and circular value creation in fragmented production networks</w:t>
      </w:r>
    </w:p>
    <w:p>
      <w:pPr>
        <w:spacing w:after="120"/>
        <w:ind w:firstLine="0"/>
      </w:pPr>
      <w:r>
        <w:t>15. Realising net-zero manufacturing: the measurement and accountability infrastructure of circular production systems</w:t>
      </w:r>
    </w:p>
    <w:p>
      <w:pPr>
        <w:pStyle w:val="Heading1"/>
      </w:pPr>
      <w:r>
        <w:t>4. Step 4 — Revised abstract (288 words)</w:t>
      </w:r>
    </w:p>
    <w:p>
      <w:pPr>
        <w:spacing w:after="120"/>
        <w:ind w:firstLine="0"/>
      </w:pPr>
      <w:r>
        <w:t>Net-zero manufacturing is a commitment expressed in quantities, yet the decisive share of those quantities arises outside the reporting boundary of the firm that commits to them. Circular economy strategies and smart production technologies are the principal levers for closing that distance, but neither is self-executing: digital instrumentation generates data, and data becomes a decision object only once it is quantified, costed and valued, while a valued opportunity becomes realised material re-routing only where some actor is answerable for the loss. In fragmented manufacturing networks of dispersed small producers, informal intermediaries and specialised processors, conventional management accounting recognises purchased inputs and saleable outputs while the fraction leaving a production process as waste is recognised only as an absence. This study operationalises circular accounting capability as a measurable, actor-level construct spanning organisational boundaries, and specifies a moderated serial-mediation model in which the capability raises circular information transparency, transparency enables circular value-chain integration conditional on circular governance quality, and integration delivers economic, environmental and social circular value creation. The framework combines the dynamic capabilities view with value-chain governance theory and a socio-technical reading of smart production, treating governance as the complementary asset that substitutes for hierarchy where the value-creating reconfiguration crosses firm boundaries. Three rounds of expert validation with an eight-member panel raised scale-level content validity from 0.799 to 0.908 and established the construct's discriminant boundaries, with leakage between the accounting–transparency and governance–integration pairs of 4.2 and 2.1 per cent against a pre-specified 20 per cent tolerance. Formal specification analysis rejects the intuitive four-link serial chain, whose indirect effect falls below 0.03 once path coefficients drop under 0.40. The paper delivers a validated instrument and a pre-registrable estimation protocol for the measurement and accountability infrastructure on which industrial decarbonisation depends.</w:t>
      </w:r>
    </w:p>
    <w:p>
      <w:pPr>
        <w:pStyle w:val="Heading1"/>
      </w:pPr>
      <w:r>
        <w:t>5. Step 4b — Alternative abstract if the survey is fielded before submission</w:t>
      </w:r>
    </w:p>
    <w:p>
      <w:pPr>
        <w:spacing w:after="120"/>
        <w:ind w:firstLine="0"/>
      </w:pPr>
      <w:r>
        <w:t xml:space="preserve">Use this shell once estimates exist. Every bracketed slot is a number the estimation will produce; </w:t>
      </w:r>
      <w:r>
        <w:rPr>
          <w:b/>
        </w:rPr>
        <w:t>none has been filled, because none exists.</w:t>
      </w:r>
    </w:p>
    <w:p>
      <w:pPr>
        <w:spacing w:before="120" w:after="120" w:line="360" w:lineRule="auto"/>
        <w:ind w:left="720" w:right="720"/>
      </w:pPr>
      <w:r>
        <w:rPr>
          <w:i/>
        </w:rPr>
        <w:t>Net-zero manufacturing depends on quantities that entity-bounded accounting does not compute … Drawing on survey data from [n] actors across [k] tiers of a fragmented agro-industrial manufacturing network, and estimating a moderated serial-mediation model by PLS-SEM, we find that circular accounting capability raises circular information transparency (β = [ ]), that transparency translates into circular value-chain integration only where circular governance quality exceeds a Johnson–Neyman threshold of [ ] (interaction f² = [ ]), and that the conditional indirect effect of accounting capability on circular value creation is [ ] at high governance and statistically indistinguishable from zero at low governance …</w:t>
      </w:r>
    </w:p>
    <w:p>
      <w:pPr>
        <w:pStyle w:val="Heading1"/>
      </w:pPr>
      <w:r>
        <w:t>6. Step 4c — Revised keywords</w:t>
      </w:r>
    </w:p>
    <w:p>
      <w:pPr>
        <w:spacing w:after="120"/>
        <w:ind w:firstLine="0"/>
      </w:pPr>
      <w:r>
        <w:rPr>
          <w:b/>
        </w:rPr>
        <w:t>Adopted (8):</w:t>
      </w:r>
      <w:r>
        <w:t xml:space="preserve"> circular economy; net-zero manufacturing; circular accounting capability; supply chain transparency; value-chain governance; smart production; sustainable operations; scale development</w:t>
      </w:r>
    </w:p>
    <w:p>
      <w:pPr>
        <w:spacing w:after="120"/>
        <w:ind w:firstLine="0"/>
      </w:pPr>
      <w:r>
        <w:rPr>
          <w:b/>
        </w:rPr>
        <w:t>Rationale.</w:t>
      </w:r>
      <w:r>
        <w:t xml:space="preserve"> </w:t>
      </w:r>
      <w:r>
        <w:rPr>
          <w:i/>
        </w:rPr>
        <w:t>Circular economy</w:t>
      </w:r>
      <w:r>
        <w:t xml:space="preserve"> and </w:t>
      </w:r>
      <w:r>
        <w:rPr>
          <w:i/>
        </w:rPr>
        <w:t>net-zero manufacturing</w:t>
      </w:r>
      <w:r>
        <w:t xml:space="preserve"> are the call's own terms and must appear. </w:t>
      </w:r>
      <w:r>
        <w:rPr>
          <w:i/>
        </w:rPr>
        <w:t>Smart production</w:t>
      </w:r>
      <w:r>
        <w:t xml:space="preserve"> signals the third pillar. </w:t>
      </w:r>
      <w:r>
        <w:rPr>
          <w:i/>
        </w:rPr>
        <w:t>Circular accounting capability</w:t>
      </w:r>
      <w:r>
        <w:t xml:space="preserve"> is the paper's construct and its indexing hook. </w:t>
      </w:r>
      <w:r>
        <w:rPr>
          <w:i/>
        </w:rPr>
        <w:t>Value-chain governance</w:t>
      </w:r>
      <w:r>
        <w:t xml:space="preserve"> carries the focal contribution. </w:t>
      </w:r>
      <w:r>
        <w:rPr>
          <w:i/>
        </w:rPr>
        <w:t>Scale development</w:t>
      </w:r>
      <w:r>
        <w:t xml:space="preserve"> is an honest methodological signal that helps the right reviewers self-select. Dropped from the original: </w:t>
      </w:r>
      <w:r>
        <w:rPr>
          <w:i/>
        </w:rPr>
        <w:t>management accounting</w:t>
      </w:r>
      <w:r>
        <w:t xml:space="preserve"> and </w:t>
      </w:r>
      <w:r>
        <w:rPr>
          <w:i/>
        </w:rPr>
        <w:t>accountability</w:t>
      </w:r>
      <w:r>
        <w:t xml:space="preserve"> (they route the paper to accounting journals), and </w:t>
      </w:r>
      <w:r>
        <w:rPr>
          <w:i/>
        </w:rPr>
        <w:t>information transparency</w:t>
      </w:r>
      <w:r>
        <w:t xml:space="preserve"> (subsumed by </w:t>
      </w:r>
      <w:r>
        <w:rPr>
          <w:i/>
        </w:rPr>
        <w:t>supply chain transparency</w:t>
      </w:r>
      <w:r>
        <w:t>, which is the operations-literature term).</w:t>
      </w:r>
    </w:p>
    <w:p>
      <w:pPr>
        <w:spacing w:after="120"/>
        <w:ind w:firstLine="0"/>
      </w:pPr>
      <w:r>
        <w:rPr>
          <w:b/>
        </w:rPr>
        <w:t>Reserve list</w:t>
      </w:r>
      <w:r>
        <w:t xml:space="preserve"> if the call specifies preferred terms: Industry 4.0; sustainable manufacturing; carbon accounting; PLS-SEM; circular value creation; multi-tier supply chain.</w:t>
      </w:r>
    </w:p>
    <w:p>
      <w:pPr>
        <w:pStyle w:val="Heading1"/>
      </w:pPr>
      <w:r>
        <w:t>7. Deliverable 2 — Summary of every major modification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after="40" w:before="40"/>
            </w:pPr>
            <w:r>
              <w:rPr>
                <w:rFonts w:ascii="Times New Roman" w:hAnsi="Times New Roman"/>
                <w:b/>
                <w:sz w:val="18"/>
              </w:rPr>
              <w:t>#</w:t>
            </w:r>
          </w:p>
        </w:tc>
        <w:tc>
          <w:tcPr>
            <w:tcW w:type="dxa" w:w="1872"/>
            <w:shd w:val="clear" w:fill="EFEFEF"/>
          </w:tcPr>
          <w:p>
            <w:pPr>
              <w:spacing w:line="240" w:lineRule="auto" w:after="40" w:before="40"/>
            </w:pPr>
            <w:r>
              <w:rPr>
                <w:rFonts w:ascii="Times New Roman" w:hAnsi="Times New Roman"/>
                <w:b/>
                <w:sz w:val="18"/>
              </w:rPr>
              <w:t>Section</w:t>
            </w:r>
          </w:p>
        </w:tc>
        <w:tc>
          <w:tcPr>
            <w:tcW w:type="dxa" w:w="1872"/>
            <w:shd w:val="clear" w:fill="EFEFEF"/>
          </w:tcPr>
          <w:p>
            <w:pPr>
              <w:spacing w:line="240" w:lineRule="auto" w:after="40" w:before="40"/>
            </w:pPr>
            <w:r>
              <w:rPr>
                <w:rFonts w:ascii="Times New Roman" w:hAnsi="Times New Roman"/>
                <w:b/>
                <w:sz w:val="18"/>
              </w:rPr>
              <w:t>Modification</w:t>
            </w:r>
          </w:p>
        </w:tc>
        <w:tc>
          <w:tcPr>
            <w:tcW w:type="dxa" w:w="1872"/>
            <w:shd w:val="clear" w:fill="EFEFEF"/>
          </w:tcPr>
          <w:p>
            <w:pPr>
              <w:spacing w:line="240" w:lineRule="auto" w:after="40" w:before="40"/>
            </w:pPr>
            <w:r>
              <w:rPr>
                <w:rFonts w:ascii="Times New Roman" w:hAnsi="Times New Roman"/>
                <w:b/>
                <w:sz w:val="18"/>
              </w:rPr>
              <w:t>Rationale</w:t>
            </w:r>
          </w:p>
        </w:tc>
        <w:tc>
          <w:tcPr>
            <w:tcW w:type="dxa" w:w="1872"/>
            <w:shd w:val="clear" w:fill="EFEFEF"/>
          </w:tcPr>
          <w:p>
            <w:pPr>
              <w:spacing w:line="240" w:lineRule="auto" w:after="40" w:before="40"/>
            </w:pPr>
            <w:r>
              <w:rPr>
                <w:rFonts w:ascii="Times New Roman" w:hAnsi="Times New Roman"/>
                <w:b/>
                <w:sz w:val="18"/>
              </w:rPr>
              <w:t>Original content preserved?</w:t>
            </w:r>
          </w:p>
        </w:tc>
      </w:tr>
      <w:tr>
        <w:tc>
          <w:tcPr>
            <w:tcW w:type="dxa" w:w="1872"/>
          </w:tcPr>
          <w:p>
            <w:pPr>
              <w:spacing w:line="240" w:lineRule="auto" w:after="40" w:before="40"/>
            </w:pPr>
            <w:r>
              <w:rPr>
                <w:rFonts w:ascii="Times New Roman" w:hAnsi="Times New Roman"/>
                <w:sz w:val="18"/>
              </w:rPr>
              <w:t>1</w:t>
            </w:r>
          </w:p>
        </w:tc>
        <w:tc>
          <w:tcPr>
            <w:tcW w:type="dxa" w:w="1872"/>
          </w:tcPr>
          <w:p>
            <w:pPr>
              <w:spacing w:line="240" w:lineRule="auto" w:after="40" w:before="40"/>
            </w:pPr>
            <w:r>
              <w:rPr>
                <w:rFonts w:ascii="Times New Roman" w:hAnsi="Times New Roman"/>
                <w:sz w:val="18"/>
              </w:rPr>
              <w:t>Title</w:t>
            </w:r>
          </w:p>
        </w:tc>
        <w:tc>
          <w:tcPr>
            <w:tcW w:type="dxa" w:w="1872"/>
          </w:tcPr>
          <w:p>
            <w:pPr>
              <w:spacing w:line="240" w:lineRule="auto" w:after="40" w:before="40"/>
            </w:pPr>
            <w:r>
              <w:rPr>
                <w:rFonts w:ascii="Times New Roman" w:hAnsi="Times New Roman"/>
                <w:sz w:val="18"/>
              </w:rPr>
              <w:t>Retitled to lead with net-zero manufacturing and manufacturing networks</w:t>
            </w:r>
          </w:p>
        </w:tc>
        <w:tc>
          <w:tcPr>
            <w:tcW w:type="dxa" w:w="1872"/>
          </w:tcPr>
          <w:p>
            <w:pPr>
              <w:spacing w:line="240" w:lineRule="auto" w:after="40" w:before="40"/>
            </w:pPr>
            <w:r>
              <w:rPr>
                <w:rFonts w:ascii="Times New Roman" w:hAnsi="Times New Roman"/>
                <w:sz w:val="18"/>
              </w:rPr>
              <w:t>SI alignment; "Fragmented Supply Chains" gave no manufacturing signal</w:t>
            </w:r>
          </w:p>
        </w:tc>
        <w:tc>
          <w:tcPr>
            <w:tcW w:type="dxa" w:w="1872"/>
          </w:tcPr>
          <w:p>
            <w:pPr>
              <w:spacing w:line="240" w:lineRule="auto" w:after="40" w:before="40"/>
            </w:pPr>
            <w:r>
              <w:rPr>
                <w:rFonts w:ascii="Times New Roman" w:hAnsi="Times New Roman"/>
                <w:sz w:val="18"/>
              </w:rPr>
              <w:t>Core referents (circular accounting, fragmentation, governance) all retained</w:t>
            </w:r>
          </w:p>
        </w:tc>
      </w:tr>
      <w:tr>
        <w:tc>
          <w:tcPr>
            <w:tcW w:type="dxa" w:w="1872"/>
          </w:tcPr>
          <w:p>
            <w:pPr>
              <w:spacing w:line="240" w:lineRule="auto" w:after="40" w:before="40"/>
            </w:pPr>
            <w:r>
              <w:rPr>
                <w:rFonts w:ascii="Times New Roman" w:hAnsi="Times New Roman"/>
                <w:sz w:val="18"/>
              </w:rPr>
              <w:t>2</w:t>
            </w:r>
          </w:p>
        </w:tc>
        <w:tc>
          <w:tcPr>
            <w:tcW w:type="dxa" w:w="1872"/>
          </w:tcPr>
          <w:p>
            <w:pPr>
              <w:spacing w:line="240" w:lineRule="auto" w:after="40" w:before="40"/>
            </w:pPr>
            <w:r>
              <w:rPr>
                <w:rFonts w:ascii="Times New Roman" w:hAnsi="Times New Roman"/>
                <w:sz w:val="18"/>
              </w:rPr>
              <w:t>Abstract</w:t>
            </w:r>
          </w:p>
        </w:tc>
        <w:tc>
          <w:tcPr>
            <w:tcW w:type="dxa" w:w="1872"/>
          </w:tcPr>
          <w:p>
            <w:pPr>
              <w:spacing w:line="240" w:lineRule="auto" w:after="40" w:before="40"/>
            </w:pPr>
            <w:r>
              <w:rPr>
                <w:rFonts w:ascii="Times New Roman" w:hAnsi="Times New Roman"/>
                <w:sz w:val="18"/>
              </w:rPr>
              <w:t xml:space="preserve">Rewritten; </w:t>
            </w:r>
            <w:r>
              <w:rPr>
                <w:rFonts w:ascii="Times New Roman" w:hAnsi="Times New Roman"/>
                <w:b/>
                <w:sz w:val="18"/>
              </w:rPr>
              <w:t>false empirical claims removed</w:t>
            </w:r>
          </w:p>
        </w:tc>
        <w:tc>
          <w:tcPr>
            <w:tcW w:type="dxa" w:w="1872"/>
          </w:tcPr>
          <w:p>
            <w:pPr>
              <w:spacing w:line="240" w:lineRule="auto" w:after="40" w:before="40"/>
            </w:pPr>
            <w:r>
              <w:rPr>
                <w:rFonts w:ascii="Times New Roman" w:hAnsi="Times New Roman"/>
                <w:sz w:val="18"/>
              </w:rPr>
              <w:t>The original asserted SEM findings the paper does not contain</w:t>
            </w:r>
          </w:p>
        </w:tc>
        <w:tc>
          <w:tcPr>
            <w:tcW w:type="dxa" w:w="1872"/>
          </w:tcPr>
          <w:p>
            <w:pPr>
              <w:spacing w:line="240" w:lineRule="auto" w:after="40" w:before="40"/>
            </w:pPr>
            <w:r>
              <w:rPr>
                <w:rFonts w:ascii="Times New Roman" w:hAnsi="Times New Roman"/>
                <w:sz w:val="18"/>
              </w:rPr>
              <w:t>Contribution, method and validation results retained accurately</w:t>
            </w:r>
          </w:p>
        </w:tc>
      </w:tr>
      <w:tr>
        <w:tc>
          <w:tcPr>
            <w:tcW w:type="dxa" w:w="1872"/>
          </w:tcPr>
          <w:p>
            <w:pPr>
              <w:spacing w:line="240" w:lineRule="auto" w:after="40" w:before="40"/>
            </w:pPr>
            <w:r>
              <w:rPr>
                <w:rFonts w:ascii="Times New Roman" w:hAnsi="Times New Roman"/>
                <w:sz w:val="18"/>
              </w:rPr>
              <w:t>3</w:t>
            </w:r>
          </w:p>
        </w:tc>
        <w:tc>
          <w:tcPr>
            <w:tcW w:type="dxa" w:w="1872"/>
          </w:tcPr>
          <w:p>
            <w:pPr>
              <w:spacing w:line="240" w:lineRule="auto" w:after="40" w:before="40"/>
            </w:pPr>
            <w:r>
              <w:rPr>
                <w:rFonts w:ascii="Times New Roman" w:hAnsi="Times New Roman"/>
                <w:sz w:val="18"/>
              </w:rPr>
              <w:t>Keywords</w:t>
            </w:r>
          </w:p>
        </w:tc>
        <w:tc>
          <w:tcPr>
            <w:tcW w:type="dxa" w:w="1872"/>
          </w:tcPr>
          <w:p>
            <w:pPr>
              <w:spacing w:line="240" w:lineRule="auto" w:after="40" w:before="40"/>
            </w:pPr>
            <w:r>
              <w:rPr>
                <w:rFonts w:ascii="Times New Roman" w:hAnsi="Times New Roman"/>
                <w:sz w:val="18"/>
              </w:rPr>
              <w:t>Six replaced by eight, reweighted to operations</w:t>
            </w:r>
          </w:p>
        </w:tc>
        <w:tc>
          <w:tcPr>
            <w:tcW w:type="dxa" w:w="1872"/>
          </w:tcPr>
          <w:p>
            <w:pPr>
              <w:spacing w:line="240" w:lineRule="auto" w:after="40" w:before="40"/>
            </w:pPr>
            <w:r>
              <w:rPr>
                <w:rFonts w:ascii="Times New Roman" w:hAnsi="Times New Roman"/>
                <w:sz w:val="18"/>
              </w:rPr>
              <w:t>Indexing and reviewer routing</w:t>
            </w:r>
          </w:p>
        </w:tc>
        <w:tc>
          <w:tcPr>
            <w:tcW w:type="dxa" w:w="1872"/>
          </w:tcPr>
          <w:p>
            <w:pPr>
              <w:spacing w:line="240" w:lineRule="auto" w:after="40" w:before="40"/>
            </w:pPr>
            <w:r>
              <w:rPr>
                <w:rFonts w:ascii="Times New Roman" w:hAnsi="Times New Roman"/>
                <w:sz w:val="18"/>
              </w:rPr>
              <w:t>Circular economy, transparency, governance retained</w:t>
            </w:r>
          </w:p>
        </w:tc>
      </w:tr>
      <w:tr>
        <w:tc>
          <w:tcPr>
            <w:tcW w:type="dxa" w:w="1872"/>
          </w:tcPr>
          <w:p>
            <w:pPr>
              <w:spacing w:line="240" w:lineRule="auto" w:after="40" w:before="40"/>
            </w:pPr>
            <w:r>
              <w:rPr>
                <w:rFonts w:ascii="Times New Roman" w:hAnsi="Times New Roman"/>
                <w:sz w:val="18"/>
              </w:rPr>
              <w:t>4</w:t>
            </w:r>
          </w:p>
        </w:tc>
        <w:tc>
          <w:tcPr>
            <w:tcW w:type="dxa" w:w="1872"/>
          </w:tcPr>
          <w:p>
            <w:pPr>
              <w:spacing w:line="240" w:lineRule="auto" w:after="40" w:before="40"/>
            </w:pPr>
            <w:r>
              <w:rPr>
                <w:rFonts w:ascii="Times New Roman" w:hAnsi="Times New Roman"/>
                <w:sz w:val="18"/>
              </w:rPr>
              <w:t>§1 Introduction</w:t>
            </w:r>
          </w:p>
        </w:tc>
        <w:tc>
          <w:tcPr>
            <w:tcW w:type="dxa" w:w="1872"/>
          </w:tcPr>
          <w:p>
            <w:pPr>
              <w:spacing w:line="240" w:lineRule="auto" w:after="40" w:before="40"/>
            </w:pPr>
            <w:r>
              <w:rPr>
                <w:rFonts w:ascii="Times New Roman" w:hAnsi="Times New Roman"/>
                <w:sz w:val="18"/>
              </w:rPr>
              <w:t>Expanded ~3× ; opens on net-zero quantities; new §1.1 smart production paradox; new §1.2 gap; new §1.3 contributions and scope; roadmap paragraph added</w:t>
            </w:r>
          </w:p>
        </w:tc>
        <w:tc>
          <w:tcPr>
            <w:tcW w:type="dxa" w:w="1872"/>
          </w:tcPr>
          <w:p>
            <w:pPr>
              <w:spacing w:line="240" w:lineRule="auto" w:after="40" w:before="40"/>
            </w:pPr>
            <w:r>
              <w:rPr>
                <w:rFonts w:ascii="Times New Roman" w:hAnsi="Times New Roman"/>
                <w:sz w:val="18"/>
              </w:rPr>
              <w:t>SI framing; IJPR expects an explicit gap and roadmap</w:t>
            </w:r>
          </w:p>
        </w:tc>
        <w:tc>
          <w:tcPr>
            <w:tcW w:type="dxa" w:w="1872"/>
          </w:tcPr>
          <w:p>
            <w:pPr>
              <w:spacing w:line="240" w:lineRule="auto" w:after="40" w:before="40"/>
            </w:pPr>
            <w:r>
              <w:rPr>
                <w:rFonts w:ascii="Times New Roman" w:hAnsi="Times New Roman"/>
                <w:sz w:val="18"/>
              </w:rPr>
              <w:t>All four original contribution claims and both boundary statements retained verbatim in substance</w:t>
            </w:r>
          </w:p>
        </w:tc>
      </w:tr>
      <w:tr>
        <w:tc>
          <w:tcPr>
            <w:tcW w:type="dxa" w:w="1872"/>
          </w:tcPr>
          <w:p>
            <w:pPr>
              <w:spacing w:line="240" w:lineRule="auto" w:after="40" w:before="40"/>
            </w:pPr>
            <w:r>
              <w:rPr>
                <w:rFonts w:ascii="Times New Roman" w:hAnsi="Times New Roman"/>
                <w:sz w:val="18"/>
              </w:rPr>
              <w:t>5</w:t>
            </w:r>
          </w:p>
        </w:tc>
        <w:tc>
          <w:tcPr>
            <w:tcW w:type="dxa" w:w="1872"/>
          </w:tcPr>
          <w:p>
            <w:pPr>
              <w:spacing w:line="240" w:lineRule="auto" w:after="40" w:before="40"/>
            </w:pPr>
            <w:r>
              <w:rPr>
                <w:rFonts w:ascii="Times New Roman" w:hAnsi="Times New Roman"/>
                <w:sz w:val="18"/>
              </w:rPr>
              <w:t>§2.1</w:t>
            </w:r>
          </w:p>
        </w:tc>
        <w:tc>
          <w:tcPr>
            <w:tcW w:type="dxa" w:w="1872"/>
          </w:tcPr>
          <w:p>
            <w:pPr>
              <w:spacing w:line="240" w:lineRule="auto" w:after="40" w:before="40"/>
            </w:pPr>
            <w:r>
              <w:rPr>
                <w:rFonts w:ascii="Times New Roman" w:hAnsi="Times New Roman"/>
                <w:sz w:val="18"/>
              </w:rPr>
              <w:t>Merged and expanded: new net-zero/low-carbon manufacturing subsection prepended to the original circularity-and-measurement material</w:t>
            </w:r>
          </w:p>
        </w:tc>
        <w:tc>
          <w:tcPr>
            <w:tcW w:type="dxa" w:w="1872"/>
          </w:tcPr>
          <w:p>
            <w:pPr>
              <w:spacing w:line="240" w:lineRule="auto" w:after="40" w:before="40"/>
            </w:pPr>
            <w:r>
              <w:rPr>
                <w:rFonts w:ascii="Times New Roman" w:hAnsi="Times New Roman"/>
                <w:sz w:val="18"/>
              </w:rPr>
              <w:t>The SI theme had no literature base in the original</w:t>
            </w:r>
          </w:p>
        </w:tc>
        <w:tc>
          <w:tcPr>
            <w:tcW w:type="dxa" w:w="1872"/>
          </w:tcPr>
          <w:p>
            <w:pPr>
              <w:spacing w:line="240" w:lineRule="auto" w:after="40" w:before="40"/>
            </w:pPr>
            <w:r>
              <w:rPr>
                <w:rFonts w:ascii="Times New Roman" w:hAnsi="Times New Roman"/>
                <w:sz w:val="18"/>
              </w:rPr>
              <w:t>Kirchherr, Geissdoerfer, Bocken, Velenturf, Corvellec, Corona, Kristensen material all retained</w:t>
            </w:r>
          </w:p>
        </w:tc>
      </w:tr>
      <w:tr>
        <w:tc>
          <w:tcPr>
            <w:tcW w:type="dxa" w:w="1872"/>
          </w:tcPr>
          <w:p>
            <w:pPr>
              <w:spacing w:line="240" w:lineRule="auto" w:after="40" w:before="40"/>
            </w:pPr>
            <w:r>
              <w:rPr>
                <w:rFonts w:ascii="Times New Roman" w:hAnsi="Times New Roman"/>
                <w:sz w:val="18"/>
              </w:rPr>
              <w:t>6</w:t>
            </w:r>
          </w:p>
        </w:tc>
        <w:tc>
          <w:tcPr>
            <w:tcW w:type="dxa" w:w="1872"/>
          </w:tcPr>
          <w:p>
            <w:pPr>
              <w:spacing w:line="240" w:lineRule="auto" w:after="40" w:before="40"/>
            </w:pPr>
            <w:r>
              <w:rPr>
                <w:rFonts w:ascii="Times New Roman" w:hAnsi="Times New Roman"/>
                <w:sz w:val="18"/>
              </w:rPr>
              <w:t>§2.2</w:t>
            </w:r>
          </w:p>
        </w:tc>
        <w:tc>
          <w:tcPr>
            <w:tcW w:type="dxa" w:w="1872"/>
          </w:tcPr>
          <w:p>
            <w:pPr>
              <w:spacing w:line="240" w:lineRule="auto" w:after="40" w:before="40"/>
            </w:pPr>
            <w:r>
              <w:rPr>
                <w:rFonts w:ascii="Times New Roman" w:hAnsi="Times New Roman"/>
                <w:sz w:val="18"/>
              </w:rPr>
              <w:t>Retitled "Accounting for circular and carbon flows in production networks"; carbon-accounting literature added</w:t>
            </w:r>
          </w:p>
        </w:tc>
        <w:tc>
          <w:tcPr>
            <w:tcW w:type="dxa" w:w="1872"/>
          </w:tcPr>
          <w:p>
            <w:pPr>
              <w:spacing w:line="240" w:lineRule="auto" w:after="40" w:before="40"/>
            </w:pPr>
            <w:r>
              <w:rPr>
                <w:rFonts w:ascii="Times New Roman" w:hAnsi="Times New Roman"/>
                <w:sz w:val="18"/>
              </w:rPr>
              <w:t>Bridges accounting to net zero</w:t>
            </w:r>
          </w:p>
        </w:tc>
        <w:tc>
          <w:tcPr>
            <w:tcW w:type="dxa" w:w="1872"/>
          </w:tcPr>
          <w:p>
            <w:pPr>
              <w:spacing w:line="240" w:lineRule="auto" w:after="40" w:before="40"/>
            </w:pPr>
            <w:r>
              <w:rPr>
                <w:rFonts w:ascii="Times New Roman" w:hAnsi="Times New Roman"/>
                <w:sz w:val="18"/>
              </w:rPr>
              <w:t>Every original citation retained</w:t>
            </w:r>
          </w:p>
        </w:tc>
      </w:tr>
      <w:tr>
        <w:tc>
          <w:tcPr>
            <w:tcW w:type="dxa" w:w="1872"/>
          </w:tcPr>
          <w:p>
            <w:pPr>
              <w:spacing w:line="240" w:lineRule="auto" w:after="40" w:before="40"/>
            </w:pPr>
            <w:r>
              <w:rPr>
                <w:rFonts w:ascii="Times New Roman" w:hAnsi="Times New Roman"/>
                <w:sz w:val="18"/>
              </w:rPr>
              <w:t>7</w:t>
            </w:r>
          </w:p>
        </w:tc>
        <w:tc>
          <w:tcPr>
            <w:tcW w:type="dxa" w:w="1872"/>
          </w:tcPr>
          <w:p>
            <w:pPr>
              <w:spacing w:line="240" w:lineRule="auto" w:after="40" w:before="40"/>
            </w:pPr>
            <w:r>
              <w:rPr>
                <w:rFonts w:ascii="Times New Roman" w:hAnsi="Times New Roman"/>
                <w:sz w:val="18"/>
              </w:rPr>
              <w:t>§2.3</w:t>
            </w:r>
          </w:p>
        </w:tc>
        <w:tc>
          <w:tcPr>
            <w:tcW w:type="dxa" w:w="1872"/>
          </w:tcPr>
          <w:p>
            <w:pPr>
              <w:spacing w:line="240" w:lineRule="auto" w:after="40" w:before="40"/>
            </w:pPr>
            <w:r>
              <w:rPr>
                <w:rFonts w:ascii="Times New Roman" w:hAnsi="Times New Roman"/>
                <w:b/>
                <w:sz w:val="18"/>
              </w:rPr>
              <w:t>Entirely new</w:t>
            </w:r>
            <w:r>
              <w:rPr>
                <w:rFonts w:ascii="Times New Roman" w:hAnsi="Times New Roman"/>
                <w:sz w:val="18"/>
              </w:rPr>
              <w:t>: smart production, digital traceability, the data-to-decision gap</w:t>
            </w:r>
          </w:p>
        </w:tc>
        <w:tc>
          <w:tcPr>
            <w:tcW w:type="dxa" w:w="1872"/>
          </w:tcPr>
          <w:p>
            <w:pPr>
              <w:spacing w:line="240" w:lineRule="auto" w:after="40" w:before="40"/>
            </w:pPr>
            <w:r>
              <w:rPr>
                <w:rFonts w:ascii="Times New Roman" w:hAnsi="Times New Roman"/>
                <w:sz w:val="18"/>
              </w:rPr>
              <w:t>The call's second pillar was absent</w:t>
            </w:r>
          </w:p>
        </w:tc>
        <w:tc>
          <w:tcPr>
            <w:tcW w:type="dxa" w:w="1872"/>
          </w:tcPr>
          <w:p>
            <w:pPr>
              <w:spacing w:line="240" w:lineRule="auto" w:after="40" w:before="40"/>
            </w:pPr>
            <w:r>
              <w:rPr>
                <w:rFonts w:ascii="Times New Roman" w:hAnsi="Times New Roman"/>
                <w:sz w:val="18"/>
              </w:rPr>
              <w:t>n/a (addition)</w:t>
            </w:r>
          </w:p>
        </w:tc>
      </w:tr>
      <w:tr>
        <w:tc>
          <w:tcPr>
            <w:tcW w:type="dxa" w:w="1872"/>
          </w:tcPr>
          <w:p>
            <w:pPr>
              <w:spacing w:line="240" w:lineRule="auto" w:after="40" w:before="40"/>
            </w:pPr>
            <w:r>
              <w:rPr>
                <w:rFonts w:ascii="Times New Roman" w:hAnsi="Times New Roman"/>
                <w:sz w:val="18"/>
              </w:rPr>
              <w:t>8</w:t>
            </w:r>
          </w:p>
        </w:tc>
        <w:tc>
          <w:tcPr>
            <w:tcW w:type="dxa" w:w="1872"/>
          </w:tcPr>
          <w:p>
            <w:pPr>
              <w:spacing w:line="240" w:lineRule="auto" w:after="40" w:before="40"/>
            </w:pPr>
            <w:r>
              <w:rPr>
                <w:rFonts w:ascii="Times New Roman" w:hAnsi="Times New Roman"/>
                <w:sz w:val="18"/>
              </w:rPr>
              <w:t>§2.4</w:t>
            </w:r>
          </w:p>
        </w:tc>
        <w:tc>
          <w:tcPr>
            <w:tcW w:type="dxa" w:w="1872"/>
          </w:tcPr>
          <w:p>
            <w:pPr>
              <w:spacing w:line="240" w:lineRule="auto" w:after="40" w:before="40"/>
            </w:pPr>
            <w:r>
              <w:rPr>
                <w:rFonts w:ascii="Times New Roman" w:hAnsi="Times New Roman"/>
                <w:sz w:val="18"/>
              </w:rPr>
              <w:t>Transparency section expanded with 9 recent references incl. carbon transparency</w:t>
            </w:r>
          </w:p>
        </w:tc>
        <w:tc>
          <w:tcPr>
            <w:tcW w:type="dxa" w:w="1872"/>
          </w:tcPr>
          <w:p>
            <w:pPr>
              <w:spacing w:line="240" w:lineRule="auto" w:after="40" w:before="40"/>
            </w:pPr>
            <w:r>
              <w:rPr>
                <w:rFonts w:ascii="Times New Roman" w:hAnsi="Times New Roman"/>
                <w:sz w:val="18"/>
              </w:rPr>
              <w:t>Positions the paper in current operations debates</w:t>
            </w:r>
          </w:p>
        </w:tc>
        <w:tc>
          <w:tcPr>
            <w:tcW w:type="dxa" w:w="1872"/>
          </w:tcPr>
          <w:p>
            <w:pPr>
              <w:spacing w:line="240" w:lineRule="auto" w:after="40" w:before="40"/>
            </w:pPr>
            <w:r>
              <w:rPr>
                <w:rFonts w:ascii="Times New Roman" w:hAnsi="Times New Roman"/>
                <w:sz w:val="18"/>
              </w:rPr>
              <w:t>Barratt, Williams, Li, Sodhi, Gualandris, Kersten, Makarenko retained</w:t>
            </w:r>
          </w:p>
        </w:tc>
      </w:tr>
      <w:tr>
        <w:tc>
          <w:tcPr>
            <w:tcW w:type="dxa" w:w="1872"/>
          </w:tcPr>
          <w:p>
            <w:pPr>
              <w:spacing w:line="240" w:lineRule="auto" w:after="40" w:before="40"/>
            </w:pPr>
            <w:r>
              <w:rPr>
                <w:rFonts w:ascii="Times New Roman" w:hAnsi="Times New Roman"/>
                <w:sz w:val="18"/>
              </w:rPr>
              <w:t>9</w:t>
            </w:r>
          </w:p>
        </w:tc>
        <w:tc>
          <w:tcPr>
            <w:tcW w:type="dxa" w:w="1872"/>
          </w:tcPr>
          <w:p>
            <w:pPr>
              <w:spacing w:line="240" w:lineRule="auto" w:after="40" w:before="40"/>
            </w:pPr>
            <w:r>
              <w:rPr>
                <w:rFonts w:ascii="Times New Roman" w:hAnsi="Times New Roman"/>
                <w:sz w:val="18"/>
              </w:rPr>
              <w:t>§2.5</w:t>
            </w:r>
          </w:p>
        </w:tc>
        <w:tc>
          <w:tcPr>
            <w:tcW w:type="dxa" w:w="1872"/>
          </w:tcPr>
          <w:p>
            <w:pPr>
              <w:spacing w:line="240" w:lineRule="auto" w:after="40" w:before="40"/>
            </w:pPr>
            <w:r>
              <w:rPr>
                <w:rFonts w:ascii="Times New Roman" w:hAnsi="Times New Roman"/>
                <w:sz w:val="18"/>
              </w:rPr>
              <w:t>Governance section expanded with the multi-tier sustainability governance stream</w:t>
            </w:r>
          </w:p>
        </w:tc>
        <w:tc>
          <w:tcPr>
            <w:tcW w:type="dxa" w:w="1872"/>
          </w:tcPr>
          <w:p>
            <w:pPr>
              <w:spacing w:line="240" w:lineRule="auto" w:after="40" w:before="40"/>
            </w:pPr>
            <w:r>
              <w:rPr>
                <w:rFonts w:ascii="Times New Roman" w:hAnsi="Times New Roman"/>
                <w:sz w:val="18"/>
              </w:rPr>
              <w:t>Connects GVC theory to production research</w:t>
            </w:r>
          </w:p>
        </w:tc>
        <w:tc>
          <w:tcPr>
            <w:tcW w:type="dxa" w:w="1872"/>
          </w:tcPr>
          <w:p>
            <w:pPr>
              <w:spacing w:line="240" w:lineRule="auto" w:after="40" w:before="40"/>
            </w:pPr>
            <w:r>
              <w:rPr>
                <w:rFonts w:ascii="Times New Roman" w:hAnsi="Times New Roman"/>
                <w:sz w:val="18"/>
              </w:rPr>
              <w:t>Gereffi, Farooque, De Angelis, Batista, Tong, Österberg, Gurung retained</w:t>
            </w:r>
          </w:p>
        </w:tc>
      </w:tr>
      <w:tr>
        <w:tc>
          <w:tcPr>
            <w:tcW w:type="dxa" w:w="1872"/>
          </w:tcPr>
          <w:p>
            <w:pPr>
              <w:spacing w:line="240" w:lineRule="auto" w:after="40" w:before="40"/>
            </w:pPr>
            <w:r>
              <w:rPr>
                <w:rFonts w:ascii="Times New Roman" w:hAnsi="Times New Roman"/>
                <w:sz w:val="18"/>
              </w:rPr>
              <w:t>10</w:t>
            </w:r>
          </w:p>
        </w:tc>
        <w:tc>
          <w:tcPr>
            <w:tcW w:type="dxa" w:w="1872"/>
          </w:tcPr>
          <w:p>
            <w:pPr>
              <w:spacing w:line="240" w:lineRule="auto" w:after="40" w:before="40"/>
            </w:pPr>
            <w:r>
              <w:rPr>
                <w:rFonts w:ascii="Times New Roman" w:hAnsi="Times New Roman"/>
                <w:sz w:val="18"/>
              </w:rPr>
              <w:t>§2.6</w:t>
            </w:r>
          </w:p>
        </w:tc>
        <w:tc>
          <w:tcPr>
            <w:tcW w:type="dxa" w:w="1872"/>
          </w:tcPr>
          <w:p>
            <w:pPr>
              <w:spacing w:line="240" w:lineRule="auto" w:after="40" w:before="40"/>
            </w:pPr>
            <w:r>
              <w:rPr>
                <w:rFonts w:ascii="Times New Roman" w:hAnsi="Times New Roman"/>
                <w:sz w:val="18"/>
              </w:rPr>
              <w:t>Modelling-stream section expanded; two direct moderation precedents added</w:t>
            </w:r>
          </w:p>
        </w:tc>
        <w:tc>
          <w:tcPr>
            <w:tcW w:type="dxa" w:w="1872"/>
          </w:tcPr>
          <w:p>
            <w:pPr>
              <w:spacing w:line="240" w:lineRule="auto" w:after="40" w:before="40"/>
            </w:pPr>
            <w:r>
              <w:rPr>
                <w:rFonts w:ascii="Times New Roman" w:hAnsi="Times New Roman"/>
                <w:sz w:val="18"/>
              </w:rPr>
              <w:t>Pre-empts "why a moderation?"</w:t>
            </w:r>
          </w:p>
        </w:tc>
        <w:tc>
          <w:tcPr>
            <w:tcW w:type="dxa" w:w="1872"/>
          </w:tcPr>
          <w:p>
            <w:pPr>
              <w:spacing w:line="240" w:lineRule="auto" w:after="40" w:before="40"/>
            </w:pPr>
            <w:r>
              <w:rPr>
                <w:rFonts w:ascii="Times New Roman" w:hAnsi="Times New Roman"/>
                <w:sz w:val="18"/>
              </w:rPr>
              <w:t>Flynn, Cao, Zhu, Bag, Osei, Forliano, Kristoffersen retained</w:t>
            </w:r>
          </w:p>
        </w:tc>
      </w:tr>
      <w:tr>
        <w:tc>
          <w:tcPr>
            <w:tcW w:type="dxa" w:w="1872"/>
          </w:tcPr>
          <w:p>
            <w:pPr>
              <w:spacing w:line="240" w:lineRule="auto" w:after="40" w:before="40"/>
            </w:pPr>
            <w:r>
              <w:rPr>
                <w:rFonts w:ascii="Times New Roman" w:hAnsi="Times New Roman"/>
                <w:sz w:val="18"/>
              </w:rPr>
              <w:t>11</w:t>
            </w:r>
          </w:p>
        </w:tc>
        <w:tc>
          <w:tcPr>
            <w:tcW w:type="dxa" w:w="1872"/>
          </w:tcPr>
          <w:p>
            <w:pPr>
              <w:spacing w:line="240" w:lineRule="auto" w:after="40" w:before="40"/>
            </w:pPr>
            <w:r>
              <w:rPr>
                <w:rFonts w:ascii="Times New Roman" w:hAnsi="Times New Roman"/>
                <w:sz w:val="18"/>
              </w:rPr>
              <w:t>Table 1</w:t>
            </w:r>
          </w:p>
        </w:tc>
        <w:tc>
          <w:tcPr>
            <w:tcW w:type="dxa" w:w="1872"/>
          </w:tcPr>
          <w:p>
            <w:pPr>
              <w:spacing w:line="240" w:lineRule="auto" w:after="40" w:before="40"/>
            </w:pPr>
            <w:r>
              <w:rPr>
                <w:rFonts w:ascii="Times New Roman" w:hAnsi="Times New Roman"/>
                <w:sz w:val="18"/>
              </w:rPr>
              <w:t>Four rows added (carbon accounting; multi-tier governance measurement; circular data maturity; digitalisation-as-moderator)</w:t>
            </w:r>
          </w:p>
        </w:tc>
        <w:tc>
          <w:tcPr>
            <w:tcW w:type="dxa" w:w="1872"/>
          </w:tcPr>
          <w:p>
            <w:pPr>
              <w:spacing w:line="240" w:lineRule="auto" w:after="40" w:before="40"/>
            </w:pPr>
            <w:r>
              <w:rPr>
                <w:rFonts w:ascii="Times New Roman" w:hAnsi="Times New Roman"/>
                <w:sz w:val="18"/>
              </w:rPr>
              <w:t>Sharpens the gap against the new literature</w:t>
            </w:r>
          </w:p>
        </w:tc>
        <w:tc>
          <w:tcPr>
            <w:tcW w:type="dxa" w:w="1872"/>
          </w:tcPr>
          <w:p>
            <w:pPr>
              <w:spacing w:line="240" w:lineRule="auto" w:after="40" w:before="40"/>
            </w:pPr>
            <w:r>
              <w:rPr>
                <w:rFonts w:ascii="Times New Roman" w:hAnsi="Times New Roman"/>
                <w:sz w:val="18"/>
              </w:rPr>
              <w:t>All original rows retained unchanged</w:t>
            </w:r>
          </w:p>
        </w:tc>
      </w:tr>
      <w:tr>
        <w:tc>
          <w:tcPr>
            <w:tcW w:type="dxa" w:w="1872"/>
          </w:tcPr>
          <w:p>
            <w:pPr>
              <w:spacing w:line="240" w:lineRule="auto" w:after="40" w:before="40"/>
            </w:pPr>
            <w:r>
              <w:rPr>
                <w:rFonts w:ascii="Times New Roman" w:hAnsi="Times New Roman"/>
                <w:sz w:val="18"/>
              </w:rPr>
              <w:t>12</w:t>
            </w:r>
          </w:p>
        </w:tc>
        <w:tc>
          <w:tcPr>
            <w:tcW w:type="dxa" w:w="1872"/>
          </w:tcPr>
          <w:p>
            <w:pPr>
              <w:spacing w:line="240" w:lineRule="auto" w:after="40" w:before="40"/>
            </w:pPr>
            <w:r>
              <w:rPr>
                <w:rFonts w:ascii="Times New Roman" w:hAnsi="Times New Roman"/>
                <w:sz w:val="18"/>
              </w:rPr>
              <w:t>§3.1</w:t>
            </w:r>
          </w:p>
        </w:tc>
        <w:tc>
          <w:tcPr>
            <w:tcW w:type="dxa" w:w="1872"/>
          </w:tcPr>
          <w:p>
            <w:pPr>
              <w:spacing w:line="240" w:lineRule="auto" w:after="40" w:before="40"/>
            </w:pPr>
            <w:r>
              <w:rPr>
                <w:rFonts w:ascii="Times New Roman" w:hAnsi="Times New Roman"/>
                <w:sz w:val="18"/>
              </w:rPr>
              <w:t>NRBV and TOE now explicitly declined with reasons; DCV choice justified as continuous with the field</w:t>
            </w:r>
          </w:p>
        </w:tc>
        <w:tc>
          <w:tcPr>
            <w:tcW w:type="dxa" w:w="1872"/>
          </w:tcPr>
          <w:p>
            <w:pPr>
              <w:spacing w:line="240" w:lineRule="auto" w:after="40" w:before="40"/>
            </w:pPr>
            <w:r>
              <w:rPr>
                <w:rFonts w:ascii="Times New Roman" w:hAnsi="Times New Roman"/>
                <w:sz w:val="18"/>
              </w:rPr>
              <w:t>Step 7 of the brief; pre-empts "why not NRBV?"</w:t>
            </w:r>
          </w:p>
        </w:tc>
        <w:tc>
          <w:tcPr>
            <w:tcW w:type="dxa" w:w="1872"/>
          </w:tcPr>
          <w:p>
            <w:pPr>
              <w:spacing w:line="240" w:lineRule="auto" w:after="40" w:before="40"/>
            </w:pPr>
            <w:r>
              <w:rPr>
                <w:rFonts w:ascii="Times New Roman" w:hAnsi="Times New Roman"/>
                <w:sz w:val="18"/>
              </w:rPr>
              <w:t>All five original declinations retained verbatim in substance</w:t>
            </w:r>
          </w:p>
        </w:tc>
      </w:tr>
      <w:tr>
        <w:tc>
          <w:tcPr>
            <w:tcW w:type="dxa" w:w="1872"/>
          </w:tcPr>
          <w:p>
            <w:pPr>
              <w:spacing w:line="240" w:lineRule="auto" w:after="40" w:before="40"/>
            </w:pPr>
            <w:r>
              <w:rPr>
                <w:rFonts w:ascii="Times New Roman" w:hAnsi="Times New Roman"/>
                <w:sz w:val="18"/>
              </w:rPr>
              <w:t>13</w:t>
            </w:r>
          </w:p>
        </w:tc>
        <w:tc>
          <w:tcPr>
            <w:tcW w:type="dxa" w:w="1872"/>
          </w:tcPr>
          <w:p>
            <w:pPr>
              <w:spacing w:line="240" w:lineRule="auto" w:after="40" w:before="40"/>
            </w:pPr>
            <w:r>
              <w:rPr>
                <w:rFonts w:ascii="Times New Roman" w:hAnsi="Times New Roman"/>
                <w:sz w:val="18"/>
              </w:rPr>
              <w:t>§3.2</w:t>
            </w:r>
          </w:p>
        </w:tc>
        <w:tc>
          <w:tcPr>
            <w:tcW w:type="dxa" w:w="1872"/>
          </w:tcPr>
          <w:p>
            <w:pPr>
              <w:spacing w:line="240" w:lineRule="auto" w:after="40" w:before="40"/>
            </w:pPr>
            <w:r>
              <w:rPr>
                <w:rFonts w:ascii="Times New Roman" w:hAnsi="Times New Roman"/>
                <w:sz w:val="18"/>
              </w:rPr>
              <w:t>Sensing paragraph extended to distinguish sensor signal from costed loss</w:t>
            </w:r>
          </w:p>
        </w:tc>
        <w:tc>
          <w:tcPr>
            <w:tcW w:type="dxa" w:w="1872"/>
          </w:tcPr>
          <w:p>
            <w:pPr>
              <w:spacing w:line="240" w:lineRule="auto" w:after="40" w:before="40"/>
            </w:pPr>
            <w:r>
              <w:rPr>
                <w:rFonts w:ascii="Times New Roman" w:hAnsi="Times New Roman"/>
                <w:sz w:val="18"/>
              </w:rPr>
              <w:t>Smart-production framing</w:t>
            </w:r>
          </w:p>
        </w:tc>
        <w:tc>
          <w:tcPr>
            <w:tcW w:type="dxa" w:w="1872"/>
          </w:tcPr>
          <w:p>
            <w:pPr>
              <w:spacing w:line="240" w:lineRule="auto" w:after="40" w:before="40"/>
            </w:pPr>
            <w:r>
              <w:rPr>
                <w:rFonts w:ascii="Times New Roman" w:hAnsi="Times New Roman"/>
                <w:sz w:val="18"/>
              </w:rPr>
              <w:t>Teece mapping unchanged</w:t>
            </w:r>
          </w:p>
        </w:tc>
      </w:tr>
      <w:tr>
        <w:tc>
          <w:tcPr>
            <w:tcW w:type="dxa" w:w="1872"/>
          </w:tcPr>
          <w:p>
            <w:pPr>
              <w:spacing w:line="240" w:lineRule="auto" w:after="40" w:before="40"/>
            </w:pPr>
            <w:r>
              <w:rPr>
                <w:rFonts w:ascii="Times New Roman" w:hAnsi="Times New Roman"/>
                <w:sz w:val="18"/>
              </w:rPr>
              <w:t>14</w:t>
            </w:r>
          </w:p>
        </w:tc>
        <w:tc>
          <w:tcPr>
            <w:tcW w:type="dxa" w:w="1872"/>
          </w:tcPr>
          <w:p>
            <w:pPr>
              <w:spacing w:line="240" w:lineRule="auto" w:after="40" w:before="40"/>
            </w:pPr>
            <w:r>
              <w:rPr>
                <w:rFonts w:ascii="Times New Roman" w:hAnsi="Times New Roman"/>
                <w:sz w:val="18"/>
              </w:rPr>
              <w:t>§3.4</w:t>
            </w:r>
          </w:p>
        </w:tc>
        <w:tc>
          <w:tcPr>
            <w:tcW w:type="dxa" w:w="1872"/>
          </w:tcPr>
          <w:p>
            <w:pPr>
              <w:spacing w:line="240" w:lineRule="auto" w:after="40" w:before="40"/>
            </w:pPr>
            <w:r>
              <w:rPr>
                <w:rFonts w:ascii="Times New Roman" w:hAnsi="Times New Roman"/>
                <w:b/>
                <w:sz w:val="18"/>
              </w:rPr>
              <w:t>Entirely new</w:t>
            </w:r>
            <w:r>
              <w:rPr>
                <w:rFonts w:ascii="Times New Roman" w:hAnsi="Times New Roman"/>
                <w:sz w:val="18"/>
              </w:rPr>
              <w:t>: socio-technical reading; digital traceability retained as control with justification</w:t>
            </w:r>
          </w:p>
        </w:tc>
        <w:tc>
          <w:tcPr>
            <w:tcW w:type="dxa" w:w="1872"/>
          </w:tcPr>
          <w:p>
            <w:pPr>
              <w:spacing w:line="240" w:lineRule="auto" w:after="40" w:before="40"/>
            </w:pPr>
            <w:r>
              <w:rPr>
                <w:rFonts w:ascii="Times New Roman" w:hAnsi="Times New Roman"/>
                <w:sz w:val="18"/>
              </w:rPr>
              <w:t>Gives the smart-production argument a testable form</w:t>
            </w:r>
          </w:p>
        </w:tc>
        <w:tc>
          <w:tcPr>
            <w:tcW w:type="dxa" w:w="1872"/>
          </w:tcPr>
          <w:p>
            <w:pPr>
              <w:spacing w:line="240" w:lineRule="auto" w:after="40" w:before="40"/>
            </w:pPr>
            <w:r>
              <w:rPr>
                <w:rFonts w:ascii="Times New Roman" w:hAnsi="Times New Roman"/>
                <w:sz w:val="18"/>
              </w:rPr>
              <w:t>n/a (addition)</w:t>
            </w:r>
          </w:p>
        </w:tc>
      </w:tr>
      <w:tr>
        <w:tc>
          <w:tcPr>
            <w:tcW w:type="dxa" w:w="1872"/>
          </w:tcPr>
          <w:p>
            <w:pPr>
              <w:spacing w:line="240" w:lineRule="auto" w:after="40" w:before="40"/>
            </w:pPr>
            <w:r>
              <w:rPr>
                <w:rFonts w:ascii="Times New Roman" w:hAnsi="Times New Roman"/>
                <w:sz w:val="18"/>
              </w:rPr>
              <w:t>15</w:t>
            </w:r>
          </w:p>
        </w:tc>
        <w:tc>
          <w:tcPr>
            <w:tcW w:type="dxa" w:w="1872"/>
          </w:tcPr>
          <w:p>
            <w:pPr>
              <w:spacing w:line="240" w:lineRule="auto" w:after="40" w:before="40"/>
            </w:pPr>
            <w:r>
              <w:rPr>
                <w:rFonts w:ascii="Times New Roman" w:hAnsi="Times New Roman"/>
                <w:sz w:val="18"/>
              </w:rPr>
              <w:t>§4</w:t>
            </w:r>
          </w:p>
        </w:tc>
        <w:tc>
          <w:tcPr>
            <w:tcW w:type="dxa" w:w="1872"/>
          </w:tcPr>
          <w:p>
            <w:pPr>
              <w:spacing w:line="240" w:lineRule="auto" w:after="40" w:before="40"/>
            </w:pPr>
            <w:r>
              <w:rPr>
                <w:rFonts w:ascii="Times New Roman" w:hAnsi="Times New Roman"/>
                <w:sz w:val="18"/>
              </w:rPr>
              <w:t>All nine hypotheses retained with identical direction, sign, and position. Wording sharpened; production/net-zero implication added to H1, H2, H3, H5; H6b citation base expanded</w:t>
            </w:r>
          </w:p>
        </w:tc>
        <w:tc>
          <w:tcPr>
            <w:tcW w:type="dxa" w:w="1872"/>
          </w:tcPr>
          <w:p>
            <w:pPr>
              <w:spacing w:line="240" w:lineRule="auto" w:after="40" w:before="40"/>
            </w:pPr>
            <w:r>
              <w:rPr>
                <w:rFonts w:ascii="Times New Roman" w:hAnsi="Times New Roman"/>
                <w:sz w:val="18"/>
              </w:rPr>
              <w:t>Step 8</w:t>
            </w:r>
          </w:p>
        </w:tc>
        <w:tc>
          <w:tcPr>
            <w:tcW w:type="dxa" w:w="1872"/>
          </w:tcPr>
          <w:p>
            <w:pPr>
              <w:spacing w:line="240" w:lineRule="auto" w:after="40" w:before="40"/>
            </w:pPr>
            <w:r>
              <w:rPr>
                <w:rFonts w:ascii="Times New Roman" w:hAnsi="Times New Roman"/>
                <w:b/>
                <w:sz w:val="18"/>
              </w:rPr>
              <w:t>Model unchanged</w:t>
            </w:r>
          </w:p>
        </w:tc>
      </w:tr>
      <w:tr>
        <w:tc>
          <w:tcPr>
            <w:tcW w:type="dxa" w:w="1872"/>
          </w:tcPr>
          <w:p>
            <w:pPr>
              <w:spacing w:line="240" w:lineRule="auto" w:after="40" w:before="40"/>
            </w:pPr>
            <w:r>
              <w:rPr>
                <w:rFonts w:ascii="Times New Roman" w:hAnsi="Times New Roman"/>
                <w:sz w:val="18"/>
              </w:rPr>
              <w:t>16</w:t>
            </w:r>
          </w:p>
        </w:tc>
        <w:tc>
          <w:tcPr>
            <w:tcW w:type="dxa" w:w="1872"/>
          </w:tcPr>
          <w:p>
            <w:pPr>
              <w:spacing w:line="240" w:lineRule="auto" w:after="40" w:before="40"/>
            </w:pPr>
            <w:r>
              <w:rPr>
                <w:rFonts w:ascii="Times New Roman" w:hAnsi="Times New Roman"/>
                <w:sz w:val="18"/>
              </w:rPr>
              <w:t>§4.3–4.4</w:t>
            </w:r>
          </w:p>
        </w:tc>
        <w:tc>
          <w:tcPr>
            <w:tcW w:type="dxa" w:w="1872"/>
          </w:tcPr>
          <w:p>
            <w:pPr>
              <w:spacing w:line="240" w:lineRule="auto" w:after="40" w:before="40"/>
            </w:pPr>
            <w:r>
              <w:rPr>
                <w:rFonts w:ascii="Times New Roman" w:hAnsi="Times New Roman"/>
                <w:sz w:val="18"/>
              </w:rPr>
              <w:t>Prose tightened; Table 3 and the three failure conditions unchanged</w:t>
            </w:r>
          </w:p>
        </w:tc>
        <w:tc>
          <w:tcPr>
            <w:tcW w:type="dxa" w:w="1872"/>
          </w:tcPr>
          <w:p>
            <w:pPr>
              <w:spacing w:line="240" w:lineRule="auto" w:after="40" w:before="40"/>
            </w:pPr>
            <w:r>
              <w:rPr>
                <w:rFonts w:ascii="Times New Roman" w:hAnsi="Times New Roman"/>
                <w:sz w:val="18"/>
              </w:rPr>
              <w:t>Publication quality</w:t>
            </w:r>
          </w:p>
        </w:tc>
        <w:tc>
          <w:tcPr>
            <w:tcW w:type="dxa" w:w="1872"/>
          </w:tcPr>
          <w:p>
            <w:pPr>
              <w:spacing w:line="240" w:lineRule="auto" w:after="40" w:before="40"/>
            </w:pPr>
            <w:r>
              <w:rPr>
                <w:rFonts w:ascii="Times New Roman" w:hAnsi="Times New Roman"/>
                <w:sz w:val="18"/>
              </w:rPr>
              <w:t>Fully preserved</w:t>
            </w:r>
          </w:p>
        </w:tc>
      </w:tr>
      <w:tr>
        <w:tc>
          <w:tcPr>
            <w:tcW w:type="dxa" w:w="1872"/>
          </w:tcPr>
          <w:p>
            <w:pPr>
              <w:spacing w:line="240" w:lineRule="auto" w:after="40" w:before="40"/>
            </w:pPr>
            <w:r>
              <w:rPr>
                <w:rFonts w:ascii="Times New Roman" w:hAnsi="Times New Roman"/>
                <w:sz w:val="18"/>
              </w:rPr>
              <w:t>17</w:t>
            </w:r>
          </w:p>
        </w:tc>
        <w:tc>
          <w:tcPr>
            <w:tcW w:type="dxa" w:w="1872"/>
          </w:tcPr>
          <w:p>
            <w:pPr>
              <w:spacing w:line="240" w:lineRule="auto" w:after="40" w:before="40"/>
            </w:pPr>
            <w:r>
              <w:rPr>
                <w:rFonts w:ascii="Times New Roman" w:hAnsi="Times New Roman"/>
                <w:sz w:val="18"/>
              </w:rPr>
              <w:t>§5.1</w:t>
            </w:r>
          </w:p>
        </w:tc>
        <w:tc>
          <w:tcPr>
            <w:tcW w:type="dxa" w:w="1872"/>
          </w:tcPr>
          <w:p>
            <w:pPr>
              <w:spacing w:line="240" w:lineRule="auto" w:after="40" w:before="40"/>
            </w:pPr>
            <w:r>
              <w:rPr>
                <w:rFonts w:ascii="Times New Roman" w:hAnsi="Times New Roman"/>
                <w:sz w:val="18"/>
              </w:rPr>
              <w:t>Digital traceability capability added as a fifth discriminant comparison</w:t>
            </w:r>
          </w:p>
        </w:tc>
        <w:tc>
          <w:tcPr>
            <w:tcW w:type="dxa" w:w="1872"/>
          </w:tcPr>
          <w:p>
            <w:pPr>
              <w:spacing w:line="240" w:lineRule="auto" w:after="40" w:before="40"/>
            </w:pPr>
            <w:r>
              <w:rPr>
                <w:rFonts w:ascii="Times New Roman" w:hAnsi="Times New Roman"/>
                <w:sz w:val="18"/>
              </w:rPr>
              <w:t>Pre-empts "is this just traceability?"</w:t>
            </w:r>
          </w:p>
        </w:tc>
        <w:tc>
          <w:tcPr>
            <w:tcW w:type="dxa" w:w="1872"/>
          </w:tcPr>
          <w:p>
            <w:pPr>
              <w:spacing w:line="240" w:lineRule="auto" w:after="40" w:before="40"/>
            </w:pPr>
            <w:r>
              <w:rPr>
                <w:rFonts w:ascii="Times New Roman" w:hAnsi="Times New Roman"/>
                <w:sz w:val="18"/>
              </w:rPr>
              <w:t>Four original comparisons retained</w:t>
            </w:r>
          </w:p>
        </w:tc>
      </w:tr>
      <w:tr>
        <w:tc>
          <w:tcPr>
            <w:tcW w:type="dxa" w:w="1872"/>
          </w:tcPr>
          <w:p>
            <w:pPr>
              <w:spacing w:line="240" w:lineRule="auto" w:after="40" w:before="40"/>
            </w:pPr>
            <w:r>
              <w:rPr>
                <w:rFonts w:ascii="Times New Roman" w:hAnsi="Times New Roman"/>
                <w:sz w:val="18"/>
              </w:rPr>
              <w:t>18</w:t>
            </w:r>
          </w:p>
        </w:tc>
        <w:tc>
          <w:tcPr>
            <w:tcW w:type="dxa" w:w="1872"/>
          </w:tcPr>
          <w:p>
            <w:pPr>
              <w:spacing w:line="240" w:lineRule="auto" w:after="40" w:before="40"/>
            </w:pPr>
            <w:r>
              <w:rPr>
                <w:rFonts w:ascii="Times New Roman" w:hAnsi="Times New Roman"/>
                <w:sz w:val="18"/>
              </w:rPr>
              <w:t>§5.2</w:t>
            </w:r>
          </w:p>
        </w:tc>
        <w:tc>
          <w:tcPr>
            <w:tcW w:type="dxa" w:w="1872"/>
          </w:tcPr>
          <w:p>
            <w:pPr>
              <w:spacing w:line="240" w:lineRule="auto" w:after="40" w:before="40"/>
            </w:pPr>
            <w:r>
              <w:rPr>
                <w:rFonts w:ascii="Times New Roman" w:hAnsi="Times New Roman"/>
                <w:sz w:val="18"/>
              </w:rPr>
              <w:t>Setting reframed as agro-industrial manufacturing network; three manufacturing precedents cited; stratum relabelled</w:t>
            </w:r>
          </w:p>
        </w:tc>
        <w:tc>
          <w:tcPr>
            <w:tcW w:type="dxa" w:w="1872"/>
          </w:tcPr>
          <w:p>
            <w:pPr>
              <w:spacing w:line="240" w:lineRule="auto" w:after="40" w:before="40"/>
            </w:pPr>
            <w:r>
              <w:rPr>
                <w:rFonts w:ascii="Times New Roman" w:hAnsi="Times New Roman"/>
                <w:sz w:val="18"/>
              </w:rPr>
              <w:t>Manufacturing relevance</w:t>
            </w:r>
          </w:p>
        </w:tc>
        <w:tc>
          <w:tcPr>
            <w:tcW w:type="dxa" w:w="1872"/>
          </w:tcPr>
          <w:p>
            <w:pPr>
              <w:spacing w:line="240" w:lineRule="auto" w:after="40" w:before="40"/>
            </w:pPr>
            <w:r>
              <w:rPr>
                <w:rFonts w:ascii="Times New Roman" w:hAnsi="Times New Roman"/>
                <w:sz w:val="18"/>
              </w:rPr>
              <w:t>Every scope condition, statistic, source and caveat retained</w:t>
            </w:r>
          </w:p>
        </w:tc>
      </w:tr>
      <w:tr>
        <w:tc>
          <w:tcPr>
            <w:tcW w:type="dxa" w:w="1872"/>
          </w:tcPr>
          <w:p>
            <w:pPr>
              <w:spacing w:line="240" w:lineRule="auto" w:after="40" w:before="40"/>
            </w:pPr>
            <w:r>
              <w:rPr>
                <w:rFonts w:ascii="Times New Roman" w:hAnsi="Times New Roman"/>
                <w:sz w:val="18"/>
              </w:rPr>
              <w:t>19</w:t>
            </w:r>
          </w:p>
        </w:tc>
        <w:tc>
          <w:tcPr>
            <w:tcW w:type="dxa" w:w="1872"/>
          </w:tcPr>
          <w:p>
            <w:pPr>
              <w:spacing w:line="240" w:lineRule="auto" w:after="40" w:before="40"/>
            </w:pPr>
            <w:r>
              <w:rPr>
                <w:rFonts w:ascii="Times New Roman" w:hAnsi="Times New Roman"/>
                <w:sz w:val="18"/>
              </w:rPr>
              <w:t>§5.3–5.4</w:t>
            </w:r>
          </w:p>
        </w:tc>
        <w:tc>
          <w:tcPr>
            <w:tcW w:type="dxa" w:w="1872"/>
          </w:tcPr>
          <w:p>
            <w:pPr>
              <w:spacing w:line="240" w:lineRule="auto" w:after="40" w:before="40"/>
            </w:pPr>
            <w:r>
              <w:rPr>
                <w:rFonts w:ascii="Times New Roman" w:hAnsi="Times New Roman"/>
                <w:sz w:val="18"/>
              </w:rPr>
              <w:t>Presentation improved; selection-bias argument sharpened</w:t>
            </w:r>
          </w:p>
        </w:tc>
        <w:tc>
          <w:tcPr>
            <w:tcW w:type="dxa" w:w="1872"/>
          </w:tcPr>
          <w:p>
            <w:pPr>
              <w:spacing w:line="240" w:lineRule="auto" w:after="40" w:before="40"/>
            </w:pPr>
            <w:r>
              <w:rPr>
                <w:rFonts w:ascii="Times New Roman" w:hAnsi="Times New Roman"/>
                <w:sz w:val="18"/>
              </w:rPr>
              <w:t>IJPR methodological expectations</w:t>
            </w:r>
          </w:p>
        </w:tc>
        <w:tc>
          <w:tcPr>
            <w:tcW w:type="dxa" w:w="1872"/>
          </w:tcPr>
          <w:p>
            <w:pPr>
              <w:spacing w:line="240" w:lineRule="auto" w:after="40" w:before="40"/>
            </w:pPr>
            <w:r>
              <w:rPr>
                <w:rFonts w:ascii="Times New Roman" w:hAnsi="Times New Roman"/>
                <w:sz w:val="18"/>
              </w:rPr>
              <w:t>All figures unchanged (520, 434, 511, 480, 490–550, 350, 450)</w:t>
            </w:r>
          </w:p>
        </w:tc>
      </w:tr>
      <w:tr>
        <w:tc>
          <w:tcPr>
            <w:tcW w:type="dxa" w:w="1872"/>
          </w:tcPr>
          <w:p>
            <w:pPr>
              <w:spacing w:line="240" w:lineRule="auto" w:after="40" w:before="40"/>
            </w:pPr>
            <w:r>
              <w:rPr>
                <w:rFonts w:ascii="Times New Roman" w:hAnsi="Times New Roman"/>
                <w:sz w:val="18"/>
              </w:rPr>
              <w:t>20</w:t>
            </w:r>
          </w:p>
        </w:tc>
        <w:tc>
          <w:tcPr>
            <w:tcW w:type="dxa" w:w="1872"/>
          </w:tcPr>
          <w:p>
            <w:pPr>
              <w:spacing w:line="240" w:lineRule="auto" w:after="40" w:before="40"/>
            </w:pPr>
            <w:r>
              <w:rPr>
                <w:rFonts w:ascii="Times New Roman" w:hAnsi="Times New Roman"/>
                <w:sz w:val="18"/>
              </w:rPr>
              <w:t>§5.5</w:t>
            </w:r>
          </w:p>
        </w:tc>
        <w:tc>
          <w:tcPr>
            <w:tcW w:type="dxa" w:w="1872"/>
          </w:tcPr>
          <w:p>
            <w:pPr>
              <w:spacing w:line="240" w:lineRule="auto" w:after="40" w:before="40"/>
            </w:pPr>
            <w:r>
              <w:rPr>
                <w:rFonts w:ascii="Times New Roman" w:hAnsi="Times New Roman"/>
                <w:sz w:val="18"/>
              </w:rPr>
              <w:t>Restructured for readability; instrument moved to Appendix A (resolving the original's duplicate "Table VI"); all three qualifications retained</w:t>
            </w:r>
          </w:p>
        </w:tc>
        <w:tc>
          <w:tcPr>
            <w:tcW w:type="dxa" w:w="1872"/>
          </w:tcPr>
          <w:p>
            <w:pPr>
              <w:spacing w:line="240" w:lineRule="auto" w:after="40" w:before="40"/>
            </w:pPr>
            <w:r>
              <w:rPr>
                <w:rFonts w:ascii="Times New Roman" w:hAnsi="Times New Roman"/>
                <w:sz w:val="18"/>
              </w:rPr>
              <w:t>Publication quality; the original had a numbering collision</w:t>
            </w:r>
          </w:p>
        </w:tc>
        <w:tc>
          <w:tcPr>
            <w:tcW w:type="dxa" w:w="1872"/>
          </w:tcPr>
          <w:p>
            <w:pPr>
              <w:spacing w:line="240" w:lineRule="auto" w:after="40" w:before="40"/>
            </w:pPr>
            <w:r>
              <w:rPr>
                <w:rFonts w:ascii="Times New Roman" w:hAnsi="Times New Roman"/>
                <w:b/>
                <w:sz w:val="18"/>
              </w:rPr>
              <w:t>Every validation statistic unchanged</w:t>
            </w:r>
          </w:p>
        </w:tc>
      </w:tr>
      <w:tr>
        <w:tc>
          <w:tcPr>
            <w:tcW w:type="dxa" w:w="1872"/>
          </w:tcPr>
          <w:p>
            <w:pPr>
              <w:spacing w:line="240" w:lineRule="auto" w:after="40" w:before="40"/>
            </w:pPr>
            <w:r>
              <w:rPr>
                <w:rFonts w:ascii="Times New Roman" w:hAnsi="Times New Roman"/>
                <w:sz w:val="18"/>
              </w:rPr>
              <w:t>21</w:t>
            </w:r>
          </w:p>
        </w:tc>
        <w:tc>
          <w:tcPr>
            <w:tcW w:type="dxa" w:w="1872"/>
          </w:tcPr>
          <w:p>
            <w:pPr>
              <w:spacing w:line="240" w:lineRule="auto" w:after="40" w:before="40"/>
            </w:pPr>
            <w:r>
              <w:rPr>
                <w:rFonts w:ascii="Times New Roman" w:hAnsi="Times New Roman"/>
                <w:sz w:val="18"/>
              </w:rPr>
              <w:t>§6</w:t>
            </w:r>
          </w:p>
        </w:tc>
        <w:tc>
          <w:tcPr>
            <w:tcW w:type="dxa" w:w="1872"/>
          </w:tcPr>
          <w:p>
            <w:pPr>
              <w:spacing w:line="240" w:lineRule="auto" w:after="40" w:before="40"/>
            </w:pPr>
            <w:r>
              <w:rPr>
                <w:rFonts w:ascii="Times New Roman" w:hAnsi="Times New Roman"/>
                <w:sz w:val="18"/>
              </w:rPr>
              <w:t>Digital-traceability control given an explicit falsification role</w:t>
            </w:r>
          </w:p>
        </w:tc>
        <w:tc>
          <w:tcPr>
            <w:tcW w:type="dxa" w:w="1872"/>
          </w:tcPr>
          <w:p>
            <w:pPr>
              <w:spacing w:line="240" w:lineRule="auto" w:after="40" w:before="40"/>
            </w:pPr>
            <w:r>
              <w:rPr>
                <w:rFonts w:ascii="Times New Roman" w:hAnsi="Times New Roman"/>
                <w:sz w:val="18"/>
              </w:rPr>
              <w:t>Strengthens the smart-production test</w:t>
            </w:r>
          </w:p>
        </w:tc>
        <w:tc>
          <w:tcPr>
            <w:tcW w:type="dxa" w:w="1872"/>
          </w:tcPr>
          <w:p>
            <w:pPr>
              <w:spacing w:line="240" w:lineRule="auto" w:after="40" w:before="40"/>
            </w:pPr>
            <w:r>
              <w:rPr>
                <w:rFonts w:ascii="Times New Roman" w:hAnsi="Times New Roman"/>
                <w:sz w:val="18"/>
              </w:rPr>
              <w:t>Protocol, thresholds, Table 8 unchanged</w:t>
            </w:r>
          </w:p>
        </w:tc>
      </w:tr>
      <w:tr>
        <w:tc>
          <w:tcPr>
            <w:tcW w:type="dxa" w:w="1872"/>
          </w:tcPr>
          <w:p>
            <w:pPr>
              <w:spacing w:line="240" w:lineRule="auto" w:after="40" w:before="40"/>
            </w:pPr>
            <w:r>
              <w:rPr>
                <w:rFonts w:ascii="Times New Roman" w:hAnsi="Times New Roman"/>
                <w:sz w:val="18"/>
              </w:rPr>
              <w:t>22</w:t>
            </w:r>
          </w:p>
        </w:tc>
        <w:tc>
          <w:tcPr>
            <w:tcW w:type="dxa" w:w="1872"/>
          </w:tcPr>
          <w:p>
            <w:pPr>
              <w:spacing w:line="240" w:lineRule="auto" w:after="40" w:before="40"/>
            </w:pPr>
            <w:r>
              <w:rPr>
                <w:rFonts w:ascii="Times New Roman" w:hAnsi="Times New Roman"/>
                <w:sz w:val="18"/>
              </w:rPr>
              <w:t>§7</w:t>
            </w:r>
          </w:p>
        </w:tc>
        <w:tc>
          <w:tcPr>
            <w:tcW w:type="dxa" w:w="1872"/>
          </w:tcPr>
          <w:p>
            <w:pPr>
              <w:spacing w:line="240" w:lineRule="auto" w:after="40" w:before="40"/>
            </w:pPr>
            <w:r>
              <w:rPr>
                <w:rFonts w:ascii="Times New Roman" w:hAnsi="Times New Roman"/>
                <w:b/>
                <w:sz w:val="18"/>
              </w:rPr>
              <w:t>New Discussion</w:t>
            </w:r>
            <w:r>
              <w:rPr>
                <w:rFonts w:ascii="Times New Roman" w:hAnsi="Times New Roman"/>
                <w:sz w:val="18"/>
              </w:rPr>
              <w:t>: what validation establishes and concedes; 3 convergences; 3 tensions</w:t>
            </w:r>
          </w:p>
        </w:tc>
        <w:tc>
          <w:tcPr>
            <w:tcW w:type="dxa" w:w="1872"/>
          </w:tcPr>
          <w:p>
            <w:pPr>
              <w:spacing w:line="240" w:lineRule="auto" w:after="40" w:before="40"/>
            </w:pPr>
            <w:r>
              <w:rPr>
                <w:rFonts w:ascii="Times New Roman" w:hAnsi="Times New Roman"/>
                <w:sz w:val="18"/>
              </w:rPr>
              <w:t>Step 11, without fabricating results</w:t>
            </w:r>
          </w:p>
        </w:tc>
        <w:tc>
          <w:tcPr>
            <w:tcW w:type="dxa" w:w="1872"/>
          </w:tcPr>
          <w:p>
            <w:pPr>
              <w:spacing w:line="240" w:lineRule="auto" w:after="40" w:before="40"/>
            </w:pPr>
            <w:r>
              <w:rPr>
                <w:rFonts w:ascii="Times New Roman" w:hAnsi="Times New Roman"/>
                <w:sz w:val="18"/>
              </w:rPr>
              <w:t>n/a (addition)</w:t>
            </w:r>
          </w:p>
        </w:tc>
      </w:tr>
      <w:tr>
        <w:tc>
          <w:tcPr>
            <w:tcW w:type="dxa" w:w="1872"/>
          </w:tcPr>
          <w:p>
            <w:pPr>
              <w:spacing w:line="240" w:lineRule="auto" w:after="40" w:before="40"/>
            </w:pPr>
            <w:r>
              <w:rPr>
                <w:rFonts w:ascii="Times New Roman" w:hAnsi="Times New Roman"/>
                <w:sz w:val="18"/>
              </w:rPr>
              <w:t>23</w:t>
            </w:r>
          </w:p>
        </w:tc>
        <w:tc>
          <w:tcPr>
            <w:tcW w:type="dxa" w:w="1872"/>
          </w:tcPr>
          <w:p>
            <w:pPr>
              <w:spacing w:line="240" w:lineRule="auto" w:after="40" w:before="40"/>
            </w:pPr>
            <w:r>
              <w:rPr>
                <w:rFonts w:ascii="Times New Roman" w:hAnsi="Times New Roman"/>
                <w:sz w:val="18"/>
              </w:rPr>
              <w:t>§8</w:t>
            </w:r>
          </w:p>
        </w:tc>
        <w:tc>
          <w:tcPr>
            <w:tcW w:type="dxa" w:w="1872"/>
          </w:tcPr>
          <w:p>
            <w:pPr>
              <w:spacing w:line="240" w:lineRule="auto" w:after="40" w:before="40"/>
            </w:pPr>
            <w:r>
              <w:rPr>
                <w:rFonts w:ascii="Times New Roman" w:hAnsi="Times New Roman"/>
                <w:sz w:val="18"/>
              </w:rPr>
              <w:t>Expanded from 5 short paragraphs to 7 developed sub-claims incl. net-zero measurement and OM contributions</w:t>
            </w:r>
          </w:p>
        </w:tc>
        <w:tc>
          <w:tcPr>
            <w:tcW w:type="dxa" w:w="1872"/>
          </w:tcPr>
          <w:p>
            <w:pPr>
              <w:spacing w:line="240" w:lineRule="auto" w:after="40" w:before="40"/>
            </w:pPr>
            <w:r>
              <w:rPr>
                <w:rFonts w:ascii="Times New Roman" w:hAnsi="Times New Roman"/>
                <w:sz w:val="18"/>
              </w:rPr>
              <w:t>Step 12</w:t>
            </w:r>
          </w:p>
        </w:tc>
        <w:tc>
          <w:tcPr>
            <w:tcW w:type="dxa" w:w="1872"/>
          </w:tcPr>
          <w:p>
            <w:pPr>
              <w:spacing w:line="240" w:lineRule="auto" w:after="40" w:before="40"/>
            </w:pPr>
            <w:r>
              <w:rPr>
                <w:rFonts w:ascii="Times New Roman" w:hAnsi="Times New Roman"/>
                <w:sz w:val="18"/>
              </w:rPr>
              <w:t>All original claims retained and extended</w:t>
            </w:r>
          </w:p>
        </w:tc>
      </w:tr>
      <w:tr>
        <w:tc>
          <w:tcPr>
            <w:tcW w:type="dxa" w:w="1872"/>
          </w:tcPr>
          <w:p>
            <w:pPr>
              <w:spacing w:line="240" w:lineRule="auto" w:after="40" w:before="40"/>
            </w:pPr>
            <w:r>
              <w:rPr>
                <w:rFonts w:ascii="Times New Roman" w:hAnsi="Times New Roman"/>
                <w:sz w:val="18"/>
              </w:rPr>
              <w:t>24</w:t>
            </w:r>
          </w:p>
        </w:tc>
        <w:tc>
          <w:tcPr>
            <w:tcW w:type="dxa" w:w="1872"/>
          </w:tcPr>
          <w:p>
            <w:pPr>
              <w:spacing w:line="240" w:lineRule="auto" w:after="40" w:before="40"/>
            </w:pPr>
            <w:r>
              <w:rPr>
                <w:rFonts w:ascii="Times New Roman" w:hAnsi="Times New Roman"/>
                <w:sz w:val="18"/>
              </w:rPr>
              <w:t>§9</w:t>
            </w:r>
          </w:p>
        </w:tc>
        <w:tc>
          <w:tcPr>
            <w:tcW w:type="dxa" w:w="1872"/>
          </w:tcPr>
          <w:p>
            <w:pPr>
              <w:spacing w:line="240" w:lineRule="auto" w:after="40" w:before="40"/>
            </w:pPr>
            <w:r>
              <w:rPr>
                <w:rFonts w:ascii="Times New Roman" w:hAnsi="Times New Roman"/>
                <w:b/>
                <w:sz w:val="18"/>
              </w:rPr>
              <w:t>New</w:t>
            </w:r>
            <w:r>
              <w:rPr>
                <w:rFonts w:ascii="Times New Roman" w:hAnsi="Times New Roman"/>
                <w:sz w:val="18"/>
              </w:rPr>
              <w:t>: managerial implications for 7 audiences</w:t>
            </w:r>
          </w:p>
        </w:tc>
        <w:tc>
          <w:tcPr>
            <w:tcW w:type="dxa" w:w="1872"/>
          </w:tcPr>
          <w:p>
            <w:pPr>
              <w:spacing w:line="240" w:lineRule="auto" w:after="40" w:before="40"/>
            </w:pPr>
            <w:r>
              <w:rPr>
                <w:rFonts w:ascii="Times New Roman" w:hAnsi="Times New Roman"/>
                <w:sz w:val="18"/>
              </w:rPr>
              <w:t>Step 13</w:t>
            </w:r>
          </w:p>
        </w:tc>
        <w:tc>
          <w:tcPr>
            <w:tcW w:type="dxa" w:w="1872"/>
          </w:tcPr>
          <w:p>
            <w:pPr>
              <w:spacing w:line="240" w:lineRule="auto" w:after="40" w:before="40"/>
            </w:pPr>
            <w:r>
              <w:rPr>
                <w:rFonts w:ascii="Times New Roman" w:hAnsi="Times New Roman"/>
                <w:sz w:val="18"/>
              </w:rPr>
              <w:t>n/a (addition)</w:t>
            </w:r>
          </w:p>
        </w:tc>
      </w:tr>
      <w:tr>
        <w:tc>
          <w:tcPr>
            <w:tcW w:type="dxa" w:w="1872"/>
          </w:tcPr>
          <w:p>
            <w:pPr>
              <w:spacing w:line="240" w:lineRule="auto" w:after="40" w:before="40"/>
            </w:pPr>
            <w:r>
              <w:rPr>
                <w:rFonts w:ascii="Times New Roman" w:hAnsi="Times New Roman"/>
                <w:sz w:val="18"/>
              </w:rPr>
              <w:t>25</w:t>
            </w:r>
          </w:p>
        </w:tc>
        <w:tc>
          <w:tcPr>
            <w:tcW w:type="dxa" w:w="1872"/>
          </w:tcPr>
          <w:p>
            <w:pPr>
              <w:spacing w:line="240" w:lineRule="auto" w:after="40" w:before="40"/>
            </w:pPr>
            <w:r>
              <w:rPr>
                <w:rFonts w:ascii="Times New Roman" w:hAnsi="Times New Roman"/>
                <w:sz w:val="18"/>
              </w:rPr>
              <w:t>§10</w:t>
            </w:r>
          </w:p>
        </w:tc>
        <w:tc>
          <w:tcPr>
            <w:tcW w:type="dxa" w:w="1872"/>
          </w:tcPr>
          <w:p>
            <w:pPr>
              <w:spacing w:line="240" w:lineRule="auto" w:after="40" w:before="40"/>
            </w:pPr>
            <w:r>
              <w:rPr>
                <w:rFonts w:ascii="Times New Roman" w:hAnsi="Times New Roman"/>
                <w:b/>
                <w:sz w:val="18"/>
              </w:rPr>
              <w:t>New</w:t>
            </w:r>
            <w:r>
              <w:rPr>
                <w:rFonts w:ascii="Times New Roman" w:hAnsi="Times New Roman"/>
                <w:sz w:val="18"/>
              </w:rPr>
              <w:t>: sustainability implications incl. conservative SDG mapping (9, 12, 13, plus 2 and 8 in setting)</w:t>
            </w:r>
          </w:p>
        </w:tc>
        <w:tc>
          <w:tcPr>
            <w:tcW w:type="dxa" w:w="1872"/>
          </w:tcPr>
          <w:p>
            <w:pPr>
              <w:spacing w:line="240" w:lineRule="auto" w:after="40" w:before="40"/>
            </w:pPr>
            <w:r>
              <w:rPr>
                <w:rFonts w:ascii="Times New Roman" w:hAnsi="Times New Roman"/>
                <w:sz w:val="18"/>
              </w:rPr>
              <w:t>Step 14</w:t>
            </w:r>
          </w:p>
        </w:tc>
        <w:tc>
          <w:tcPr>
            <w:tcW w:type="dxa" w:w="1872"/>
          </w:tcPr>
          <w:p>
            <w:pPr>
              <w:spacing w:line="240" w:lineRule="auto" w:after="40" w:before="40"/>
            </w:pPr>
            <w:r>
              <w:rPr>
                <w:rFonts w:ascii="Times New Roman" w:hAnsi="Times New Roman"/>
                <w:sz w:val="18"/>
              </w:rPr>
              <w:t>Absorbs and extends the original's policy paragraph</w:t>
            </w:r>
          </w:p>
        </w:tc>
      </w:tr>
      <w:tr>
        <w:tc>
          <w:tcPr>
            <w:tcW w:type="dxa" w:w="1872"/>
          </w:tcPr>
          <w:p>
            <w:pPr>
              <w:spacing w:line="240" w:lineRule="auto" w:after="40" w:before="40"/>
            </w:pPr>
            <w:r>
              <w:rPr>
                <w:rFonts w:ascii="Times New Roman" w:hAnsi="Times New Roman"/>
                <w:sz w:val="18"/>
              </w:rPr>
              <w:t>26</w:t>
            </w:r>
          </w:p>
        </w:tc>
        <w:tc>
          <w:tcPr>
            <w:tcW w:type="dxa" w:w="1872"/>
          </w:tcPr>
          <w:p>
            <w:pPr>
              <w:spacing w:line="240" w:lineRule="auto" w:after="40" w:before="40"/>
            </w:pPr>
            <w:r>
              <w:rPr>
                <w:rFonts w:ascii="Times New Roman" w:hAnsi="Times New Roman"/>
                <w:sz w:val="18"/>
              </w:rPr>
              <w:t>§11</w:t>
            </w:r>
          </w:p>
        </w:tc>
        <w:tc>
          <w:tcPr>
            <w:tcW w:type="dxa" w:w="1872"/>
          </w:tcPr>
          <w:p>
            <w:pPr>
              <w:spacing w:line="240" w:lineRule="auto" w:after="40" w:before="40"/>
            </w:pPr>
            <w:r>
              <w:rPr>
                <w:rFonts w:ascii="Times New Roman" w:hAnsi="Times New Roman"/>
                <w:b/>
                <w:sz w:val="18"/>
              </w:rPr>
              <w:t>New</w:t>
            </w:r>
            <w:r>
              <w:rPr>
                <w:rFonts w:ascii="Times New Roman" w:hAnsi="Times New Roman"/>
                <w:sz w:val="18"/>
              </w:rPr>
              <w:t>: policy implications across 6 instrument classes</w:t>
            </w:r>
          </w:p>
        </w:tc>
        <w:tc>
          <w:tcPr>
            <w:tcW w:type="dxa" w:w="1872"/>
          </w:tcPr>
          <w:p>
            <w:pPr>
              <w:spacing w:line="240" w:lineRule="auto" w:after="40" w:before="40"/>
            </w:pPr>
            <w:r>
              <w:rPr>
                <w:rFonts w:ascii="Times New Roman" w:hAnsi="Times New Roman"/>
                <w:sz w:val="18"/>
              </w:rPr>
              <w:t>Step 15</w:t>
            </w:r>
          </w:p>
        </w:tc>
        <w:tc>
          <w:tcPr>
            <w:tcW w:type="dxa" w:w="1872"/>
          </w:tcPr>
          <w:p>
            <w:pPr>
              <w:spacing w:line="240" w:lineRule="auto" w:after="40" w:before="40"/>
            </w:pPr>
            <w:r>
              <w:rPr>
                <w:rFonts w:ascii="Times New Roman" w:hAnsi="Times New Roman"/>
                <w:sz w:val="18"/>
              </w:rPr>
              <w:t>Original sequencing argument retained as the lead claim</w:t>
            </w:r>
          </w:p>
        </w:tc>
      </w:tr>
      <w:tr>
        <w:tc>
          <w:tcPr>
            <w:tcW w:type="dxa" w:w="1872"/>
          </w:tcPr>
          <w:p>
            <w:pPr>
              <w:spacing w:line="240" w:lineRule="auto" w:after="40" w:before="40"/>
            </w:pPr>
            <w:r>
              <w:rPr>
                <w:rFonts w:ascii="Times New Roman" w:hAnsi="Times New Roman"/>
                <w:sz w:val="18"/>
              </w:rPr>
              <w:t>27</w:t>
            </w:r>
          </w:p>
        </w:tc>
        <w:tc>
          <w:tcPr>
            <w:tcW w:type="dxa" w:w="1872"/>
          </w:tcPr>
          <w:p>
            <w:pPr>
              <w:spacing w:line="240" w:lineRule="auto" w:after="40" w:before="40"/>
            </w:pPr>
            <w:r>
              <w:rPr>
                <w:rFonts w:ascii="Times New Roman" w:hAnsi="Times New Roman"/>
                <w:sz w:val="18"/>
              </w:rPr>
              <w:t>§12</w:t>
            </w:r>
          </w:p>
        </w:tc>
        <w:tc>
          <w:tcPr>
            <w:tcW w:type="dxa" w:w="1872"/>
          </w:tcPr>
          <w:p>
            <w:pPr>
              <w:spacing w:line="240" w:lineRule="auto" w:after="40" w:before="40"/>
            </w:pPr>
            <w:r>
              <w:rPr>
                <w:rFonts w:ascii="Times New Roman" w:hAnsi="Times New Roman"/>
                <w:sz w:val="18"/>
              </w:rPr>
              <w:t xml:space="preserve">Rewritten; limitations ordered by severity; </w:t>
            </w:r>
            <w:r>
              <w:rPr>
                <w:rFonts w:ascii="Times New Roman" w:hAnsi="Times New Roman"/>
                <w:b/>
                <w:sz w:val="18"/>
              </w:rPr>
              <w:t>new explicit limitation that the instrument measures material and monetary flows, not emissions</w:t>
            </w:r>
            <w:r>
              <w:rPr>
                <w:rFonts w:ascii="Times New Roman" w:hAnsi="Times New Roman"/>
                <w:sz w:val="18"/>
              </w:rPr>
              <w:t>; six research directions</w:t>
            </w:r>
          </w:p>
        </w:tc>
        <w:tc>
          <w:tcPr>
            <w:tcW w:type="dxa" w:w="1872"/>
          </w:tcPr>
          <w:p>
            <w:pPr>
              <w:spacing w:line="240" w:lineRule="auto" w:after="40" w:before="40"/>
            </w:pPr>
            <w:r>
              <w:rPr>
                <w:rFonts w:ascii="Times New Roman" w:hAnsi="Times New Roman"/>
                <w:sz w:val="18"/>
              </w:rPr>
              <w:t>Step 16; scholarly honesty about the carbon reframing</w:t>
            </w:r>
          </w:p>
        </w:tc>
        <w:tc>
          <w:tcPr>
            <w:tcW w:type="dxa" w:w="1872"/>
          </w:tcPr>
          <w:p>
            <w:pPr>
              <w:spacing w:line="240" w:lineRule="auto" w:after="40" w:before="40"/>
            </w:pPr>
            <w:r>
              <w:rPr>
                <w:rFonts w:ascii="Times New Roman" w:hAnsi="Times New Roman"/>
                <w:sz w:val="18"/>
              </w:rPr>
              <w:t>Every original limitation retained</w:t>
            </w:r>
          </w:p>
        </w:tc>
      </w:tr>
      <w:tr>
        <w:tc>
          <w:tcPr>
            <w:tcW w:type="dxa" w:w="1872"/>
          </w:tcPr>
          <w:p>
            <w:pPr>
              <w:spacing w:line="240" w:lineRule="auto" w:after="40" w:before="40"/>
            </w:pPr>
            <w:r>
              <w:rPr>
                <w:rFonts w:ascii="Times New Roman" w:hAnsi="Times New Roman"/>
                <w:sz w:val="18"/>
              </w:rPr>
              <w:t>28</w:t>
            </w:r>
          </w:p>
        </w:tc>
        <w:tc>
          <w:tcPr>
            <w:tcW w:type="dxa" w:w="1872"/>
          </w:tcPr>
          <w:p>
            <w:pPr>
              <w:spacing w:line="240" w:lineRule="auto" w:after="40" w:before="40"/>
            </w:pPr>
            <w:r>
              <w:rPr>
                <w:rFonts w:ascii="Times New Roman" w:hAnsi="Times New Roman"/>
                <w:sz w:val="18"/>
              </w:rPr>
              <w:t>§13</w:t>
            </w:r>
          </w:p>
        </w:tc>
        <w:tc>
          <w:tcPr>
            <w:tcW w:type="dxa" w:w="1872"/>
          </w:tcPr>
          <w:p>
            <w:pPr>
              <w:spacing w:line="240" w:lineRule="auto" w:after="40" w:before="40"/>
            </w:pPr>
            <w:r>
              <w:rPr>
                <w:rFonts w:ascii="Times New Roman" w:hAnsi="Times New Roman"/>
                <w:sz w:val="18"/>
              </w:rPr>
              <w:t>Rewritten to open and close on net zero</w:t>
            </w:r>
          </w:p>
        </w:tc>
        <w:tc>
          <w:tcPr>
            <w:tcW w:type="dxa" w:w="1872"/>
          </w:tcPr>
          <w:p>
            <w:pPr>
              <w:spacing w:line="240" w:lineRule="auto" w:after="40" w:before="40"/>
            </w:pPr>
            <w:r>
              <w:rPr>
                <w:rFonts w:ascii="Times New Roman" w:hAnsi="Times New Roman"/>
                <w:sz w:val="18"/>
              </w:rPr>
              <w:t>SI framing</w:t>
            </w:r>
          </w:p>
        </w:tc>
        <w:tc>
          <w:tcPr>
            <w:tcW w:type="dxa" w:w="1872"/>
          </w:tcPr>
          <w:p>
            <w:pPr>
              <w:spacing w:line="240" w:lineRule="auto" w:after="40" w:before="40"/>
            </w:pPr>
            <w:r>
              <w:rPr>
                <w:rFonts w:ascii="Times New Roman" w:hAnsi="Times New Roman"/>
                <w:sz w:val="18"/>
              </w:rPr>
              <w:t>Argument unchanged</w:t>
            </w:r>
          </w:p>
        </w:tc>
      </w:tr>
      <w:tr>
        <w:tc>
          <w:tcPr>
            <w:tcW w:type="dxa" w:w="1872"/>
          </w:tcPr>
          <w:p>
            <w:pPr>
              <w:spacing w:line="240" w:lineRule="auto" w:after="40" w:before="40"/>
            </w:pPr>
            <w:r>
              <w:rPr>
                <w:rFonts w:ascii="Times New Roman" w:hAnsi="Times New Roman"/>
                <w:sz w:val="18"/>
              </w:rPr>
              <w:t>29</w:t>
            </w:r>
          </w:p>
        </w:tc>
        <w:tc>
          <w:tcPr>
            <w:tcW w:type="dxa" w:w="1872"/>
          </w:tcPr>
          <w:p>
            <w:pPr>
              <w:spacing w:line="240" w:lineRule="auto" w:after="40" w:before="40"/>
            </w:pPr>
            <w:r>
              <w:rPr>
                <w:rFonts w:ascii="Times New Roman" w:hAnsi="Times New Roman"/>
                <w:sz w:val="18"/>
              </w:rPr>
              <w:t>References</w:t>
            </w:r>
          </w:p>
        </w:tc>
        <w:tc>
          <w:tcPr>
            <w:tcW w:type="dxa" w:w="1872"/>
          </w:tcPr>
          <w:p>
            <w:pPr>
              <w:spacing w:line="240" w:lineRule="auto" w:after="40" w:before="40"/>
            </w:pPr>
            <w:r>
              <w:rPr>
                <w:rFonts w:ascii="Times New Roman" w:hAnsi="Times New Roman"/>
                <w:sz w:val="18"/>
              </w:rPr>
              <w:t>72 originals retained, converted to IJPR Chicago author-date; 83 new 2022–2026 entries added; all 155 verified as cited in-text</w:t>
            </w:r>
          </w:p>
        </w:tc>
        <w:tc>
          <w:tcPr>
            <w:tcW w:type="dxa" w:w="1872"/>
          </w:tcPr>
          <w:p>
            <w:pPr>
              <w:spacing w:line="240" w:lineRule="auto" w:after="40" w:before="40"/>
            </w:pPr>
            <w:r>
              <w:rPr>
                <w:rFonts w:ascii="Times New Roman" w:hAnsi="Times New Roman"/>
                <w:sz w:val="18"/>
              </w:rPr>
              <w:t>Step 17</w:t>
            </w:r>
          </w:p>
        </w:tc>
        <w:tc>
          <w:tcPr>
            <w:tcW w:type="dxa" w:w="1872"/>
          </w:tcPr>
          <w:p>
            <w:pPr>
              <w:spacing w:line="240" w:lineRule="auto" w:after="40" w:before="40"/>
            </w:pPr>
            <w:r>
              <w:rPr>
                <w:rFonts w:ascii="Times New Roman" w:hAnsi="Times New Roman"/>
                <w:sz w:val="18"/>
              </w:rPr>
              <w:t>Nothing dropped</w:t>
            </w:r>
          </w:p>
        </w:tc>
      </w:tr>
      <w:tr>
        <w:tc>
          <w:tcPr>
            <w:tcW w:type="dxa" w:w="1872"/>
          </w:tcPr>
          <w:p>
            <w:pPr>
              <w:spacing w:line="240" w:lineRule="auto" w:after="40" w:before="40"/>
            </w:pPr>
            <w:r>
              <w:rPr>
                <w:rFonts w:ascii="Times New Roman" w:hAnsi="Times New Roman"/>
                <w:sz w:val="18"/>
              </w:rPr>
              <w:t>30</w:t>
            </w:r>
          </w:p>
        </w:tc>
        <w:tc>
          <w:tcPr>
            <w:tcW w:type="dxa" w:w="1872"/>
          </w:tcPr>
          <w:p>
            <w:pPr>
              <w:spacing w:line="240" w:lineRule="auto" w:after="40" w:before="40"/>
            </w:pPr>
            <w:r>
              <w:rPr>
                <w:rFonts w:ascii="Times New Roman" w:hAnsi="Times New Roman"/>
                <w:sz w:val="18"/>
              </w:rPr>
              <w:t>Throughout</w:t>
            </w:r>
          </w:p>
        </w:tc>
        <w:tc>
          <w:tcPr>
            <w:tcW w:type="dxa" w:w="1872"/>
          </w:tcPr>
          <w:p>
            <w:pPr>
              <w:spacing w:line="240" w:lineRule="auto" w:after="40" w:before="40"/>
            </w:pPr>
            <w:r>
              <w:rPr>
                <w:rFonts w:ascii="Times New Roman" w:hAnsi="Times New Roman"/>
                <w:sz w:val="18"/>
              </w:rPr>
              <w:t>Tables renumbered 1–8; broken cross-reference repaired; "supply chain"→"production network" where the referent is the production system; terminology made consistent</w:t>
            </w:r>
          </w:p>
        </w:tc>
        <w:tc>
          <w:tcPr>
            <w:tcW w:type="dxa" w:w="1872"/>
          </w:tcPr>
          <w:p>
            <w:pPr>
              <w:spacing w:line="240" w:lineRule="auto" w:after="40" w:before="40"/>
            </w:pPr>
            <w:r>
              <w:rPr>
                <w:rFonts w:ascii="Times New Roman" w:hAnsi="Times New Roman"/>
                <w:sz w:val="18"/>
              </w:rPr>
              <w:t>Step 18</w:t>
            </w:r>
          </w:p>
        </w:tc>
        <w:tc>
          <w:tcPr>
            <w:tcW w:type="dxa" w:w="1872"/>
          </w:tcPr>
          <w:p>
            <w:pPr>
              <w:spacing w:line="240" w:lineRule="auto" w:after="40" w:before="40"/>
            </w:pPr>
            <w:r>
              <w:rPr>
                <w:rFonts w:ascii="Times New Roman" w:hAnsi="Times New Roman"/>
                <w:sz w:val="18"/>
              </w:rPr>
              <w:t>Substance unchanged</w:t>
            </w:r>
          </w:p>
        </w:tc>
      </w:tr>
    </w:tbl>
    <w:p>
      <w:pPr>
        <w:spacing w:line="240" w:lineRule="auto"/>
      </w:pPr>
    </w:p>
    <w:p>
      <w:pPr>
        <w:pStyle w:val="Heading1"/>
      </w:pPr>
      <w:r>
        <w:t>8. Deliverable 3 — Special Issue theme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Special Issue theme</w:t>
            </w:r>
          </w:p>
        </w:tc>
        <w:tc>
          <w:tcPr>
            <w:tcW w:type="dxa" w:w="3120"/>
            <w:shd w:val="clear" w:fill="EFEFEF"/>
          </w:tcPr>
          <w:p>
            <w:pPr>
              <w:spacing w:line="240" w:lineRule="auto" w:after="40" w:before="40"/>
            </w:pPr>
            <w:r>
              <w:rPr>
                <w:rFonts w:ascii="Times New Roman" w:hAnsi="Times New Roman"/>
                <w:b/>
                <w:sz w:val="18"/>
              </w:rPr>
              <w:t>Where the revised manuscript addresses it</w:t>
            </w:r>
          </w:p>
        </w:tc>
        <w:tc>
          <w:tcPr>
            <w:tcW w:type="dxa" w:w="3120"/>
            <w:shd w:val="clear" w:fill="EFEFEF"/>
          </w:tcPr>
          <w:p>
            <w:pPr>
              <w:spacing w:line="240" w:lineRule="auto" w:after="40" w:before="40"/>
            </w:pPr>
            <w:r>
              <w:rPr>
                <w:rFonts w:ascii="Times New Roman" w:hAnsi="Times New Roman"/>
                <w:b/>
                <w:sz w:val="18"/>
              </w:rPr>
              <w:t>Depth</w:t>
            </w:r>
          </w:p>
        </w:tc>
      </w:tr>
      <w:tr>
        <w:tc>
          <w:tcPr>
            <w:tcW w:type="dxa" w:w="3120"/>
          </w:tcPr>
          <w:p>
            <w:pPr>
              <w:spacing w:line="240" w:lineRule="auto" w:after="40" w:before="40"/>
            </w:pPr>
            <w:r>
              <w:rPr>
                <w:rFonts w:ascii="Times New Roman" w:hAnsi="Times New Roman"/>
                <w:sz w:val="18"/>
              </w:rPr>
              <w:t>Net-zero manufacturing</w:t>
            </w:r>
          </w:p>
        </w:tc>
        <w:tc>
          <w:tcPr>
            <w:tcW w:type="dxa" w:w="3120"/>
          </w:tcPr>
          <w:p>
            <w:pPr>
              <w:spacing w:line="240" w:lineRule="auto" w:after="40" w:before="40"/>
            </w:pPr>
            <w:r>
              <w:rPr>
                <w:rFonts w:ascii="Times New Roman" w:hAnsi="Times New Roman"/>
                <w:sz w:val="18"/>
              </w:rPr>
              <w:t>§1 opening argument; §2.1 (net-zero manufacturing literature); §4.1 H1 (Scope 3 quantities are constructed, not discovered); §8 (net-zero measurement contribution); §10 (net-zero and carbon neutrality); §11 (industrial decarbonisation, CBAM)</w:t>
            </w:r>
          </w:p>
        </w:tc>
        <w:tc>
          <w:tcPr>
            <w:tcW w:type="dxa" w:w="3120"/>
          </w:tcPr>
          <w:p>
            <w:pPr>
              <w:spacing w:line="240" w:lineRule="auto" w:after="40" w:before="40"/>
            </w:pPr>
            <w:r>
              <w:rPr>
                <w:rFonts w:ascii="Times New Roman" w:hAnsi="Times New Roman"/>
                <w:sz w:val="18"/>
              </w:rPr>
              <w:t>Core — the organising frame</w:t>
            </w:r>
          </w:p>
        </w:tc>
      </w:tr>
      <w:tr>
        <w:tc>
          <w:tcPr>
            <w:tcW w:type="dxa" w:w="3120"/>
          </w:tcPr>
          <w:p>
            <w:pPr>
              <w:spacing w:line="240" w:lineRule="auto" w:after="40" w:before="40"/>
            </w:pPr>
            <w:r>
              <w:rPr>
                <w:rFonts w:ascii="Times New Roman" w:hAnsi="Times New Roman"/>
                <w:sz w:val="18"/>
              </w:rPr>
              <w:t>Circular economy</w:t>
            </w:r>
          </w:p>
        </w:tc>
        <w:tc>
          <w:tcPr>
            <w:tcW w:type="dxa" w:w="3120"/>
          </w:tcPr>
          <w:p>
            <w:pPr>
              <w:spacing w:line="240" w:lineRule="auto" w:after="40" w:before="40"/>
            </w:pPr>
            <w:r>
              <w:rPr>
                <w:rFonts w:ascii="Times New Roman" w:hAnsi="Times New Roman"/>
                <w:sz w:val="18"/>
              </w:rPr>
              <w:t>Throughout: the construct system, §2.1, §2.6, §8, §10</w:t>
            </w:r>
          </w:p>
        </w:tc>
        <w:tc>
          <w:tcPr>
            <w:tcW w:type="dxa" w:w="3120"/>
          </w:tcPr>
          <w:p>
            <w:pPr>
              <w:spacing w:line="240" w:lineRule="auto" w:after="40" w:before="40"/>
            </w:pPr>
            <w:r>
              <w:rPr>
                <w:rFonts w:ascii="Times New Roman" w:hAnsi="Times New Roman"/>
                <w:sz w:val="18"/>
              </w:rPr>
              <w:t>Core — the original subject</w:t>
            </w:r>
          </w:p>
        </w:tc>
      </w:tr>
      <w:tr>
        <w:tc>
          <w:tcPr>
            <w:tcW w:type="dxa" w:w="3120"/>
          </w:tcPr>
          <w:p>
            <w:pPr>
              <w:spacing w:line="240" w:lineRule="auto" w:after="40" w:before="40"/>
            </w:pPr>
            <w:r>
              <w:rPr>
                <w:rFonts w:ascii="Times New Roman" w:hAnsi="Times New Roman"/>
                <w:sz w:val="18"/>
              </w:rPr>
              <w:t>Smart production / Industry 4.0</w:t>
            </w:r>
          </w:p>
        </w:tc>
        <w:tc>
          <w:tcPr>
            <w:tcW w:type="dxa" w:w="3120"/>
          </w:tcPr>
          <w:p>
            <w:pPr>
              <w:spacing w:line="240" w:lineRule="auto" w:after="40" w:before="40"/>
            </w:pPr>
            <w:r>
              <w:rPr>
                <w:rFonts w:ascii="Times New Roman" w:hAnsi="Times New Roman"/>
                <w:sz w:val="18"/>
              </w:rPr>
              <w:t>§1.1 (the smart production paradox); §2.3 (entire subsection); §3.4 (socio-technical); §5.1 and §6 (digital traceability as rival explanation); §9 (Industry 4.0 practitioners); §12 (AI, digital twins, IoT, Industry 5.0)</w:t>
            </w:r>
          </w:p>
        </w:tc>
        <w:tc>
          <w:tcPr>
            <w:tcW w:type="dxa" w:w="3120"/>
          </w:tcPr>
          <w:p>
            <w:pPr>
              <w:spacing w:line="240" w:lineRule="auto" w:after="40" w:before="40"/>
            </w:pPr>
            <w:r>
              <w:rPr>
                <w:rFonts w:ascii="Times New Roman" w:hAnsi="Times New Roman"/>
                <w:sz w:val="18"/>
              </w:rPr>
              <w:t>Core — new to the revision</w:t>
            </w:r>
          </w:p>
        </w:tc>
      </w:tr>
      <w:tr>
        <w:tc>
          <w:tcPr>
            <w:tcW w:type="dxa" w:w="3120"/>
          </w:tcPr>
          <w:p>
            <w:pPr>
              <w:spacing w:line="240" w:lineRule="auto" w:after="40" w:before="40"/>
            </w:pPr>
            <w:r>
              <w:rPr>
                <w:rFonts w:ascii="Times New Roman" w:hAnsi="Times New Roman"/>
                <w:sz w:val="18"/>
              </w:rPr>
              <w:t>From vision to practice</w:t>
            </w:r>
          </w:p>
        </w:tc>
        <w:tc>
          <w:tcPr>
            <w:tcW w:type="dxa" w:w="3120"/>
          </w:tcPr>
          <w:p>
            <w:pPr>
              <w:spacing w:line="240" w:lineRule="auto" w:after="40" w:before="40"/>
            </w:pPr>
            <w:r>
              <w:rPr>
                <w:rFonts w:ascii="Times New Roman" w:hAnsi="Times New Roman"/>
                <w:sz w:val="18"/>
              </w:rPr>
              <w:t>The paper's central claim: what stands between a net-zero vision and net-zero practice is the calculative and accountability infrastructure. §1, §7.2, §11, §13</w:t>
            </w:r>
          </w:p>
        </w:tc>
        <w:tc>
          <w:tcPr>
            <w:tcW w:type="dxa" w:w="3120"/>
          </w:tcPr>
          <w:p>
            <w:pPr>
              <w:spacing w:line="240" w:lineRule="auto" w:after="40" w:before="40"/>
            </w:pPr>
            <w:r>
              <w:rPr>
                <w:rFonts w:ascii="Times New Roman" w:hAnsi="Times New Roman"/>
                <w:sz w:val="18"/>
              </w:rPr>
              <w:t>Core — the title's logic</w:t>
            </w:r>
          </w:p>
        </w:tc>
      </w:tr>
      <w:tr>
        <w:tc>
          <w:tcPr>
            <w:tcW w:type="dxa" w:w="3120"/>
          </w:tcPr>
          <w:p>
            <w:pPr>
              <w:spacing w:line="240" w:lineRule="auto" w:after="40" w:before="40"/>
            </w:pPr>
            <w:r>
              <w:rPr>
                <w:rFonts w:ascii="Times New Roman" w:hAnsi="Times New Roman"/>
                <w:sz w:val="18"/>
              </w:rPr>
              <w:t>Sustainable manufacturing / sustainable production</w:t>
            </w:r>
          </w:p>
        </w:tc>
        <w:tc>
          <w:tcPr>
            <w:tcW w:type="dxa" w:w="3120"/>
          </w:tcPr>
          <w:p>
            <w:pPr>
              <w:spacing w:line="240" w:lineRule="auto" w:after="40" w:before="40"/>
            </w:pPr>
            <w:r>
              <w:rPr>
                <w:rFonts w:ascii="Times New Roman" w:hAnsi="Times New Roman"/>
                <w:sz w:val="18"/>
              </w:rPr>
              <w:t>§2.1, §4.1–4.3, §8, §10; CVCP spans economic, environmental and social value</w:t>
            </w:r>
          </w:p>
        </w:tc>
        <w:tc>
          <w:tcPr>
            <w:tcW w:type="dxa" w:w="3120"/>
          </w:tcPr>
          <w:p>
            <w:pPr>
              <w:spacing w:line="240" w:lineRule="auto" w:after="40" w:before="40"/>
            </w:pPr>
            <w:r>
              <w:rPr>
                <w:rFonts w:ascii="Times New Roman" w:hAnsi="Times New Roman"/>
                <w:sz w:val="18"/>
              </w:rPr>
              <w:t>Substantial</w:t>
            </w:r>
          </w:p>
        </w:tc>
      </w:tr>
      <w:tr>
        <w:tc>
          <w:tcPr>
            <w:tcW w:type="dxa" w:w="3120"/>
          </w:tcPr>
          <w:p>
            <w:pPr>
              <w:spacing w:line="240" w:lineRule="auto" w:after="40" w:before="40"/>
            </w:pPr>
            <w:r>
              <w:rPr>
                <w:rFonts w:ascii="Times New Roman" w:hAnsi="Times New Roman"/>
                <w:sz w:val="18"/>
              </w:rPr>
              <w:t>Low-carbon / carbon-efficient production</w:t>
            </w:r>
          </w:p>
        </w:tc>
        <w:tc>
          <w:tcPr>
            <w:tcW w:type="dxa" w:w="3120"/>
          </w:tcPr>
          <w:p>
            <w:pPr>
              <w:spacing w:line="240" w:lineRule="auto" w:after="40" w:before="40"/>
            </w:pPr>
            <w:r>
              <w:rPr>
                <w:rFonts w:ascii="Times New Roman" w:hAnsi="Times New Roman"/>
                <w:sz w:val="18"/>
              </w:rPr>
              <w:t>§2.2 (carbon accounting), §8 (Scope 3 as accountability problem), §10, §11</w:t>
            </w:r>
          </w:p>
        </w:tc>
        <w:tc>
          <w:tcPr>
            <w:tcW w:type="dxa" w:w="3120"/>
          </w:tcPr>
          <w:p>
            <w:pPr>
              <w:spacing w:line="240" w:lineRule="auto" w:after="40" w:before="40"/>
            </w:pPr>
            <w:r>
              <w:rPr>
                <w:rFonts w:ascii="Times New Roman" w:hAnsi="Times New Roman"/>
                <w:sz w:val="18"/>
              </w:rPr>
              <w:t>Substantial — but see the honest caveat below</w:t>
            </w:r>
          </w:p>
        </w:tc>
      </w:tr>
      <w:tr>
        <w:tc>
          <w:tcPr>
            <w:tcW w:type="dxa" w:w="3120"/>
          </w:tcPr>
          <w:p>
            <w:pPr>
              <w:spacing w:line="240" w:lineRule="auto" w:after="40" w:before="40"/>
            </w:pPr>
            <w:r>
              <w:rPr>
                <w:rFonts w:ascii="Times New Roman" w:hAnsi="Times New Roman"/>
                <w:sz w:val="18"/>
              </w:rPr>
              <w:t>Digital transformation</w:t>
            </w:r>
          </w:p>
        </w:tc>
        <w:tc>
          <w:tcPr>
            <w:tcW w:type="dxa" w:w="3120"/>
          </w:tcPr>
          <w:p>
            <w:pPr>
              <w:spacing w:line="240" w:lineRule="auto" w:after="40" w:before="40"/>
            </w:pPr>
            <w:r>
              <w:rPr>
                <w:rFonts w:ascii="Times New Roman" w:hAnsi="Times New Roman"/>
                <w:sz w:val="18"/>
              </w:rPr>
              <w:t>§1.1, §2.3, §3.4, §9, §12</w:t>
            </w:r>
          </w:p>
        </w:tc>
        <w:tc>
          <w:tcPr>
            <w:tcW w:type="dxa" w:w="3120"/>
          </w:tcPr>
          <w:p>
            <w:pPr>
              <w:spacing w:line="240" w:lineRule="auto" w:after="40" w:before="40"/>
            </w:pPr>
            <w:r>
              <w:rPr>
                <w:rFonts w:ascii="Times New Roman" w:hAnsi="Times New Roman"/>
                <w:sz w:val="18"/>
              </w:rPr>
              <w:t>Substantial</w:t>
            </w:r>
          </w:p>
        </w:tc>
      </w:tr>
      <w:tr>
        <w:tc>
          <w:tcPr>
            <w:tcW w:type="dxa" w:w="3120"/>
          </w:tcPr>
          <w:p>
            <w:pPr>
              <w:spacing w:line="240" w:lineRule="auto" w:after="40" w:before="40"/>
            </w:pPr>
            <w:r>
              <w:rPr>
                <w:rFonts w:ascii="Times New Roman" w:hAnsi="Times New Roman"/>
                <w:sz w:val="18"/>
              </w:rPr>
              <w:t>Sustainable supply chains / green production systems</w:t>
            </w:r>
          </w:p>
        </w:tc>
        <w:tc>
          <w:tcPr>
            <w:tcW w:type="dxa" w:w="3120"/>
          </w:tcPr>
          <w:p>
            <w:pPr>
              <w:spacing w:line="240" w:lineRule="auto" w:after="40" w:before="40"/>
            </w:pPr>
            <w:r>
              <w:rPr>
                <w:rFonts w:ascii="Times New Roman" w:hAnsi="Times New Roman"/>
                <w:sz w:val="18"/>
              </w:rPr>
              <w:t>§2.4, §2.5, §2.6; the multi-tier governance stream</w:t>
            </w:r>
          </w:p>
        </w:tc>
        <w:tc>
          <w:tcPr>
            <w:tcW w:type="dxa" w:w="3120"/>
          </w:tcPr>
          <w:p>
            <w:pPr>
              <w:spacing w:line="240" w:lineRule="auto" w:after="40" w:before="40"/>
            </w:pPr>
            <w:r>
              <w:rPr>
                <w:rFonts w:ascii="Times New Roman" w:hAnsi="Times New Roman"/>
                <w:sz w:val="18"/>
              </w:rPr>
              <w:t>Substantial</w:t>
            </w:r>
          </w:p>
        </w:tc>
      </w:tr>
      <w:tr>
        <w:tc>
          <w:tcPr>
            <w:tcW w:type="dxa" w:w="3120"/>
          </w:tcPr>
          <w:p>
            <w:pPr>
              <w:spacing w:line="240" w:lineRule="auto" w:after="40" w:before="40"/>
            </w:pPr>
            <w:r>
              <w:rPr>
                <w:rFonts w:ascii="Times New Roman" w:hAnsi="Times New Roman"/>
                <w:sz w:val="18"/>
              </w:rPr>
              <w:t>AI-enabled optimisation</w:t>
            </w:r>
          </w:p>
        </w:tc>
        <w:tc>
          <w:tcPr>
            <w:tcW w:type="dxa" w:w="3120"/>
          </w:tcPr>
          <w:p>
            <w:pPr>
              <w:spacing w:line="240" w:lineRule="auto" w:after="40" w:before="40"/>
            </w:pPr>
            <w:r>
              <w:rPr>
                <w:rFonts w:ascii="Times New Roman" w:hAnsi="Times New Roman"/>
                <w:sz w:val="18"/>
              </w:rPr>
              <w:t>§2.3 (AI and carbon reduction); §12 (automated loss estimation and recovery valuation as a substitute for scarce calculative capability)</w:t>
            </w:r>
          </w:p>
        </w:tc>
        <w:tc>
          <w:tcPr>
            <w:tcW w:type="dxa" w:w="3120"/>
          </w:tcPr>
          <w:p>
            <w:pPr>
              <w:spacing w:line="240" w:lineRule="auto" w:after="40" w:before="40"/>
            </w:pPr>
            <w:r>
              <w:rPr>
                <w:rFonts w:ascii="Times New Roman" w:hAnsi="Times New Roman"/>
                <w:sz w:val="18"/>
              </w:rPr>
              <w:t>Moderate — positioned as future work, honestly</w:t>
            </w:r>
          </w:p>
        </w:tc>
      </w:tr>
      <w:tr>
        <w:tc>
          <w:tcPr>
            <w:tcW w:type="dxa" w:w="3120"/>
          </w:tcPr>
          <w:p>
            <w:pPr>
              <w:spacing w:line="240" w:lineRule="auto" w:after="40" w:before="40"/>
            </w:pPr>
            <w:r>
              <w:rPr>
                <w:rFonts w:ascii="Times New Roman" w:hAnsi="Times New Roman"/>
                <w:sz w:val="18"/>
              </w:rPr>
              <w:t>Circular supply chains</w:t>
            </w:r>
          </w:p>
        </w:tc>
        <w:tc>
          <w:tcPr>
            <w:tcW w:type="dxa" w:w="3120"/>
          </w:tcPr>
          <w:p>
            <w:pPr>
              <w:spacing w:line="240" w:lineRule="auto" w:after="40" w:before="40"/>
            </w:pPr>
            <w:r>
              <w:rPr>
                <w:rFonts w:ascii="Times New Roman" w:hAnsi="Times New Roman"/>
                <w:sz w:val="18"/>
              </w:rPr>
              <w:t>§2.1, §2.5, §2.6, §10</w:t>
            </w:r>
          </w:p>
        </w:tc>
        <w:tc>
          <w:tcPr>
            <w:tcW w:type="dxa" w:w="3120"/>
          </w:tcPr>
          <w:p>
            <w:pPr>
              <w:spacing w:line="240" w:lineRule="auto" w:after="40" w:before="40"/>
            </w:pPr>
            <w:r>
              <w:rPr>
                <w:rFonts w:ascii="Times New Roman" w:hAnsi="Times New Roman"/>
                <w:sz w:val="18"/>
              </w:rPr>
              <w:t>Substantial</w:t>
            </w:r>
          </w:p>
        </w:tc>
      </w:tr>
      <w:tr>
        <w:tc>
          <w:tcPr>
            <w:tcW w:type="dxa" w:w="3120"/>
          </w:tcPr>
          <w:p>
            <w:pPr>
              <w:spacing w:line="240" w:lineRule="auto" w:after="40" w:before="40"/>
            </w:pPr>
            <w:r>
              <w:rPr>
                <w:rFonts w:ascii="Times New Roman" w:hAnsi="Times New Roman"/>
                <w:sz w:val="18"/>
              </w:rPr>
              <w:t>Resource / energy efficiency</w:t>
            </w:r>
          </w:p>
        </w:tc>
        <w:tc>
          <w:tcPr>
            <w:tcW w:type="dxa" w:w="3120"/>
          </w:tcPr>
          <w:p>
            <w:pPr>
              <w:spacing w:line="240" w:lineRule="auto" w:after="40" w:before="40"/>
            </w:pPr>
            <w:r>
              <w:rPr>
                <w:rFonts w:ascii="Times New Roman" w:hAnsi="Times New Roman"/>
                <w:sz w:val="18"/>
              </w:rPr>
              <w:t>§10 (resource efficiency and material productivity); §2.1</w:t>
            </w:r>
          </w:p>
        </w:tc>
        <w:tc>
          <w:tcPr>
            <w:tcW w:type="dxa" w:w="3120"/>
          </w:tcPr>
          <w:p>
            <w:pPr>
              <w:spacing w:line="240" w:lineRule="auto" w:after="40" w:before="40"/>
            </w:pPr>
            <w:r>
              <w:rPr>
                <w:rFonts w:ascii="Times New Roman" w:hAnsi="Times New Roman"/>
                <w:sz w:val="18"/>
              </w:rPr>
              <w:t>Moderate</w:t>
            </w:r>
          </w:p>
        </w:tc>
      </w:tr>
      <w:tr>
        <w:tc>
          <w:tcPr>
            <w:tcW w:type="dxa" w:w="3120"/>
          </w:tcPr>
          <w:p>
            <w:pPr>
              <w:spacing w:line="240" w:lineRule="auto" w:after="40" w:before="40"/>
            </w:pPr>
            <w:r>
              <w:rPr>
                <w:rFonts w:ascii="Times New Roman" w:hAnsi="Times New Roman"/>
                <w:sz w:val="18"/>
              </w:rPr>
              <w:t>Manufacturing resilience</w:t>
            </w:r>
          </w:p>
        </w:tc>
        <w:tc>
          <w:tcPr>
            <w:tcW w:type="dxa" w:w="3120"/>
          </w:tcPr>
          <w:p>
            <w:pPr>
              <w:spacing w:line="240" w:lineRule="auto" w:after="40" w:before="40"/>
            </w:pPr>
            <w:r>
              <w:rPr>
                <w:rFonts w:ascii="Times New Roman" w:hAnsi="Times New Roman"/>
                <w:sz w:val="18"/>
              </w:rPr>
              <w:t>Not a focus. Cited only where resilience literature supplies conditional-effect precedents (§2.4, §7.2).</w:t>
            </w:r>
          </w:p>
        </w:tc>
        <w:tc>
          <w:tcPr>
            <w:tcW w:type="dxa" w:w="3120"/>
          </w:tcPr>
          <w:p>
            <w:pPr>
              <w:spacing w:line="240" w:lineRule="auto" w:after="40" w:before="40"/>
            </w:pPr>
            <w:r>
              <w:rPr>
                <w:rFonts w:ascii="Times New Roman" w:hAnsi="Times New Roman"/>
                <w:sz w:val="18"/>
              </w:rPr>
              <w:t>Deliberately light</w:t>
            </w:r>
          </w:p>
        </w:tc>
      </w:tr>
      <w:tr>
        <w:tc>
          <w:tcPr>
            <w:tcW w:type="dxa" w:w="3120"/>
          </w:tcPr>
          <w:p>
            <w:pPr>
              <w:spacing w:line="240" w:lineRule="auto" w:after="40" w:before="40"/>
            </w:pPr>
            <w:r>
              <w:rPr>
                <w:rFonts w:ascii="Times New Roman" w:hAnsi="Times New Roman"/>
                <w:sz w:val="18"/>
              </w:rPr>
              <w:t>SDGs</w:t>
            </w:r>
          </w:p>
        </w:tc>
        <w:tc>
          <w:tcPr>
            <w:tcW w:type="dxa" w:w="3120"/>
          </w:tcPr>
          <w:p>
            <w:pPr>
              <w:spacing w:line="240" w:lineRule="auto" w:after="40" w:before="40"/>
            </w:pPr>
            <w:r>
              <w:rPr>
                <w:rFonts w:ascii="Times New Roman" w:hAnsi="Times New Roman"/>
                <w:sz w:val="18"/>
              </w:rPr>
              <w:t>§10, final subsection: SDG 12 (primary), 9, 13, plus 2 and 8 in the setting</w:t>
            </w:r>
          </w:p>
        </w:tc>
        <w:tc>
          <w:tcPr>
            <w:tcW w:type="dxa" w:w="3120"/>
          </w:tcPr>
          <w:p>
            <w:pPr>
              <w:spacing w:line="240" w:lineRule="auto" w:after="40" w:before="40"/>
            </w:pPr>
            <w:r>
              <w:rPr>
                <w:rFonts w:ascii="Times New Roman" w:hAnsi="Times New Roman"/>
                <w:sz w:val="18"/>
              </w:rPr>
              <w:t>Moderate, deliberately conservative</w:t>
            </w:r>
          </w:p>
        </w:tc>
      </w:tr>
      <w:tr>
        <w:tc>
          <w:tcPr>
            <w:tcW w:type="dxa" w:w="3120"/>
          </w:tcPr>
          <w:p>
            <w:pPr>
              <w:spacing w:line="240" w:lineRule="auto" w:after="40" w:before="40"/>
            </w:pPr>
            <w:r>
              <w:rPr>
                <w:rFonts w:ascii="Times New Roman" w:hAnsi="Times New Roman"/>
                <w:sz w:val="18"/>
              </w:rPr>
              <w:t>Policy and governance for industrial decarbonisation</w:t>
            </w:r>
          </w:p>
        </w:tc>
        <w:tc>
          <w:tcPr>
            <w:tcW w:type="dxa" w:w="3120"/>
          </w:tcPr>
          <w:p>
            <w:pPr>
              <w:spacing w:line="240" w:lineRule="auto" w:after="40" w:before="40"/>
            </w:pPr>
            <w:r>
              <w:rPr>
                <w:rFonts w:ascii="Times New Roman" w:hAnsi="Times New Roman"/>
                <w:sz w:val="18"/>
              </w:rPr>
              <w:t>§11 in full (6 instrument classes: transparency mandates, Scope 3 obligations, EPR, CBAM, standard setting, intermediary bodies)</w:t>
            </w:r>
          </w:p>
        </w:tc>
        <w:tc>
          <w:tcPr>
            <w:tcW w:type="dxa" w:w="3120"/>
          </w:tcPr>
          <w:p>
            <w:pPr>
              <w:spacing w:line="240" w:lineRule="auto" w:after="40" w:before="40"/>
            </w:pPr>
            <w:r>
              <w:rPr>
                <w:rFonts w:ascii="Times New Roman" w:hAnsi="Times New Roman"/>
                <w:sz w:val="18"/>
              </w:rPr>
              <w:t>Core</w:t>
            </w:r>
          </w:p>
        </w:tc>
      </w:tr>
    </w:tbl>
    <w:p>
      <w:pPr>
        <w:spacing w:line="240" w:lineRule="auto"/>
      </w:pPr>
    </w:p>
    <w:p>
      <w:pPr>
        <w:spacing w:after="120"/>
        <w:ind w:firstLine="0"/>
      </w:pPr>
      <w:r>
        <w:rPr>
          <w:b/>
        </w:rPr>
        <w:t>Honest caveat on the carbon claim.</w:t>
      </w:r>
      <w:r>
        <w:t xml:space="preserve"> The instrument measures material and monetary flows, not emissions. The environmental dimension of CVCP proxies avoided loss, not measured avoided emissions. The revision states this explicitly in §12 and does not overclaim. Adding carbon-denominated items would invalidate the three completed validation rounds, so it is positioned as the highest-value next instrument development rather than quietly asserted. A reviewer who probes the carbon framing will find the limitation already conceded, which is a far better position than being caught out.</w:t>
      </w:r>
    </w:p>
    <w:p>
      <w:pPr>
        <w:pStyle w:val="Heading1"/>
      </w:pPr>
      <w:r>
        <w:t>9. Deliverable 9 — Final editorial assessment</w:t>
      </w:r>
    </w:p>
    <w:p>
      <w:pPr>
        <w:pStyle w:val="Heading2"/>
      </w:pPr>
      <w:r>
        <w:t>9.1 Remaining weaknesses, in order of how likely each is to cause rejection</w:t>
      </w:r>
    </w:p>
    <w:p>
      <w:pPr>
        <w:spacing w:after="120"/>
        <w:ind w:firstLine="0"/>
      </w:pPr>
      <w:r>
        <w:rPr>
          <w:b/>
        </w:rPr>
        <w:t>1. The paper reports no structural results. (Severity: critical.)</w:t>
      </w:r>
    </w:p>
    <w:p>
      <w:pPr>
        <w:spacing w:after="120"/>
        <w:ind w:firstLine="0"/>
      </w:pPr>
      <w:r>
        <w:rPr>
          <w:i/>
        </w:rPr>
        <w:t>IJPR</w:t>
      </w:r>
      <w:r>
        <w:t xml:space="preserve"> is an empirical and analytical journal. It publishes surveys, models, simulations, case studies and reviews. It very rarely publishes research protocols, and a Special Issue titled "From Vision to Practice" invites a reviewer to observe that the paper does not reach practice. Three options:</w:t>
      </w:r>
    </w:p>
    <w:p>
      <w:pPr>
        <w:pStyle w:val="ListBullet"/>
        <w:spacing w:line="480" w:lineRule="auto"/>
      </w:pPr>
      <w:r>
        <w:rPr>
          <w:b/>
        </w:rPr>
        <w:t>(a) Field the survey first — strongly recommended.</w:t>
      </w:r>
      <w:r>
        <w:t xml:space="preserve"> The instrument is validated and the protocol is written. With </w:t>
      </w:r>
      <w:r>
        <w:rPr>
          <w:i/>
        </w:rPr>
        <w:t>n</w:t>
      </w:r>
      <w:r>
        <w:t xml:space="preserve"> ≥ 350 the paper becomes a conventional empirical submission with an unusually strong measurement pedigree and a genuinely novel construct. This is the option most likely to result in acceptance.</w:t>
      </w:r>
    </w:p>
    <w:p>
      <w:pPr>
        <w:pStyle w:val="ListBullet"/>
        <w:spacing w:line="480" w:lineRule="auto"/>
      </w:pPr>
      <w:r>
        <w:rPr>
          <w:b/>
        </w:rPr>
        <w:t>(b) Submit as a scale-development paper.</w:t>
      </w:r>
      <w:r>
        <w:t xml:space="preserve"> Reframe the contribution as instrument development, with the structural model presented as the nomological network to be tested. This requires foregrounding §5.5, adding a pilot EFA/CFA on even 120–150 responses, and retitling toward "development and validation of a measure of…". Publishable, but the interesting claim (the governance contingency) becomes a promise.</w:t>
      </w:r>
    </w:p>
    <w:p>
      <w:pPr>
        <w:pStyle w:val="ListBullet"/>
        <w:spacing w:line="480" w:lineRule="auto"/>
      </w:pPr>
      <w:r>
        <w:rPr>
          <w:b/>
        </w:rPr>
        <w:t>(c) Submit as a conceptual/position paper.</w:t>
      </w:r>
      <w:r>
        <w:t xml:space="preserve"> Lowest probability of success at </w:t>
      </w:r>
      <w:r>
        <w:rPr>
          <w:i/>
        </w:rPr>
        <w:t>IJPR</w:t>
      </w:r>
      <w:r>
        <w:t xml:space="preserve">. If pursued, target a journal that publishes theory papers in this space and keep </w:t>
      </w:r>
      <w:r>
        <w:rPr>
          <w:i/>
        </w:rPr>
        <w:t>IJPR</w:t>
      </w:r>
      <w:r>
        <w:t xml:space="preserve"> for the empirical follow-up.</w:t>
      </w:r>
    </w:p>
    <w:p>
      <w:pPr>
        <w:spacing w:after="120"/>
        <w:ind w:firstLine="0"/>
      </w:pPr>
      <w:r>
        <w:t>If (a) is impossible before the deadline, an enquiry to the guest editors describing the paper's status precisely is worth more than a speculative submission.</w:t>
      </w:r>
    </w:p>
    <w:p>
      <w:pPr>
        <w:spacing w:after="120"/>
        <w:ind w:firstLine="0"/>
      </w:pPr>
      <w:r>
        <w:rPr>
          <w:b/>
        </w:rPr>
        <w:t>2. Length. (Severity: high.)</w:t>
      </w:r>
      <w:r>
        <w:t xml:space="preserve"> The revised body is ~14,500 words excluding tables and references; </w:t>
      </w:r>
      <w:r>
        <w:rPr>
          <w:i/>
        </w:rPr>
        <w:t>IJPR</w:t>
      </w:r>
      <w:r>
        <w:t xml:space="preserve"> expects roughly 8,000–10,000. A concrete reduction plan to ~10,000:</w:t>
      </w:r>
    </w:p>
    <w:p>
      <w:pPr>
        <w:pStyle w:val="ListBullet"/>
        <w:spacing w:line="480" w:lineRule="auto"/>
      </w:pPr>
      <w:r>
        <w:t>§2 literature review: −1,800. It is now comprehensive to the point of being a review. Compress §2.4 and §2.5 into single tighter subsections and move the enumerated citation lists into Table 1.</w:t>
      </w:r>
    </w:p>
    <w:p>
      <w:pPr>
        <w:pStyle w:val="ListBullet"/>
        <w:spacing w:line="480" w:lineRule="auto"/>
      </w:pPr>
      <w:r>
        <w:t>§9 managerial implications: −700. Seven audiences is generous; merge to four (production/operations; sustainability and ESG; lead manufacturers and intermediary bodies; technology providers).</w:t>
      </w:r>
    </w:p>
    <w:p>
      <w:pPr>
        <w:pStyle w:val="ListBullet"/>
        <w:spacing w:line="480" w:lineRule="auto"/>
      </w:pPr>
      <w:r>
        <w:t>§10 and §11: −800 combined. Merge the SDG subsection into a short paragraph; cut the CBAM subsection if the target readership is not EU-facing.</w:t>
      </w:r>
    </w:p>
    <w:p>
      <w:pPr>
        <w:pStyle w:val="ListBullet"/>
        <w:spacing w:line="480" w:lineRule="auto"/>
      </w:pPr>
      <w:r>
        <w:t>§12: −400. The six research directions can be three sentences each rather than a paragraph each.</w:t>
      </w:r>
    </w:p>
    <w:p>
      <w:pPr>
        <w:pStyle w:val="ListBullet"/>
        <w:spacing w:line="480" w:lineRule="auto"/>
      </w:pPr>
      <w:r>
        <w:t>§7: −300. The three convergences can be compressed once the literature review is shorter.</w:t>
      </w:r>
    </w:p>
    <w:p>
      <w:pPr>
        <w:pStyle w:val="ListBullet"/>
        <w:spacing w:line="480" w:lineRule="auto"/>
      </w:pPr>
      <w:r>
        <w:t>§1: −300. The roadmap paragraph can be two sentences.</w:t>
      </w:r>
    </w:p>
    <w:p>
      <w:pPr>
        <w:spacing w:after="120"/>
        <w:ind w:firstLine="0"/>
      </w:pPr>
      <w:r>
        <w:rPr>
          <w:b/>
        </w:rPr>
        <w:t>3. Reference count. (Severity: moderate.)</w:t>
      </w:r>
      <w:r>
        <w:t xml:space="preserve"> 155 references is high even for a paper with a large literature base. Trim to ~115–120 by removing the second-order citations added for breadth in §2.4 and §2.5 (each subsection currently carries 8–12 supporting citations where 4–6 would do). Every added reference has been Crossref-verified, but </w:t>
      </w:r>
      <w:r>
        <w:rPr>
          <w:b/>
        </w:rPr>
        <w:t>verify each against the publisher record before submission</w:t>
      </w:r>
      <w:r>
        <w:t>: several are "in press" articles whose volume, issue and page numbers will have been assigned by the time you submit, and a handful have 2026 online-first dates that may shift.</w:t>
      </w:r>
    </w:p>
    <w:p>
      <w:pPr>
        <w:spacing w:after="120"/>
        <w:ind w:firstLine="0"/>
      </w:pPr>
      <w:r>
        <w:rPr>
          <w:b/>
        </w:rPr>
        <w:t>4. The setting still requires the reviewer to accept a premise. (Severity: moderate.)</w:t>
      </w:r>
      <w:r>
        <w:t xml:space="preserve"> Fruit processing is manufacturing, and the revision argues this with precedents. But a reviewer whose mental model of </w:t>
      </w:r>
      <w:r>
        <w:rPr>
          <w:i/>
        </w:rPr>
        <w:t>IJPR</w:t>
      </w:r>
      <w:r>
        <w:t xml:space="preserve"> is discrete-parts manufacturing may still resist. Two strengthening moves: (i) report the number and size distribution of the processing units and Common Facility Centres in the sampling frame, which makes the manufacturing tier concrete rather than asserted; (ii) add one paragraph in §5.2 explaining the process technology involved (grading, extraction, pasteurisation, concentration, peel and pomace processing) so that the production system is visible as a production system.</w:t>
      </w:r>
    </w:p>
    <w:p>
      <w:pPr>
        <w:spacing w:after="120"/>
        <w:ind w:firstLine="0"/>
      </w:pPr>
      <w:r>
        <w:rPr>
          <w:b/>
        </w:rPr>
        <w:t>5. The construct's antecedent is the weakest scale. (Severity: moderate.)</w:t>
      </w:r>
      <w:r>
        <w:t xml:space="preserve"> CAC sits at 0.889 against a 0.90 criterion, and it is the model's antecedent. The revision reports this prominently and diagnoses it (the recovery-valuation dimension, where no prior instrument exists). Before fielding, run the cheap fix: revise the three weakest CAC items and re-rate with the same panel. A fourth round costs little and removes the one measurement objection a careful reviewer will certainly raise.</w:t>
      </w:r>
    </w:p>
    <w:p>
      <w:pPr>
        <w:spacing w:after="120"/>
        <w:ind w:firstLine="0"/>
      </w:pPr>
      <w:r>
        <w:rPr>
          <w:b/>
        </w:rPr>
        <w:t>6. The placement task was not repeated after twelve items were reworded. (Severity: low–moderate.)</w:t>
      </w:r>
      <w:r>
        <w:t xml:space="preserve"> Conceded in §5.5 and §12. A single confirmatory placement round with the same eight-member panel closes this and takes days, not months.</w:t>
      </w:r>
    </w:p>
    <w:p>
      <w:pPr>
        <w:spacing w:after="120"/>
        <w:ind w:firstLine="0"/>
      </w:pPr>
      <w:r>
        <w:rPr>
          <w:b/>
        </w:rPr>
        <w:t>7. Two control items (IS2, IS3) are double-barrelled and below threshold. (Severity: low.)</w:t>
      </w:r>
      <w:r>
        <w:t xml:space="preserve"> Fix before fielding; it is a wording change.</w:t>
      </w:r>
    </w:p>
    <w:p>
      <w:pPr>
        <w:spacing w:after="120"/>
        <w:ind w:firstLine="0"/>
      </w:pPr>
      <w:r>
        <w:rPr>
          <w:b/>
        </w:rPr>
        <w:t>8. The carbon claim is framed, not measured. (Severity: low, because it is conceded.)</w:t>
      </w:r>
      <w:r>
        <w:t xml:space="preserve"> See the caveat in §8 of this pack. The risk is only that a reviewer reads the title's "net-zero" and expects emissions data. Mitigate by making the first sentence of §5.1 state plainly that the instrument is denominated in material and monetary units.</w:t>
      </w:r>
    </w:p>
    <w:p>
      <w:pPr>
        <w:spacing w:after="120"/>
        <w:ind w:firstLine="0"/>
      </w:pPr>
      <w:r>
        <w:rPr>
          <w:b/>
        </w:rPr>
        <w:t>9. Nine hypotheses with no results is a lot of apparatus. (Severity: low.)</w:t>
      </w:r>
      <w:r>
        <w:t xml:space="preserve"> If option (b) above is taken, consider presenting H1–H9 as a table plus two paragraphs rather than nine developed arguments, and reallocating the space to the measurement contribution.</w:t>
      </w:r>
    </w:p>
    <w:p>
      <w:pPr>
        <w:spacing w:after="120"/>
        <w:ind w:firstLine="0"/>
      </w:pPr>
      <w:r>
        <w:rPr>
          <w:b/>
        </w:rPr>
        <w:t>10. Single-authored generative-AI declaration. (Severity: low, but check.)</w:t>
      </w:r>
      <w:r>
        <w:t xml:space="preserve"> The declaration is retained. Confirm it matches Taylor &amp; Francis's current AI policy wording and placement requirements for the journal, which differ from Elsevier's.</w:t>
      </w:r>
    </w:p>
    <w:p>
      <w:pPr>
        <w:pStyle w:val="Heading2"/>
      </w:pPr>
      <w:r>
        <w:t>9.2 What is genuinely strong, and should not be edited away</w:t>
      </w:r>
    </w:p>
    <w:p>
      <w:pPr>
        <w:pStyle w:val="ListBullet"/>
        <w:spacing w:line="480" w:lineRule="auto"/>
      </w:pPr>
      <w:r>
        <w:rPr>
          <w:b/>
        </w:rPr>
        <w:t>The construct is novel and the novelty is defensible.</w:t>
      </w:r>
      <w:r>
        <w:t xml:space="preserve"> Inter-organisational circular accounting capability does not exist as a measured construct, and the discriminant work anticipates the objections that matter.</w:t>
      </w:r>
    </w:p>
    <w:p>
      <w:pPr>
        <w:pStyle w:val="ListBullet"/>
        <w:spacing w:line="480" w:lineRule="auto"/>
      </w:pPr>
      <w:r>
        <w:rPr>
          <w:b/>
        </w:rPr>
        <w:t>The specification analysis is unusual and impressive.</w:t>
      </w:r>
      <w:r>
        <w:t xml:space="preserve"> Rejecting the four-link chain with explicit attenuation arithmetic, before collecting data, pre-empts the single most common reviewer suggestion ("why not put governance in the chain?"). Keep Table 3.</w:t>
      </w:r>
    </w:p>
    <w:p>
      <w:pPr>
        <w:pStyle w:val="ListBullet"/>
        <w:spacing w:line="480" w:lineRule="auto"/>
      </w:pPr>
      <w:r>
        <w:rPr>
          <w:b/>
        </w:rPr>
        <w:t>Reporting a failed validation round is a real methodological virtue.</w:t>
      </w:r>
      <w:r>
        <w:t xml:space="preserve"> Round one failed; the cause is disclosed; the design separates composition effects from revision effects. Most papers would have reported round three only. Do not remove this under length pressure.</w:t>
      </w:r>
    </w:p>
    <w:p>
      <w:pPr>
        <w:pStyle w:val="ListBullet"/>
        <w:spacing w:line="480" w:lineRule="auto"/>
      </w:pPr>
      <w:r>
        <w:rPr>
          <w:b/>
        </w:rPr>
        <w:t>Power was computed against the interaction, not the largest path.</w:t>
      </w:r>
      <w:r>
        <w:t xml:space="preserve"> This is the correct choice and it is rare. Keep Table 6.</w:t>
      </w:r>
    </w:p>
    <w:p>
      <w:pPr>
        <w:pStyle w:val="ListBullet"/>
        <w:spacing w:line="480" w:lineRule="auto"/>
      </w:pPr>
      <w:r>
        <w:rPr>
          <w:b/>
        </w:rPr>
        <w:t>The failure conditions are stated in advance.</w:t>
      </w:r>
      <w:r>
        <w:t xml:space="preserve"> §4.4 is the paper's strongest signal of scientific seriousness.</w:t>
      </w:r>
    </w:p>
    <w:p>
      <w:pPr>
        <w:pStyle w:val="ListBullet"/>
        <w:spacing w:line="480" w:lineRule="auto"/>
      </w:pPr>
      <w:r>
        <w:rPr>
          <w:b/>
        </w:rPr>
        <w:t>The governance-as-conversion argument now explains an actual anomaly</w:t>
      </w:r>
      <w:r>
        <w:t xml:space="preserve"> — the inconsistent sign on transparency effects across recent studies. That is a contribution a reviewer can see the value of immediately.</w:t>
      </w:r>
    </w:p>
    <w:p>
      <w:pPr>
        <w:pStyle w:val="Heading2"/>
      </w:pPr>
      <w:r>
        <w:t>9.3 Pre-submission checklist</w:t>
      </w:r>
    </w:p>
    <w:p>
      <w:pPr>
        <w:pStyle w:val="ListBullet"/>
        <w:spacing w:line="480" w:lineRule="auto"/>
      </w:pPr>
      <w:r>
        <w:t>Decide between options (a), (b) and (c) in §9.1(1). This decision governs everything else.</w:t>
      </w:r>
    </w:p>
    <w:p>
      <w:pPr>
        <w:pStyle w:val="ListBullet"/>
        <w:spacing w:line="480" w:lineRule="auto"/>
      </w:pPr>
      <w:r>
        <w:t>Reduce body to ~10,000 words using the plan in §9.1(2).</w:t>
      </w:r>
    </w:p>
    <w:p>
      <w:pPr>
        <w:pStyle w:val="ListBullet"/>
        <w:spacing w:line="480" w:lineRule="auto"/>
      </w:pPr>
      <w:r>
        <w:t>Trim references to ~115–120 and verify every added entry against the publisher record.</w:t>
      </w:r>
    </w:p>
    <w:p>
      <w:pPr>
        <w:pStyle w:val="ListBullet"/>
        <w:spacing w:line="480" w:lineRule="auto"/>
      </w:pPr>
      <w:r>
        <w:t>Confirm the live call: guest editors, submission deadline, article type, word limit, and whether the call names foundational works to be engaged. Fill the bracketed slots in the cover letter.</w:t>
      </w:r>
    </w:p>
    <w:p>
      <w:pPr>
        <w:pStyle w:val="ListBullet"/>
        <w:spacing w:line="480" w:lineRule="auto"/>
      </w:pPr>
      <w:r>
        <w:t xml:space="preserve">Confirm the current </w:t>
      </w:r>
      <w:r>
        <w:rPr>
          <w:i/>
        </w:rPr>
        <w:t>IJPR</w:t>
      </w:r>
      <w:r>
        <w:t xml:space="preserve"> reference style and table/figure conventions against the live Instructions for Authors.</w:t>
      </w:r>
    </w:p>
    <w:p>
      <w:pPr>
        <w:pStyle w:val="ListBullet"/>
        <w:spacing w:line="480" w:lineRule="auto"/>
      </w:pPr>
      <w:r>
        <w:t>Run the fourth expert round on the three weakest CAC items and the confirmatory placement check.</w:t>
      </w:r>
    </w:p>
    <w:p>
      <w:pPr>
        <w:pStyle w:val="ListBullet"/>
        <w:spacing w:line="480" w:lineRule="auto"/>
      </w:pPr>
      <w:r>
        <w:t>Repair IS2 and IS3 (double-barrelled).</w:t>
      </w:r>
    </w:p>
    <w:p>
      <w:pPr>
        <w:pStyle w:val="ListBullet"/>
        <w:spacing w:line="480" w:lineRule="auto"/>
      </w:pPr>
      <w:r>
        <w:t>Supply Appendix A (the 46-item instrument with source codes) — referenced in §5.5 and required.</w:t>
      </w:r>
    </w:p>
    <w:p>
      <w:pPr>
        <w:pStyle w:val="ListBullet"/>
        <w:spacing w:line="480" w:lineRule="auto"/>
      </w:pPr>
      <w:r>
        <w:t>Supply Appendix B (panel composition, item-level results) and Appendix C (scoring script, raw returns) — the original referred to Tables BI–BIII and CI, which are not in the file provided.</w:t>
      </w:r>
    </w:p>
    <w:p>
      <w:pPr>
        <w:pStyle w:val="ListBullet"/>
        <w:spacing w:line="480" w:lineRule="auto"/>
      </w:pPr>
      <w:r>
        <w:t>Regenerate Figures 1–4 at ≥ 300 dpi as separate files if the journal requires figures uploaded separately.</w:t>
      </w:r>
    </w:p>
    <w:p>
      <w:pPr>
        <w:pStyle w:val="ListBullet"/>
        <w:spacing w:line="480" w:lineRule="auto"/>
      </w:pPr>
      <w:r>
        <w:t>Check that Figure 2's caption still states that it illustrates a hypothesis and is not a result. (It does.)</w:t>
      </w:r>
    </w:p>
    <w:p>
      <w:pPr>
        <w:pStyle w:val="ListBullet"/>
        <w:spacing w:line="480" w:lineRule="auto"/>
      </w:pPr>
      <w:r>
        <w:t>Add ORCID, funding statement and ethics approval statement for human-subjects research, which will be required for the survey.</w:t>
      </w:r>
    </w:p>
    <w:p>
      <w:pPr>
        <w:pStyle w:val="Heading1"/>
      </w:pPr>
      <w:r>
        <w:t>10. Deliverable 8 — Additional recent references incorporated (83)</w:t>
      </w:r>
    </w:p>
    <w:p>
      <w:pPr>
        <w:spacing w:after="120"/>
        <w:ind w:firstLine="0"/>
      </w:pPr>
      <w:r>
        <w:t xml:space="preserve">All entries below were retrieved and their bibliographic metadata verified against the Crossref registry (author list, year, journal, volume, issue, pages, DOI). Entries marked </w:t>
      </w:r>
      <w:r>
        <w:rPr>
          <w:i/>
        </w:rPr>
        <w:t>in press</w:t>
      </w:r>
      <w:r>
        <w:t xml:space="preserve"> had no volume/issue/page assignment at the time of retrieval; </w:t>
      </w:r>
      <w:r>
        <w:rPr>
          <w:b/>
        </w:rPr>
        <w:t>these must be re-checked against the publisher record before submission.</w:t>
      </w:r>
      <w:r>
        <w:t xml:space="preserve"> Every one of these references is cited in the body of the revised manuscript — none is padding.</w:t>
      </w:r>
    </w:p>
    <w:tbl>
      <w:tblPr>
        <w:tblStyle w:val="TableGrid"/>
        <w:tblW w:type="auto" w:w="0"/>
        <w:jc w:val="center"/>
        <w:tblLook w:firstColumn="1" w:firstRow="1" w:lastColumn="0" w:lastRow="0" w:noHBand="0" w:noVBand="1" w:val="04A0"/>
      </w:tblPr>
      <w:tblGrid>
        <w:gridCol w:w="4680"/>
        <w:gridCol w:w="4680"/>
      </w:tblGrid>
      <w:tr>
        <w:tc>
          <w:tcPr>
            <w:tcW w:type="dxa" w:w="4680"/>
            <w:shd w:val="clear" w:fill="EFEFEF"/>
          </w:tcPr>
          <w:p>
            <w:pPr>
              <w:spacing w:line="240" w:lineRule="auto" w:after="40" w:before="40"/>
            </w:pPr>
            <w:r>
              <w:rPr>
                <w:rFonts w:ascii="Times New Roman" w:hAnsi="Times New Roman"/>
                <w:b/>
                <w:sz w:val="18"/>
              </w:rPr>
              <w:t>Journal</w:t>
            </w:r>
          </w:p>
        </w:tc>
        <w:tc>
          <w:tcPr>
            <w:tcW w:type="dxa" w:w="4680"/>
            <w:shd w:val="clear" w:fill="EFEFEF"/>
          </w:tcPr>
          <w:p>
            <w:pPr>
              <w:spacing w:line="240" w:lineRule="auto" w:after="40" w:before="40"/>
            </w:pPr>
            <w:r>
              <w:rPr>
                <w:rFonts w:ascii="Times New Roman" w:hAnsi="Times New Roman"/>
                <w:b/>
                <w:sz w:val="18"/>
              </w:rPr>
              <w:t>Count</w:t>
            </w:r>
          </w:p>
        </w:tc>
      </w:tr>
      <w:tr>
        <w:tc>
          <w:tcPr>
            <w:tcW w:type="dxa" w:w="4680"/>
          </w:tcPr>
          <w:p>
            <w:pPr>
              <w:spacing w:line="240" w:lineRule="auto" w:after="40" w:before="40"/>
            </w:pPr>
            <w:r>
              <w:rPr>
                <w:rFonts w:ascii="Times New Roman" w:hAnsi="Times New Roman"/>
                <w:sz w:val="18"/>
              </w:rPr>
              <w:t>IJPR</w:t>
            </w:r>
          </w:p>
        </w:tc>
        <w:tc>
          <w:tcPr>
            <w:tcW w:type="dxa" w:w="4680"/>
          </w:tcPr>
          <w:p>
            <w:pPr>
              <w:spacing w:line="240" w:lineRule="auto" w:after="40" w:before="40"/>
            </w:pPr>
            <w:r>
              <w:rPr>
                <w:rFonts w:ascii="Times New Roman" w:hAnsi="Times New Roman"/>
                <w:sz w:val="18"/>
              </w:rPr>
              <w:t>16</w:t>
            </w:r>
          </w:p>
        </w:tc>
      </w:tr>
      <w:tr>
        <w:tc>
          <w:tcPr>
            <w:tcW w:type="dxa" w:w="4680"/>
          </w:tcPr>
          <w:p>
            <w:pPr>
              <w:spacing w:line="240" w:lineRule="auto" w:after="40" w:before="40"/>
            </w:pPr>
            <w:r>
              <w:rPr>
                <w:rFonts w:ascii="Times New Roman" w:hAnsi="Times New Roman"/>
                <w:sz w:val="18"/>
              </w:rPr>
              <w:t>IJPE</w:t>
            </w:r>
          </w:p>
        </w:tc>
        <w:tc>
          <w:tcPr>
            <w:tcW w:type="dxa" w:w="4680"/>
          </w:tcPr>
          <w:p>
            <w:pPr>
              <w:spacing w:line="240" w:lineRule="auto" w:after="40" w:before="40"/>
            </w:pPr>
            <w:r>
              <w:rPr>
                <w:rFonts w:ascii="Times New Roman" w:hAnsi="Times New Roman"/>
                <w:sz w:val="18"/>
              </w:rPr>
              <w:t>21</w:t>
            </w:r>
          </w:p>
        </w:tc>
      </w:tr>
      <w:tr>
        <w:tc>
          <w:tcPr>
            <w:tcW w:type="dxa" w:w="4680"/>
          </w:tcPr>
          <w:p>
            <w:pPr>
              <w:spacing w:line="240" w:lineRule="auto" w:after="40" w:before="40"/>
            </w:pPr>
            <w:r>
              <w:rPr>
                <w:rFonts w:ascii="Times New Roman" w:hAnsi="Times New Roman"/>
                <w:sz w:val="18"/>
              </w:rPr>
              <w:t>PPC</w:t>
            </w:r>
          </w:p>
        </w:tc>
        <w:tc>
          <w:tcPr>
            <w:tcW w:type="dxa" w:w="4680"/>
          </w:tcPr>
          <w:p>
            <w:pPr>
              <w:spacing w:line="240" w:lineRule="auto" w:after="40" w:before="40"/>
            </w:pPr>
            <w:r>
              <w:rPr>
                <w:rFonts w:ascii="Times New Roman" w:hAnsi="Times New Roman"/>
                <w:sz w:val="18"/>
              </w:rPr>
              <w:t>11</w:t>
            </w:r>
          </w:p>
        </w:tc>
      </w:tr>
      <w:tr>
        <w:tc>
          <w:tcPr>
            <w:tcW w:type="dxa" w:w="4680"/>
          </w:tcPr>
          <w:p>
            <w:pPr>
              <w:spacing w:line="240" w:lineRule="auto" w:after="40" w:before="40"/>
            </w:pPr>
            <w:r>
              <w:rPr>
                <w:rFonts w:ascii="Times New Roman" w:hAnsi="Times New Roman"/>
                <w:sz w:val="18"/>
              </w:rPr>
              <w:t>JCP</w:t>
            </w:r>
          </w:p>
        </w:tc>
        <w:tc>
          <w:tcPr>
            <w:tcW w:type="dxa" w:w="4680"/>
          </w:tcPr>
          <w:p>
            <w:pPr>
              <w:spacing w:line="240" w:lineRule="auto" w:after="40" w:before="40"/>
            </w:pPr>
            <w:r>
              <w:rPr>
                <w:rFonts w:ascii="Times New Roman" w:hAnsi="Times New Roman"/>
                <w:sz w:val="18"/>
              </w:rPr>
              <w:t>9</w:t>
            </w:r>
          </w:p>
        </w:tc>
      </w:tr>
      <w:tr>
        <w:tc>
          <w:tcPr>
            <w:tcW w:type="dxa" w:w="4680"/>
          </w:tcPr>
          <w:p>
            <w:pPr>
              <w:spacing w:line="240" w:lineRule="auto" w:after="40" w:before="40"/>
            </w:pPr>
            <w:r>
              <w:rPr>
                <w:rFonts w:ascii="Times New Roman" w:hAnsi="Times New Roman"/>
                <w:sz w:val="18"/>
              </w:rPr>
              <w:t>TFSC</w:t>
            </w:r>
          </w:p>
        </w:tc>
        <w:tc>
          <w:tcPr>
            <w:tcW w:type="dxa" w:w="4680"/>
          </w:tcPr>
          <w:p>
            <w:pPr>
              <w:spacing w:line="240" w:lineRule="auto" w:after="40" w:before="40"/>
            </w:pPr>
            <w:r>
              <w:rPr>
                <w:rFonts w:ascii="Times New Roman" w:hAnsi="Times New Roman"/>
                <w:sz w:val="18"/>
              </w:rPr>
              <w:t>6</w:t>
            </w:r>
          </w:p>
        </w:tc>
      </w:tr>
      <w:tr>
        <w:tc>
          <w:tcPr>
            <w:tcW w:type="dxa" w:w="4680"/>
          </w:tcPr>
          <w:p>
            <w:pPr>
              <w:spacing w:line="240" w:lineRule="auto" w:after="40" w:before="40"/>
            </w:pPr>
            <w:r>
              <w:rPr>
                <w:rFonts w:ascii="Times New Roman" w:hAnsi="Times New Roman"/>
                <w:sz w:val="18"/>
              </w:rPr>
              <w:t>SCM:IJ</w:t>
            </w:r>
          </w:p>
        </w:tc>
        <w:tc>
          <w:tcPr>
            <w:tcW w:type="dxa" w:w="4680"/>
          </w:tcPr>
          <w:p>
            <w:pPr>
              <w:spacing w:line="240" w:lineRule="auto" w:after="40" w:before="40"/>
            </w:pPr>
            <w:r>
              <w:rPr>
                <w:rFonts w:ascii="Times New Roman" w:hAnsi="Times New Roman"/>
                <w:sz w:val="18"/>
              </w:rPr>
              <w:t>7</w:t>
            </w:r>
          </w:p>
        </w:tc>
      </w:tr>
      <w:tr>
        <w:tc>
          <w:tcPr>
            <w:tcW w:type="dxa" w:w="4680"/>
          </w:tcPr>
          <w:p>
            <w:pPr>
              <w:spacing w:line="240" w:lineRule="auto" w:after="40" w:before="40"/>
            </w:pPr>
            <w:r>
              <w:rPr>
                <w:rFonts w:ascii="Times New Roman" w:hAnsi="Times New Roman"/>
                <w:sz w:val="18"/>
              </w:rPr>
              <w:t>IJOPM</w:t>
            </w:r>
          </w:p>
        </w:tc>
        <w:tc>
          <w:tcPr>
            <w:tcW w:type="dxa" w:w="4680"/>
          </w:tcPr>
          <w:p>
            <w:pPr>
              <w:spacing w:line="240" w:lineRule="auto" w:after="40" w:before="40"/>
            </w:pPr>
            <w:r>
              <w:rPr>
                <w:rFonts w:ascii="Times New Roman" w:hAnsi="Times New Roman"/>
                <w:sz w:val="18"/>
              </w:rPr>
              <w:t>4</w:t>
            </w:r>
          </w:p>
        </w:tc>
      </w:tr>
      <w:tr>
        <w:tc>
          <w:tcPr>
            <w:tcW w:type="dxa" w:w="4680"/>
          </w:tcPr>
          <w:p>
            <w:pPr>
              <w:spacing w:line="240" w:lineRule="auto" w:after="40" w:before="40"/>
            </w:pPr>
            <w:r>
              <w:rPr>
                <w:rFonts w:ascii="Times New Roman" w:hAnsi="Times New Roman"/>
                <w:sz w:val="18"/>
              </w:rPr>
              <w:t>BSE</w:t>
            </w:r>
          </w:p>
        </w:tc>
        <w:tc>
          <w:tcPr>
            <w:tcW w:type="dxa" w:w="4680"/>
          </w:tcPr>
          <w:p>
            <w:pPr>
              <w:spacing w:line="240" w:lineRule="auto" w:after="40" w:before="40"/>
            </w:pPr>
            <w:r>
              <w:rPr>
                <w:rFonts w:ascii="Times New Roman" w:hAnsi="Times New Roman"/>
                <w:sz w:val="18"/>
              </w:rPr>
              <w:t>4</w:t>
            </w:r>
          </w:p>
        </w:tc>
      </w:tr>
      <w:tr>
        <w:tc>
          <w:tcPr>
            <w:tcW w:type="dxa" w:w="4680"/>
          </w:tcPr>
          <w:p>
            <w:pPr>
              <w:spacing w:line="240" w:lineRule="auto" w:after="40" w:before="40"/>
            </w:pPr>
            <w:r>
              <w:rPr>
                <w:rFonts w:ascii="Times New Roman" w:hAnsi="Times New Roman"/>
                <w:sz w:val="18"/>
              </w:rPr>
              <w:t>IJLM</w:t>
            </w:r>
          </w:p>
        </w:tc>
        <w:tc>
          <w:tcPr>
            <w:tcW w:type="dxa" w:w="4680"/>
          </w:tcPr>
          <w:p>
            <w:pPr>
              <w:spacing w:line="240" w:lineRule="auto" w:after="40" w:before="40"/>
            </w:pPr>
            <w:r>
              <w:rPr>
                <w:rFonts w:ascii="Times New Roman" w:hAnsi="Times New Roman"/>
                <w:sz w:val="18"/>
              </w:rPr>
              <w:t>2</w:t>
            </w:r>
          </w:p>
        </w:tc>
      </w:tr>
      <w:tr>
        <w:tc>
          <w:tcPr>
            <w:tcW w:type="dxa" w:w="4680"/>
          </w:tcPr>
          <w:p>
            <w:pPr>
              <w:spacing w:line="240" w:lineRule="auto" w:after="40" w:before="40"/>
            </w:pPr>
            <w:r>
              <w:rPr>
                <w:rFonts w:ascii="Times New Roman" w:hAnsi="Times New Roman"/>
                <w:sz w:val="18"/>
              </w:rPr>
              <w:t>RCR</w:t>
            </w:r>
          </w:p>
        </w:tc>
        <w:tc>
          <w:tcPr>
            <w:tcW w:type="dxa" w:w="4680"/>
          </w:tcPr>
          <w:p>
            <w:pPr>
              <w:spacing w:line="240" w:lineRule="auto" w:after="40" w:before="40"/>
            </w:pPr>
            <w:r>
              <w:rPr>
                <w:rFonts w:ascii="Times New Roman" w:hAnsi="Times New Roman"/>
                <w:sz w:val="18"/>
              </w:rPr>
              <w:t>3</w:t>
            </w:r>
          </w:p>
        </w:tc>
      </w:tr>
    </w:tbl>
    <w:p>
      <w:pPr>
        <w:spacing w:line="240" w:lineRule="auto"/>
      </w:pPr>
    </w:p>
    <w:p>
      <w:pPr>
        <w:pStyle w:val="Heading2"/>
      </w:pPr>
      <w:r>
        <w:t>International Journal of Production Research (16)</w:t>
      </w:r>
    </w:p>
    <w:p>
      <w:pPr>
        <w:spacing w:after="120"/>
        <w:ind w:firstLine="0"/>
      </w:pPr>
      <w:r>
        <w:t xml:space="preserve">Bai, C., Q. Zhu, and J. Sarkis. 2022. "Circular Economy and Circularity Supplier Selection: A Fuzzy Group Decision Approach." </w:t>
      </w:r>
      <w:r>
        <w:rPr>
          <w:i/>
        </w:rPr>
        <w:t>International Journal of Production Research</w:t>
      </w:r>
      <w:r>
        <w:t xml:space="preserve"> 62 (7): 2307–2330.</w:t>
      </w:r>
    </w:p>
    <w:p>
      <w:pPr>
        <w:spacing w:after="120"/>
        <w:ind w:firstLine="0"/>
      </w:pPr>
      <w:r>
        <w:t xml:space="preserve">Blandino, G., and F. Montagna. 2025. "Social Sustainability in Manufacturing: Where Are We?" </w:t>
      </w:r>
      <w:r>
        <w:rPr>
          <w:i/>
        </w:rPr>
        <w:t>International Journal of Production Research</w:t>
      </w:r>
      <w:r>
        <w:t xml:space="preserve"> 63 (16): 6178–6201.</w:t>
      </w:r>
    </w:p>
    <w:p>
      <w:pPr>
        <w:spacing w:after="120"/>
        <w:ind w:firstLine="0"/>
      </w:pPr>
      <w:r>
        <w:t xml:space="preserve">Cappelletti, F., and M. Germani. 2023. "Carbon Reduction Engineering through Value Chains Intersection, Product and Process Re-Design, Industrial Processes' Scraps De-Manufacturing." </w:t>
      </w:r>
      <w:r>
        <w:rPr>
          <w:i/>
        </w:rPr>
        <w:t>International Journal of Production Research</w:t>
      </w:r>
      <w:r>
        <w:t xml:space="preserve"> 62 (18): 6801–6822.</w:t>
      </w:r>
    </w:p>
    <w:p>
      <w:pPr>
        <w:spacing w:after="120"/>
        <w:ind w:firstLine="0"/>
      </w:pPr>
      <w:r>
        <w:t xml:space="preserve">Castiglione, C., A. Alfieri, and E. Pastore. 2025. "Circular Economy at Scheduling Level: Influencing Factors and Impacts on System Performance." </w:t>
      </w:r>
      <w:r>
        <w:rPr>
          <w:i/>
        </w:rPr>
        <w:t>International Journal of Production Research</w:t>
      </w:r>
      <w:r>
        <w:t xml:space="preserve"> 64 (3): 1016–1037.</w:t>
      </w:r>
    </w:p>
    <w:p>
      <w:pPr>
        <w:spacing w:after="120"/>
        <w:ind w:firstLine="0"/>
      </w:pPr>
      <w:r>
        <w:t xml:space="preserve">Durak Uşar, D., and M. A. Soytas. 2022. "Sustainability Outcomes in Multi-Tier Supply Chains: An Empirical Study of Turkish Manufacturing Firms." </w:t>
      </w:r>
      <w:r>
        <w:rPr>
          <w:i/>
        </w:rPr>
        <w:t>International Journal of Production Research</w:t>
      </w:r>
      <w:r>
        <w:t xml:space="preserve"> 61 (14): 4625–4656.</w:t>
      </w:r>
    </w:p>
    <w:p>
      <w:pPr>
        <w:spacing w:after="120"/>
        <w:ind w:firstLine="0"/>
      </w:pPr>
      <w:r>
        <w:t xml:space="preserve">Grimm, J. H., J. S. Hofstetter, and J. Sarkis. 2022. "Corporate Sustainability Standards in Multi-Tier Supply Chains – An Institutional Entrepreneurship Perspective." </w:t>
      </w:r>
      <w:r>
        <w:rPr>
          <w:i/>
        </w:rPr>
        <w:t>International Journal of Production Research</w:t>
      </w:r>
      <w:r>
        <w:t xml:space="preserve"> 61 (14): 4702–4724.</w:t>
      </w:r>
    </w:p>
    <w:p>
      <w:pPr>
        <w:spacing w:after="120"/>
        <w:ind w:firstLine="0"/>
      </w:pPr>
      <w:r>
        <w:t xml:space="preserve">He, Y., C. Jiang, J. Dong, Y. Ding, and B. Chen. 2025. "Full Transparency or Restricted Visibility? Mechanisms of Blockchain Enabled Data Sharing in Supply Chain." </w:t>
      </w:r>
      <w:r>
        <w:rPr>
          <w:i/>
        </w:rPr>
        <w:t>International Journal of Production Research</w:t>
      </w:r>
      <w:r>
        <w:t xml:space="preserve"> 64 (4): 1227–1248.</w:t>
      </w:r>
    </w:p>
    <w:p>
      <w:pPr>
        <w:spacing w:after="120"/>
        <w:ind w:firstLine="0"/>
      </w:pPr>
      <w:r>
        <w:t xml:space="preserve">Jackson, I., D. Ivanov, A. Dolgui, and J. Namdar. 2024. "Generative Artificial Intelligence in Supply Chain and Operations Management: A Capability-Based Framework for Analysis and Implementation." </w:t>
      </w:r>
      <w:r>
        <w:rPr>
          <w:i/>
        </w:rPr>
        <w:t>International Journal of Production Research</w:t>
      </w:r>
      <w:r>
        <w:t xml:space="preserve"> 62 (17): 6120–6145.</w:t>
      </w:r>
    </w:p>
    <w:p>
      <w:pPr>
        <w:spacing w:after="120"/>
        <w:ind w:firstLine="0"/>
      </w:pPr>
      <w:r>
        <w:t xml:space="preserve">Kumar, D., R. K. Singh, R. Mishra, and I. Vlachos. 2023. "Big Data Analytics in Supply Chain Decarbonisation: A Systematic Literature Review and Future Research Directions." </w:t>
      </w:r>
      <w:r>
        <w:rPr>
          <w:i/>
        </w:rPr>
        <w:t>International Journal of Production Research</w:t>
      </w:r>
      <w:r>
        <w:t xml:space="preserve"> 62 (4): 1489–1509.</w:t>
      </w:r>
    </w:p>
    <w:p>
      <w:pPr>
        <w:spacing w:after="120"/>
        <w:ind w:firstLine="0"/>
      </w:pPr>
      <w:r>
        <w:t xml:space="preserve">Kusi-Sarpong, S., Y. Gong, S. Brown, H. Gupta, and C. Bai. 2023. "Multi-Tier Sustainable Supply Chains Management for Global Sustainability." </w:t>
      </w:r>
      <w:r>
        <w:rPr>
          <w:i/>
        </w:rPr>
        <w:t>International Journal of Production Research</w:t>
      </w:r>
      <w:r>
        <w:t xml:space="preserve"> 61 (14): 4592–4602.</w:t>
      </w:r>
    </w:p>
    <w:p>
      <w:pPr>
        <w:spacing w:after="120"/>
        <w:ind w:firstLine="0"/>
      </w:pPr>
      <w:r>
        <w:t xml:space="preserve">Leng, J., D. Mourtzis, Q. Liu, L. Xu, and A. Kusiak. 2026. "Advanced Models for Integrating Resilience and Sustainability in High-Performance Manufacturing Systems towards Industry 5.0." </w:t>
      </w:r>
      <w:r>
        <w:rPr>
          <w:i/>
        </w:rPr>
        <w:t>International Journal of Production Research</w:t>
      </w:r>
      <w:r>
        <w:t xml:space="preserve"> 64 (13): 5261–5269.</w:t>
      </w:r>
    </w:p>
    <w:p>
      <w:pPr>
        <w:spacing w:after="120"/>
        <w:ind w:firstLine="0"/>
      </w:pPr>
      <w:r>
        <w:t xml:space="preserve">Maheshwari, P., S. Kamble, A. Belhadi, V. Mani, and A. Pundir. 2022. "Digital Twin Implementation for Performance Improvement in Process Industries – A Case Study of Food Processing Company." </w:t>
      </w:r>
      <w:r>
        <w:rPr>
          <w:i/>
        </w:rPr>
        <w:t>International Journal of Production Research</w:t>
      </w:r>
      <w:r>
        <w:t xml:space="preserve"> 61 (23): 8343–8365.</w:t>
      </w:r>
    </w:p>
    <w:p>
      <w:pPr>
        <w:spacing w:after="120"/>
        <w:ind w:firstLine="0"/>
      </w:pPr>
      <w:r>
        <w:t xml:space="preserve">Massari, G. F., R. Nacchiero, and I. Giannoccaro. 2025. "The Resilience of Planned and Self-Organised Circular Economy Networks: A Novel Simulation Approach." </w:t>
      </w:r>
      <w:r>
        <w:rPr>
          <w:i/>
        </w:rPr>
        <w:t>International Journal of Production Research</w:t>
      </w:r>
      <w:r>
        <w:t xml:space="preserve"> 64 (11): 4236–4270.</w:t>
      </w:r>
    </w:p>
    <w:p>
      <w:pPr>
        <w:spacing w:after="120"/>
        <w:ind w:firstLine="0"/>
      </w:pPr>
      <w:r>
        <w:t xml:space="preserve">Nujen, B. B., N. P. Kvadsheim, D. Mwesiumo, E. Reke, and D. Powell. 2023. "Knowledge Obstacles When Transitioning towards Circular Economy: An Industrial Intra-Organisational Perspective." </w:t>
      </w:r>
      <w:r>
        <w:rPr>
          <w:i/>
        </w:rPr>
        <w:t>International Journal of Production Research</w:t>
      </w:r>
      <w:r>
        <w:t xml:space="preserve"> 61 (24): 8618–8633.</w:t>
      </w:r>
    </w:p>
    <w:p>
      <w:pPr>
        <w:spacing w:after="120"/>
        <w:ind w:firstLine="0"/>
      </w:pPr>
      <w:r>
        <w:t xml:space="preserve">Patro, P. K., R. Jayaraman, A. Acquaye, K. Salah, and A. Musamih. 2025. "Blockchain-Based Solution to Enhance Carbon Footprint Traceability, Accounting, and Offsetting in the Passenger Aviation Industry." </w:t>
      </w:r>
      <w:r>
        <w:rPr>
          <w:i/>
        </w:rPr>
        <w:t>International Journal of Production Research</w:t>
      </w:r>
      <w:r>
        <w:t xml:space="preserve"> 63 (22): 8235–8268.</w:t>
      </w:r>
    </w:p>
    <w:p>
      <w:pPr>
        <w:spacing w:after="120"/>
        <w:ind w:firstLine="0"/>
      </w:pPr>
      <w:r>
        <w:t xml:space="preserve">de Mendonça Santos, A., C. J. De Melo Santos, A. Santana Barbosa, and Â. M. O. Sant'Anna. 2026. "The Role of the Industry 4.0 Technologies for Industry 5.0 Development in Small and Medium Enterprises." </w:t>
      </w:r>
      <w:r>
        <w:rPr>
          <w:i/>
        </w:rPr>
        <w:t>International Journal of Production Research</w:t>
      </w:r>
      <w:r>
        <w:t>, in press.</w:t>
      </w:r>
    </w:p>
    <w:p>
      <w:pPr>
        <w:pStyle w:val="Heading2"/>
      </w:pPr>
      <w:r>
        <w:t>International Journal of Production Economics (21)</w:t>
      </w:r>
    </w:p>
    <w:p>
      <w:pPr>
        <w:spacing w:after="120"/>
        <w:ind w:firstLine="0"/>
      </w:pPr>
      <w:r>
        <w:t xml:space="preserve">Abdul-Hamid, A.-Q., M. H. Ali, L. H. Osman, M.-L. Tseng, and M. K. Lim. 2022. "Industry 4.0 Quasi-Effect between Circular Economy and Sustainability: Palm Oil Industry." </w:t>
      </w:r>
      <w:r>
        <w:rPr>
          <w:i/>
        </w:rPr>
        <w:t>International Journal of Production Economics</w:t>
      </w:r>
      <w:r>
        <w:t xml:space="preserve"> 253: 108616.</w:t>
      </w:r>
    </w:p>
    <w:p>
      <w:pPr>
        <w:spacing w:after="120"/>
        <w:ind w:firstLine="0"/>
      </w:pPr>
      <w:r>
        <w:t xml:space="preserve">Belhadi, A., M. Venkatesh, S. Kamble, and M. Z. Abedin. 2024. "Data-Driven Digital Transformation for Supply Chain Carbon Neutrality: Insights from Cross-Sector Supply Chain." </w:t>
      </w:r>
      <w:r>
        <w:rPr>
          <w:i/>
        </w:rPr>
        <w:t>International Journal of Production Economics</w:t>
      </w:r>
      <w:r>
        <w:t xml:space="preserve"> 270: 109178.</w:t>
      </w:r>
    </w:p>
    <w:p>
      <w:pPr>
        <w:spacing w:after="120"/>
        <w:ind w:firstLine="0"/>
      </w:pPr>
      <w:r>
        <w:t xml:space="preserve">Bui, T.-D. 2024. "Assessing Sustainable Supply Chain Transparency Practices in Taiwan Semiconductor Industry: A Hierarchical Interdependence Approach." </w:t>
      </w:r>
      <w:r>
        <w:rPr>
          <w:i/>
        </w:rPr>
        <w:t>International Journal of Production Economics</w:t>
      </w:r>
      <w:r>
        <w:t xml:space="preserve"> 272: 109245.</w:t>
      </w:r>
    </w:p>
    <w:p>
      <w:pPr>
        <w:spacing w:after="120"/>
        <w:ind w:firstLine="0"/>
      </w:pPr>
      <w:r>
        <w:t xml:space="preserve">Colombari, R., P. Neirotti, and J. Berbegal-Mirabent. 2024. "Disentangling the Socio-Technical Impacts of Digitalization: What Changes for Shop-Floor Decision-Makers?" </w:t>
      </w:r>
      <w:r>
        <w:rPr>
          <w:i/>
        </w:rPr>
        <w:t>International Journal of Production Economics</w:t>
      </w:r>
      <w:r>
        <w:t xml:space="preserve"> 276: 109377.</w:t>
      </w:r>
    </w:p>
    <w:p>
      <w:pPr>
        <w:spacing w:after="120"/>
        <w:ind w:firstLine="0"/>
      </w:pPr>
      <w:r>
        <w:t xml:space="preserve">Dey, P. K., C. Malesios, S. Chowdhury, K. Saha, and P. Budhwar. 2022. "Adoption of Circular Economy Practices in Small and Medium-Sized Enterprises: Evidence from Europe." </w:t>
      </w:r>
      <w:r>
        <w:rPr>
          <w:i/>
        </w:rPr>
        <w:t>International Journal of Production Economics</w:t>
      </w:r>
      <w:r>
        <w:t xml:space="preserve"> 248: 108496.</w:t>
      </w:r>
    </w:p>
    <w:p>
      <w:pPr>
        <w:spacing w:after="120"/>
        <w:ind w:firstLine="0"/>
      </w:pPr>
      <w:r>
        <w:t xml:space="preserve">Do, Q., N. Mishra, C. Colicchia, A. Creazza, and A. Ramudhin. 2022. "An Extended Institutional Theory Perspective on the Adoption of Circular Economy Practices: Insights from the Seafood Industry." </w:t>
      </w:r>
      <w:r>
        <w:rPr>
          <w:i/>
        </w:rPr>
        <w:t>International Journal of Production Economics</w:t>
      </w:r>
      <w:r>
        <w:t xml:space="preserve"> 247: 108400.</w:t>
      </w:r>
    </w:p>
    <w:p>
      <w:pPr>
        <w:spacing w:after="120"/>
        <w:ind w:firstLine="0"/>
      </w:pPr>
      <w:r>
        <w:t xml:space="preserve">Hua, J., K. Wang, J. Lin, and Y. Qian. 2024. "Carbon Tax vs. Carbon Cap-and-Trade: Implementation of Carbon Border Tax in Cross-Regional Production." </w:t>
      </w:r>
      <w:r>
        <w:rPr>
          <w:i/>
        </w:rPr>
        <w:t>International Journal of Production Economics</w:t>
      </w:r>
      <w:r>
        <w:t xml:space="preserve"> 274: 109317.</w:t>
      </w:r>
    </w:p>
    <w:p>
      <w:pPr>
        <w:spacing w:after="120"/>
        <w:ind w:firstLine="0"/>
      </w:pPr>
      <w:r>
        <w:t xml:space="preserve">Jin, M., B. Li, X. Chen, and L. Feng. 2024. "The Bright and Dark Sides of Servitization under Extended Producer Responsibility." </w:t>
      </w:r>
      <w:r>
        <w:rPr>
          <w:i/>
        </w:rPr>
        <w:t>International Journal of Production Economics</w:t>
      </w:r>
      <w:r>
        <w:t xml:space="preserve"> 278: 109416.</w:t>
      </w:r>
    </w:p>
    <w:p>
      <w:pPr>
        <w:spacing w:after="120"/>
        <w:ind w:firstLine="0"/>
      </w:pPr>
      <w:r>
        <w:t xml:space="preserve">Karmaker, C. L., A. B. M. M. Bari, M. Z. Anam, T. Ahmed, and S. M. Ali. 2023. "Industry 5.0 Challenges for Post-Pandemic Supply Chain Sustainability in an Emerging Economy." </w:t>
      </w:r>
      <w:r>
        <w:rPr>
          <w:i/>
        </w:rPr>
        <w:t>International Journal of Production Economics</w:t>
      </w:r>
      <w:r>
        <w:t xml:space="preserve"> 258: 108806.</w:t>
      </w:r>
    </w:p>
    <w:p>
      <w:pPr>
        <w:spacing w:after="120"/>
        <w:ind w:firstLine="0"/>
      </w:pPr>
      <w:r>
        <w:t xml:space="preserve">Liu, X., J. Cui, Y. Chang, C. Bai, and X. Yue. 2026. "Facilitating Net-Zero Emissions Goals through Green Finance: Enhancing Efficiency in Corporate Green Innovation within a Two-Stage Value Chain Framework." </w:t>
      </w:r>
      <w:r>
        <w:rPr>
          <w:i/>
        </w:rPr>
        <w:t>International Journal of Production Economics</w:t>
      </w:r>
      <w:r>
        <w:t xml:space="preserve"> 292: 109832.</w:t>
      </w:r>
    </w:p>
    <w:p>
      <w:pPr>
        <w:spacing w:after="120"/>
        <w:ind w:firstLine="0"/>
      </w:pPr>
      <w:r>
        <w:t xml:space="preserve">Paraskevopoulou, C., D. Vlachos, D. Bechtsis, and N. Tsolakis. 2022. "An Assessment of Circular Economy Interventions in the Peach Canning Industry." </w:t>
      </w:r>
      <w:r>
        <w:rPr>
          <w:i/>
        </w:rPr>
        <w:t>International Journal of Production Economics</w:t>
      </w:r>
      <w:r>
        <w:t xml:space="preserve"> 249: 108533.</w:t>
      </w:r>
    </w:p>
    <w:p>
      <w:pPr>
        <w:spacing w:after="120"/>
        <w:ind w:firstLine="0"/>
      </w:pPr>
      <w:r>
        <w:t xml:space="preserve">Shahzad, F., Y. Ben Zaied, and Q. Zhang. 2026. "Integrating Industry 4.0 Technologies into Green Supply Chains: An Empirical Investigation of Pathways to Green Innovation and Circular Economy." </w:t>
      </w:r>
      <w:r>
        <w:rPr>
          <w:i/>
        </w:rPr>
        <w:t>International Journal of Production Economics</w:t>
      </w:r>
      <w:r>
        <w:t xml:space="preserve"> 291: 109859.</w:t>
      </w:r>
    </w:p>
    <w:p>
      <w:pPr>
        <w:spacing w:after="120"/>
        <w:ind w:firstLine="0"/>
      </w:pPr>
      <w:r>
        <w:t xml:space="preserve">Sun, L., C. Bai, and J. Sarkis. 2025. "How Do Circular Economy and Blockchain Technology Adoption Relate to Firm Financial Performance?" </w:t>
      </w:r>
      <w:r>
        <w:rPr>
          <w:i/>
        </w:rPr>
        <w:t>International Journal of Production Economics</w:t>
      </w:r>
      <w:r>
        <w:t xml:space="preserve"> 285: 109655.</w:t>
      </w:r>
    </w:p>
    <w:p>
      <w:pPr>
        <w:spacing w:after="120"/>
        <w:ind w:firstLine="0"/>
      </w:pPr>
      <w:r>
        <w:t xml:space="preserve">Wang, M., Y. Liu, D. Geng, M. Dora, and A. Hill. 2026a. "Decarbonisation and Firm Financial Performance: The Roles of Supply Chain Transparency and Resilience." </w:t>
      </w:r>
      <w:r>
        <w:rPr>
          <w:i/>
        </w:rPr>
        <w:t>International Journal of Production Economics</w:t>
      </w:r>
      <w:r>
        <w:t xml:space="preserve"> 296: 109988.</w:t>
      </w:r>
    </w:p>
    <w:p>
      <w:pPr>
        <w:spacing w:after="120"/>
        <w:ind w:firstLine="0"/>
      </w:pPr>
      <w:r>
        <w:t xml:space="preserve">Werner-Lewandowska, K., P. Golinska-Dawson, and R. Mierzwiak. 2025. "Enablers and Barriers in Building the Circular Supply Chain through Remanufacturing – Grey DEMATEL Approach." </w:t>
      </w:r>
      <w:r>
        <w:rPr>
          <w:i/>
        </w:rPr>
        <w:t>International Journal of Production Economics</w:t>
      </w:r>
      <w:r>
        <w:t xml:space="preserve"> 284: 109617.</w:t>
      </w:r>
    </w:p>
    <w:p>
      <w:pPr>
        <w:spacing w:after="120"/>
        <w:ind w:firstLine="0"/>
      </w:pPr>
      <w:r>
        <w:t xml:space="preserve">Wu, J. 2026. "Does Artificial Intelligence Enhance the Circular Bioeconomy's Decarbonization Potential? A Quasi-Experimental Evidence." </w:t>
      </w:r>
      <w:r>
        <w:rPr>
          <w:i/>
        </w:rPr>
        <w:t>International Journal of Production Economics</w:t>
      </w:r>
      <w:r>
        <w:t xml:space="preserve"> 298: 110042.</w:t>
      </w:r>
    </w:p>
    <w:p>
      <w:pPr>
        <w:spacing w:after="120"/>
        <w:ind w:firstLine="0"/>
      </w:pPr>
      <w:r>
        <w:t xml:space="preserve">Yang, G., Y. Nie, H. Li, and H. Wang. 2023. "Digital Transformation and Low-Carbon Technology Innovation in Manufacturing Firms: The Mediating Role of Dynamic Capabilities." </w:t>
      </w:r>
      <w:r>
        <w:rPr>
          <w:i/>
        </w:rPr>
        <w:t>International Journal of Production Economics</w:t>
      </w:r>
      <w:r>
        <w:t xml:space="preserve"> 263: 108969.</w:t>
      </w:r>
    </w:p>
    <w:p>
      <w:pPr>
        <w:spacing w:after="120"/>
        <w:ind w:firstLine="0"/>
      </w:pPr>
      <w:r>
        <w:t xml:space="preserve">Yin, J., C. Zhou, X. Yan, J. Kan, and T. Dong. 2026b. "Can Artificial Intelligence Serve as an Accelerator for Carbon Reduction in Supply Chains within China's Manufacturing Sector? Evidence from the National New Generation Artificial Intelligence Innovation and Development Pilot Zones." </w:t>
      </w:r>
      <w:r>
        <w:rPr>
          <w:i/>
        </w:rPr>
        <w:t>International Journal of Production Economics</w:t>
      </w:r>
      <w:r>
        <w:t xml:space="preserve"> 296: 109986.</w:t>
      </w:r>
    </w:p>
    <w:p>
      <w:pPr>
        <w:spacing w:after="120"/>
        <w:ind w:firstLine="0"/>
      </w:pPr>
      <w:r>
        <w:t xml:space="preserve">Yin, L., K. Wu, D. Xu, and J. Dai. 2026a. "ESG Uncertainty and Carbon Emission Reduction: Evidence from Chinese Manufacturing Firms." </w:t>
      </w:r>
      <w:r>
        <w:rPr>
          <w:i/>
        </w:rPr>
        <w:t>International Journal of Production Economics</w:t>
      </w:r>
      <w:r>
        <w:t xml:space="preserve"> 300: 110103.</w:t>
      </w:r>
    </w:p>
    <w:p>
      <w:pPr>
        <w:spacing w:after="120"/>
        <w:ind w:firstLine="0"/>
      </w:pPr>
      <w:r>
        <w:t xml:space="preserve">Zhang, B., J. Lu, D. Qiao, and J. Xu. 2026. "Adapting Supply Chains to Climate Change through Climate Innovation: A Socio-Technical Systems Perspective." </w:t>
      </w:r>
      <w:r>
        <w:rPr>
          <w:i/>
        </w:rPr>
        <w:t>International Journal of Production Economics</w:t>
      </w:r>
      <w:r>
        <w:t xml:space="preserve"> 300: 110104.</w:t>
      </w:r>
    </w:p>
    <w:p>
      <w:pPr>
        <w:spacing w:after="120"/>
        <w:ind w:firstLine="0"/>
      </w:pPr>
      <w:r>
        <w:t xml:space="preserve">Zhang, W., S. Ye, S. K. Mangla, A. Emrouznejad, and M. Song. 2024. "Smart Platforming in Automotive Manufacturing for NetZero: Intelligentization, Green Technology, and Innovation Dynamics." </w:t>
      </w:r>
      <w:r>
        <w:rPr>
          <w:i/>
        </w:rPr>
        <w:t>International Journal of Production Economics</w:t>
      </w:r>
      <w:r>
        <w:t xml:space="preserve"> 274: 109289.</w:t>
      </w:r>
    </w:p>
    <w:p>
      <w:pPr>
        <w:pStyle w:val="Heading2"/>
      </w:pPr>
      <w:r>
        <w:t>Production Planning &amp; Control (11)</w:t>
      </w:r>
    </w:p>
    <w:p>
      <w:pPr>
        <w:spacing w:after="120"/>
        <w:ind w:firstLine="0"/>
      </w:pPr>
      <w:r>
        <w:t xml:space="preserve">Acerbi, F., C. Sassanelli, and M. Taisch. 2024. "A Maturity Model Enhancing Data-Driven Circular Manufacturing." </w:t>
      </w:r>
      <w:r>
        <w:rPr>
          <w:i/>
        </w:rPr>
        <w:t>Production Planning &amp; Control</w:t>
      </w:r>
      <w:r>
        <w:t xml:space="preserve"> 36 (7): 970–988.</w:t>
      </w:r>
    </w:p>
    <w:p>
      <w:pPr>
        <w:spacing w:after="120"/>
        <w:ind w:firstLine="0"/>
      </w:pPr>
      <w:r>
        <w:t xml:space="preserve">Bezerra, M. C. da C., and C. F. Gohr. 2026. "Organizational Capabilities Driving the Circular Economy: Proposal and Validation of a Conceptual Framework." </w:t>
      </w:r>
      <w:r>
        <w:rPr>
          <w:i/>
        </w:rPr>
        <w:t>Production Planning &amp; Control</w:t>
      </w:r>
      <w:r>
        <w:t>, in press.</w:t>
      </w:r>
    </w:p>
    <w:p>
      <w:pPr>
        <w:spacing w:after="120"/>
        <w:ind w:firstLine="0"/>
      </w:pPr>
      <w:r>
        <w:t xml:space="preserve">Cammarano, A., and V. Varriale. 2026. "Socio-Technical Configurations of Emerging Technologies in Operations: Unveiling Technology Patterns for Industry 5.0." </w:t>
      </w:r>
      <w:r>
        <w:rPr>
          <w:i/>
        </w:rPr>
        <w:t>Production Planning &amp; Control</w:t>
      </w:r>
      <w:r>
        <w:t>, in press.</w:t>
      </w:r>
    </w:p>
    <w:p>
      <w:pPr>
        <w:spacing w:after="120"/>
        <w:ind w:firstLine="0"/>
      </w:pPr>
      <w:r>
        <w:t xml:space="preserve">Hu, J., Z. Liu, and Y. Shi. 2025. "An Integrated Process-Oriented Framework of Low-Carbon Manufacturing Networks: Evidence from Multiple Cases." </w:t>
      </w:r>
      <w:r>
        <w:rPr>
          <w:i/>
        </w:rPr>
        <w:t>Production Planning &amp; Control</w:t>
      </w:r>
      <w:r>
        <w:t xml:space="preserve"> 37 (4): 315–333.</w:t>
      </w:r>
    </w:p>
    <w:p>
      <w:pPr>
        <w:spacing w:after="120"/>
        <w:ind w:firstLine="0"/>
      </w:pPr>
      <w:r>
        <w:t xml:space="preserve">Lahane, S., R. Kant, R. Shankar, and S. K. Patil. 2023. "Circular Supply Chain Implementation Performance Measurement Framework: A Comparative Case Analysis." </w:t>
      </w:r>
      <w:r>
        <w:rPr>
          <w:i/>
        </w:rPr>
        <w:t>Production Planning &amp; Control</w:t>
      </w:r>
      <w:r>
        <w:t xml:space="preserve"> 35 (11): 1332–1351.</w:t>
      </w:r>
    </w:p>
    <w:p>
      <w:pPr>
        <w:spacing w:after="120"/>
        <w:ind w:firstLine="0"/>
      </w:pPr>
      <w:r>
        <w:t xml:space="preserve">Lu, H., G. Zhao, and S. Liu. 2022. "Integrating Circular Economy and Industry 4.0 for Sustainable Supply Chain Management: A Dynamic Capability View." </w:t>
      </w:r>
      <w:r>
        <w:rPr>
          <w:i/>
        </w:rPr>
        <w:t>Production Planning &amp; Control</w:t>
      </w:r>
      <w:r>
        <w:t xml:space="preserve"> 35 (2): 170–186.</w:t>
      </w:r>
    </w:p>
    <w:p>
      <w:pPr>
        <w:spacing w:after="120"/>
        <w:ind w:firstLine="0"/>
      </w:pPr>
      <w:r>
        <w:t xml:space="preserve">Qamar, F., G. Heaslip, A. H. Azadnia, P. Humphreys, and G. Onofrei. 2026. "Industry 4.0 and Lean Management Practices: Challenges and Opportunities for Sustainable Operational Performance through a Socio-Technical Lens." </w:t>
      </w:r>
      <w:r>
        <w:rPr>
          <w:i/>
        </w:rPr>
        <w:t>Production Planning &amp; Control</w:t>
      </w:r>
      <w:r>
        <w:t>, in press.</w:t>
      </w:r>
    </w:p>
    <w:p>
      <w:pPr>
        <w:spacing w:after="120"/>
        <w:ind w:firstLine="0"/>
      </w:pPr>
      <w:r>
        <w:t xml:space="preserve">Stapelbroek, M., O. A. Kilic, Y. Yang, and D. P. Van Donk. 2022. "Eliminating Production Losses in Changeover Operations: A Case Study on a Major European Food Manufacturer." </w:t>
      </w:r>
      <w:r>
        <w:rPr>
          <w:i/>
        </w:rPr>
        <w:t>Production Planning &amp; Control</w:t>
      </w:r>
      <w:r>
        <w:t xml:space="preserve"> 35 (8): 794–807.</w:t>
      </w:r>
    </w:p>
    <w:p>
      <w:pPr>
        <w:spacing w:after="120"/>
        <w:ind w:firstLine="0"/>
      </w:pPr>
      <w:r>
        <w:t xml:space="preserve">Wang, L., Y. Meng, W. Xiao, and J. X. Wang. 2026c. "Navigating the Supply Chain Environmental Sustainability: The Moderating Role of Digitalisation in Driving Supply Chain Efficiency on Circular Economy Performance." </w:t>
      </w:r>
      <w:r>
        <w:rPr>
          <w:i/>
        </w:rPr>
        <w:t>Production Planning &amp; Control</w:t>
      </w:r>
      <w:r>
        <w:t>, in press.</w:t>
      </w:r>
    </w:p>
    <w:p>
      <w:pPr>
        <w:spacing w:after="120"/>
        <w:ind w:firstLine="0"/>
      </w:pPr>
      <w:r>
        <w:t xml:space="preserve">Zhou, X., H. Lu, and Z. Xu. 2023. "A Balance of Economic Advancement and Social Needs via Improving Supply Chain Traceability for Future Food Sustainability: An Empirical Study from China." </w:t>
      </w:r>
      <w:r>
        <w:rPr>
          <w:i/>
        </w:rPr>
        <w:t>Production Planning &amp; Control</w:t>
      </w:r>
      <w:r>
        <w:t>, in press.</w:t>
      </w:r>
    </w:p>
    <w:p>
      <w:pPr>
        <w:spacing w:after="120"/>
        <w:ind w:firstLine="0"/>
      </w:pPr>
      <w:r>
        <w:t xml:space="preserve">Zils, M., M. Howard, and P. Hopkinson. 2023. "Circular Economy Implementation in Operations &amp; Supply Chain Management: Building a Pathway to Business Transformation." </w:t>
      </w:r>
      <w:r>
        <w:rPr>
          <w:i/>
        </w:rPr>
        <w:t>Production Planning &amp; Control</w:t>
      </w:r>
      <w:r>
        <w:t xml:space="preserve"> 36 (4): 501–520.</w:t>
      </w:r>
    </w:p>
    <w:p>
      <w:pPr>
        <w:pStyle w:val="Heading2"/>
      </w:pPr>
      <w:r>
        <w:t>Journal of Cleaner Production (9)</w:t>
      </w:r>
    </w:p>
    <w:p>
      <w:pPr>
        <w:spacing w:after="120"/>
        <w:ind w:firstLine="0"/>
      </w:pPr>
      <w:r>
        <w:t xml:space="preserve">Garvey, A., J. B. Norman, and J. Barrett. 2022. "Technology and Material Efficiency Scenarios for Net Zero Emissions in the UK Steel Sector." </w:t>
      </w:r>
      <w:r>
        <w:rPr>
          <w:i/>
        </w:rPr>
        <w:t>Journal of Cleaner Production</w:t>
      </w:r>
      <w:r>
        <w:t xml:space="preserve"> 333: 130216.</w:t>
      </w:r>
    </w:p>
    <w:p>
      <w:pPr>
        <w:spacing w:after="120"/>
        <w:ind w:firstLine="0"/>
      </w:pPr>
      <w:r>
        <w:t xml:space="preserve">Halter, F., L. Wietschel, A. Thorenz, and A. Tuma. 2025. "Techno-Sustainable Analysis of Circular Economy-Indicators for Corporate Supply Chains." </w:t>
      </w:r>
      <w:r>
        <w:rPr>
          <w:i/>
        </w:rPr>
        <w:t>Journal of Cleaner Production</w:t>
      </w:r>
      <w:r>
        <w:t xml:space="preserve"> 503: 145078.</w:t>
      </w:r>
    </w:p>
    <w:p>
      <w:pPr>
        <w:spacing w:after="120"/>
        <w:ind w:firstLine="0"/>
      </w:pPr>
      <w:r>
        <w:t xml:space="preserve">He, B., S. Qian, and T. Li. 2023. "Modeling Product Carbon Footprint for Manufacturing Process." </w:t>
      </w:r>
      <w:r>
        <w:rPr>
          <w:i/>
        </w:rPr>
        <w:t>Journal of Cleaner Production</w:t>
      </w:r>
      <w:r>
        <w:t xml:space="preserve"> 402: 136805.</w:t>
      </w:r>
    </w:p>
    <w:p>
      <w:pPr>
        <w:spacing w:after="120"/>
        <w:ind w:firstLine="0"/>
      </w:pPr>
      <w:r>
        <w:t xml:space="preserve">Mishra, R., R. K. Singh, and K. Govindan. 2022. "Barriers to the Adoption of Circular Economy Practices in Micro, Small and Medium Enterprises: Instrument Development, Measurement and Validation." </w:t>
      </w:r>
      <w:r>
        <w:rPr>
          <w:i/>
        </w:rPr>
        <w:t>Journal of Cleaner Production</w:t>
      </w:r>
      <w:r>
        <w:t xml:space="preserve"> 351: 131389.</w:t>
      </w:r>
    </w:p>
    <w:p>
      <w:pPr>
        <w:spacing w:after="120"/>
        <w:ind w:firstLine="0"/>
      </w:pPr>
      <w:r>
        <w:t xml:space="preserve">Panza, L., and M. Peron. 2025. "The Role of Carbon Tax in the Transition from a Linear Economy to a Circular Economy Business Model in Manufacturing." </w:t>
      </w:r>
      <w:r>
        <w:rPr>
          <w:i/>
        </w:rPr>
        <w:t>Journal of Cleaner Production</w:t>
      </w:r>
      <w:r>
        <w:t xml:space="preserve"> 492: 144873.</w:t>
      </w:r>
    </w:p>
    <w:p>
      <w:pPr>
        <w:spacing w:after="120"/>
        <w:ind w:firstLine="0"/>
      </w:pPr>
      <w:r>
        <w:t xml:space="preserve">Pitkänen, K., T. K. M. Karppinen, P. Kautto, H. Pirtonen, and H. Salmenperä. 2023. "How to Measure the Social Sustainability of the Circular Economy? Developing and Piloting Social Circular Economy Indicators in Finland." </w:t>
      </w:r>
      <w:r>
        <w:rPr>
          <w:i/>
        </w:rPr>
        <w:t>Journal of Cleaner Production</w:t>
      </w:r>
      <w:r>
        <w:t xml:space="preserve"> 392: 136238.</w:t>
      </w:r>
    </w:p>
    <w:p>
      <w:pPr>
        <w:spacing w:after="120"/>
        <w:ind w:firstLine="0"/>
      </w:pPr>
      <w:r>
        <w:t xml:space="preserve">Urueña, A., A. Neri, E. Cagno, and E. Susur. 2026. "Digital-Enabled Dynamic Capabilities for Circular Economy: The Role of Firm Size." </w:t>
      </w:r>
      <w:r>
        <w:rPr>
          <w:i/>
        </w:rPr>
        <w:t>Journal of Cleaner Production</w:t>
      </w:r>
      <w:r>
        <w:t xml:space="preserve"> 561: 148441.</w:t>
      </w:r>
    </w:p>
    <w:p>
      <w:pPr>
        <w:spacing w:after="120"/>
        <w:ind w:firstLine="0"/>
      </w:pPr>
      <w:r>
        <w:t xml:space="preserve">Wang, J.-Z., Y.-C. Tang, and Y.-H. Shen. 2023. "Prioritizing the Acid Leaching System of Spent SmCo Magnets through Material Flow Cost Accounting and Carbon Emission Analysis." </w:t>
      </w:r>
      <w:r>
        <w:rPr>
          <w:i/>
        </w:rPr>
        <w:t>Journal of Cleaner Production</w:t>
      </w:r>
      <w:r>
        <w:t xml:space="preserve"> 417: 138064.</w:t>
      </w:r>
    </w:p>
    <w:p>
      <w:pPr>
        <w:spacing w:after="120"/>
        <w:ind w:firstLine="0"/>
      </w:pPr>
      <w:r>
        <w:t xml:space="preserve">Xiang, D., F. Xu, R. K. Sah, C. Wei, and K. Fang. 2024. "Carbon Footprint Accounting Method Based on Dynamic Allocation of Multi-Level Carbon Data from Manufacturing Organizations to Products." </w:t>
      </w:r>
      <w:r>
        <w:rPr>
          <w:i/>
        </w:rPr>
        <w:t>Journal of Cleaner Production</w:t>
      </w:r>
      <w:r>
        <w:t xml:space="preserve"> 467: 142865.</w:t>
      </w:r>
    </w:p>
    <w:p>
      <w:pPr>
        <w:pStyle w:val="Heading2"/>
      </w:pPr>
      <w:r>
        <w:t>Technological Forecasting and Social Change (6)</w:t>
      </w:r>
    </w:p>
    <w:p>
      <w:pPr>
        <w:spacing w:after="120"/>
        <w:ind w:firstLine="0"/>
      </w:pPr>
      <w:r>
        <w:t xml:space="preserve">Chauhan, C., V. Parida, and A. Dhir. 2022. "Linking Circular Economy and Digitalisation Technologies: A Systematic Literature Review of Past Achievements and Future Promises." </w:t>
      </w:r>
      <w:r>
        <w:rPr>
          <w:i/>
        </w:rPr>
        <w:t>Technological Forecasting and Social Change</w:t>
      </w:r>
      <w:r>
        <w:t xml:space="preserve"> 177: 121508.</w:t>
      </w:r>
    </w:p>
    <w:p>
      <w:pPr>
        <w:spacing w:after="120"/>
        <w:ind w:firstLine="0"/>
      </w:pPr>
      <w:r>
        <w:t xml:space="preserve">Chung, L., K. H. Tan, and O. Yoshie. 2025. "Sustainable Circular Economy: Unpacking the Unintended Consequences of Digital Transformation in Japanese SMEs." </w:t>
      </w:r>
      <w:r>
        <w:rPr>
          <w:i/>
        </w:rPr>
        <w:t>Technological Forecasting and Social Change</w:t>
      </w:r>
      <w:r>
        <w:t xml:space="preserve"> 221: 124335.</w:t>
      </w:r>
    </w:p>
    <w:p>
      <w:pPr>
        <w:spacing w:after="120"/>
        <w:ind w:firstLine="0"/>
      </w:pPr>
      <w:r>
        <w:t xml:space="preserve">Oghazi, P., R. Mostaghel, and M. Hultman. 2024. "International Industrial Manufacturers: Mastering the Era of Digital Innovation and Circular Economy." </w:t>
      </w:r>
      <w:r>
        <w:rPr>
          <w:i/>
        </w:rPr>
        <w:t>Technological Forecasting and Social Change</w:t>
      </w:r>
      <w:r>
        <w:t xml:space="preserve"> 201: 123160.</w:t>
      </w:r>
    </w:p>
    <w:p>
      <w:pPr>
        <w:spacing w:after="120"/>
        <w:ind w:firstLine="0"/>
      </w:pPr>
      <w:r>
        <w:t xml:space="preserve">Triguero, A., and D. Córcoles. 2025. "Leveraging Eco-Innovation and Market Knowledge for a Circular Economy Transition: Insights from Spanish Manufacturing Firms." </w:t>
      </w:r>
      <w:r>
        <w:rPr>
          <w:i/>
        </w:rPr>
        <w:t>Technological Forecasting and Social Change</w:t>
      </w:r>
      <w:r>
        <w:t xml:space="preserve"> 216: 124152.</w:t>
      </w:r>
    </w:p>
    <w:p>
      <w:pPr>
        <w:spacing w:after="120"/>
        <w:ind w:firstLine="0"/>
      </w:pPr>
      <w:r>
        <w:t xml:space="preserve">Truant, E., D. Giordino, E. Borlatto, and M. Bhatia. 2024. "Drivers and Barriers of Smart Technologies for Circular Economy: Leveraging Smart Circular Economy Implementation to Nurture Companies' Performance." </w:t>
      </w:r>
      <w:r>
        <w:rPr>
          <w:i/>
        </w:rPr>
        <w:t>Technological Forecasting and Social Change</w:t>
      </w:r>
      <w:r>
        <w:t xml:space="preserve"> 198: 122954.</w:t>
      </w:r>
    </w:p>
    <w:p>
      <w:pPr>
        <w:spacing w:after="120"/>
        <w:ind w:firstLine="0"/>
      </w:pPr>
      <w:r>
        <w:t xml:space="preserve">Zheng, L., R. Zhou, N. Singh, M. Z. Yaqub, and S. Badghish. 2025. "Transforming Supply Chain Operations: Unveiling the Path Ahead by Leveraging Artificial Intelligence (AI) to Drive the Shift towards Carbon Neutrality (CN)." </w:t>
      </w:r>
      <w:r>
        <w:rPr>
          <w:i/>
        </w:rPr>
        <w:t>Technological Forecasting and Social Change</w:t>
      </w:r>
      <w:r>
        <w:t xml:space="preserve"> 219: 124280.</w:t>
      </w:r>
    </w:p>
    <w:p>
      <w:pPr>
        <w:pStyle w:val="Heading2"/>
      </w:pPr>
      <w:r>
        <w:t>Supply Chain Management: An International Journal (7)</w:t>
      </w:r>
    </w:p>
    <w:p>
      <w:pPr>
        <w:spacing w:after="120"/>
        <w:ind w:firstLine="0"/>
      </w:pPr>
      <w:r>
        <w:t xml:space="preserve">Chowdhury, M. M. H., M. Chowdhury, E. A. Khan, and S. Sajib. 2022. "Supply Chain Relational Capital for Sustainability through Governance: The Moderating Effect of Network Complexity." </w:t>
      </w:r>
      <w:r>
        <w:rPr>
          <w:i/>
        </w:rPr>
        <w:t>Supply Chain Management: An International Journal</w:t>
      </w:r>
      <w:r>
        <w:t xml:space="preserve"> 28 (2): 347–362.</w:t>
      </w:r>
    </w:p>
    <w:p>
      <w:pPr>
        <w:spacing w:after="120"/>
        <w:ind w:firstLine="0"/>
      </w:pPr>
      <w:r>
        <w:t xml:space="preserve">Gosling, J., Y. Wang, Q. Li, and N. R. Carter. 2026. "Envisioning a Digital Product Passport-Enabled Circular Supply Chain for the Built Environment through a Systems-of-Systems Lens." </w:t>
      </w:r>
      <w:r>
        <w:rPr>
          <w:i/>
        </w:rPr>
        <w:t>Supply Chain Management: An International Journal</w:t>
      </w:r>
      <w:r>
        <w:t>, in press.</w:t>
      </w:r>
    </w:p>
    <w:p>
      <w:pPr>
        <w:spacing w:after="120"/>
        <w:ind w:firstLine="0"/>
      </w:pPr>
      <w:r>
        <w:t xml:space="preserve">Obonyo, E., M. Formentini, and S. W. Ndiritu. 2025. "Information Sharing in Agri-Food Supply Chains: Insights from the Kenya Dairy Supply Chain." </w:t>
      </w:r>
      <w:r>
        <w:rPr>
          <w:i/>
        </w:rPr>
        <w:t>Supply Chain Management: An International Journal</w:t>
      </w:r>
      <w:r>
        <w:t xml:space="preserve"> 30 (1): 127–143.</w:t>
      </w:r>
    </w:p>
    <w:p>
      <w:pPr>
        <w:spacing w:after="120"/>
        <w:ind w:firstLine="0"/>
      </w:pPr>
      <w:r>
        <w:t xml:space="preserve">Oyedijo, A., S. Kusi-Sarpong, M. S. Mubarik, S. A. Khan, and K. Utulu. 2023. "Multi-Tier Sustainable Supply Chain Management: A Case Study of a Global Food Retailer." </w:t>
      </w:r>
      <w:r>
        <w:rPr>
          <w:i/>
        </w:rPr>
        <w:t>Supply Chain Management: An International Journal</w:t>
      </w:r>
      <w:r>
        <w:t xml:space="preserve"> 29 (1): 68–97.</w:t>
      </w:r>
    </w:p>
    <w:p>
      <w:pPr>
        <w:spacing w:after="120"/>
        <w:ind w:firstLine="0"/>
      </w:pPr>
      <w:r>
        <w:t xml:space="preserve">Schaëfer, K., A.-K. Kähkönen, and D. Luzzini. 2025. "Traceability in Multi-Tier Supply Chains: Insights from Five Case Studies." </w:t>
      </w:r>
      <w:r>
        <w:rPr>
          <w:i/>
        </w:rPr>
        <w:t>Supply Chain Management: An International Journal</w:t>
      </w:r>
      <w:r>
        <w:t xml:space="preserve"> 30 (7): 77–99.</w:t>
      </w:r>
    </w:p>
    <w:p>
      <w:pPr>
        <w:spacing w:after="120"/>
        <w:ind w:firstLine="0"/>
      </w:pPr>
      <w:r>
        <w:t xml:space="preserve">Uddin, S., M. S. Ahmed, and K. Shahadat. 2023. "Supply Chain Accountability, COVID-19, and Violations of Workers' Rights in the Global Clothing Supply Chain." </w:t>
      </w:r>
      <w:r>
        <w:rPr>
          <w:i/>
        </w:rPr>
        <w:t>Supply Chain Management: An International Journal</w:t>
      </w:r>
      <w:r>
        <w:t xml:space="preserve"> 28 (5): 859–873.</w:t>
      </w:r>
    </w:p>
    <w:p>
      <w:pPr>
        <w:spacing w:after="120"/>
        <w:ind w:firstLine="0"/>
      </w:pPr>
      <w:r>
        <w:t xml:space="preserve">Wang, M., D. Prajogo, and D. M. Gligor. 2026b. "From Supply Chain Digitalization to Resilience: The Paradoxical Role of Supply Chain Transparency." </w:t>
      </w:r>
      <w:r>
        <w:rPr>
          <w:i/>
        </w:rPr>
        <w:t>Supply Chain Management: An International Journal</w:t>
      </w:r>
      <w:r>
        <w:t>, in press.</w:t>
      </w:r>
    </w:p>
    <w:p>
      <w:pPr>
        <w:pStyle w:val="Heading2"/>
      </w:pPr>
      <w:r>
        <w:t>International Journal of Operations &amp; Production Management (4)</w:t>
      </w:r>
    </w:p>
    <w:p>
      <w:pPr>
        <w:spacing w:after="120"/>
        <w:ind w:firstLine="0"/>
      </w:pPr>
      <w:r>
        <w:t xml:space="preserve">Adhi Santharm, B., and U. Ramanathan. 2022. "Supply Chain Transparency for Sustainability – An Intervention-Based Research Approach." </w:t>
      </w:r>
      <w:r>
        <w:rPr>
          <w:i/>
        </w:rPr>
        <w:t>International Journal of Operations &amp; Production Management</w:t>
      </w:r>
      <w:r>
        <w:t xml:space="preserve"> 42 (7): 995–1021.</w:t>
      </w:r>
    </w:p>
    <w:p>
      <w:pPr>
        <w:spacing w:after="120"/>
        <w:ind w:firstLine="0"/>
      </w:pPr>
      <w:r>
        <w:t xml:space="preserve">Khan, M., M. Rogerson, D. Papadas, K. Behrendt, and L. Arnold. 2026. "Conflicting Institutional Logics in Agricultural Supply Chain Labour Governance: The Role of Upstream Agency." </w:t>
      </w:r>
      <w:r>
        <w:rPr>
          <w:i/>
        </w:rPr>
        <w:t>International Journal of Operations &amp; Production Management</w:t>
      </w:r>
      <w:r>
        <w:t>, in press.</w:t>
      </w:r>
    </w:p>
    <w:p>
      <w:pPr>
        <w:spacing w:after="120"/>
        <w:ind w:firstLine="0"/>
      </w:pPr>
      <w:r>
        <w:t xml:space="preserve">Marttinen, K., and A.-K. Kähkönen. 2022. "Fostering Firms' Ability to Cascade Sustainability through Multi-Tier Supply Chains: An Investigation of Power Sources." </w:t>
      </w:r>
      <w:r>
        <w:rPr>
          <w:i/>
        </w:rPr>
        <w:t>International Journal of Operations &amp; Production Management</w:t>
      </w:r>
      <w:r>
        <w:t xml:space="preserve"> 42 (8): 1146–1172.</w:t>
      </w:r>
    </w:p>
    <w:p>
      <w:pPr>
        <w:spacing w:after="120"/>
        <w:ind w:firstLine="0"/>
      </w:pPr>
      <w:r>
        <w:t xml:space="preserve">Saunila, M., J. Ukko, and A. Jääskeläinen. 2024. "The Importance of Performance Measurement and Management in Sustainable Supply Chain Governance among SMEs." </w:t>
      </w:r>
      <w:r>
        <w:rPr>
          <w:i/>
        </w:rPr>
        <w:t>International Journal of Operations &amp; Production Management</w:t>
      </w:r>
      <w:r>
        <w:t xml:space="preserve"> 44 (13): 229–250.</w:t>
      </w:r>
    </w:p>
    <w:p>
      <w:pPr>
        <w:pStyle w:val="Heading2"/>
      </w:pPr>
      <w:r>
        <w:t>Business Strategy and the Environment (4)</w:t>
      </w:r>
    </w:p>
    <w:p>
      <w:pPr>
        <w:spacing w:after="120"/>
        <w:ind w:firstLine="0"/>
      </w:pPr>
      <w:r>
        <w:t xml:space="preserve">Agyemang, M., D. Faibil, R. Asante, and C. Iodice. 2026. "Practising Digital Product Passport for Circular Supply Chain: Ecosystem Orchestration Perspective." </w:t>
      </w:r>
      <w:r>
        <w:rPr>
          <w:i/>
        </w:rPr>
        <w:t>Business Strategy and the Environment</w:t>
      </w:r>
      <w:r>
        <w:t>, in press.</w:t>
      </w:r>
    </w:p>
    <w:p>
      <w:pPr>
        <w:spacing w:after="120"/>
        <w:ind w:firstLine="0"/>
      </w:pPr>
      <w:r>
        <w:t xml:space="preserve">Awan, U., S. Shamim, and L. Hannola. 2025. "Green Innovation and Low-Carbon Operations: The Role of Net-Zero Capabilities in Transition towards Carbon Neutrality in Circular Supply Chains." </w:t>
      </w:r>
      <w:r>
        <w:rPr>
          <w:i/>
        </w:rPr>
        <w:t>Business Strategy and the Environment</w:t>
      </w:r>
      <w:r>
        <w:t xml:space="preserve"> 35 (2): 2777–2791.</w:t>
      </w:r>
    </w:p>
    <w:p>
      <w:pPr>
        <w:spacing w:after="120"/>
        <w:ind w:firstLine="0"/>
      </w:pPr>
      <w:r>
        <w:t xml:space="preserve">Mehmood, K., P. Kautish, S. K. Mangla, A. Ali, and Y. Kazancoglu. 2024. "Navigating a Net-Zero Economy Future: Antecedents and Consequences of Net-Zero Economy-Based Green Innovation." </w:t>
      </w:r>
      <w:r>
        <w:rPr>
          <w:i/>
        </w:rPr>
        <w:t>Business Strategy and the Environment</w:t>
      </w:r>
      <w:r>
        <w:t xml:space="preserve"> 33 (5): 4175–4197.</w:t>
      </w:r>
    </w:p>
    <w:p>
      <w:pPr>
        <w:spacing w:after="120"/>
        <w:ind w:firstLine="0"/>
      </w:pPr>
      <w:r>
        <w:t xml:space="preserve">Vimal, K. E. K., K. Sivakumar, J. Kandasamy, U. Kumar, and A. Kumar. 2026. "Achieving Carbon Neutrality: Strategic Pathways to Sustainability and Net Zero in Manufacturing Supply Chains." </w:t>
      </w:r>
      <w:r>
        <w:rPr>
          <w:i/>
        </w:rPr>
        <w:t>Business Strategy and the Environment</w:t>
      </w:r>
      <w:r>
        <w:t>, in press.</w:t>
      </w:r>
    </w:p>
    <w:p>
      <w:pPr>
        <w:pStyle w:val="Heading2"/>
      </w:pPr>
      <w:r>
        <w:t>The International Journal of Logistics Management (2)</w:t>
      </w:r>
    </w:p>
    <w:p>
      <w:pPr>
        <w:spacing w:after="120"/>
        <w:ind w:firstLine="0"/>
      </w:pPr>
      <w:r>
        <w:t xml:space="preserve">Morgan, T. R., C. B. Gabler, and P. S. Manhart. 2023. "Supply Chain Transparency: Theoretical Perspectives for Future Research." </w:t>
      </w:r>
      <w:r>
        <w:rPr>
          <w:i/>
        </w:rPr>
        <w:t>The International Journal of Logistics Management</w:t>
      </w:r>
      <w:r>
        <w:t xml:space="preserve"> 34 (5): 1422–1445.</w:t>
      </w:r>
    </w:p>
    <w:p>
      <w:pPr>
        <w:spacing w:after="120"/>
        <w:ind w:firstLine="0"/>
      </w:pPr>
      <w:r>
        <w:t xml:space="preserve">Zhu, Q., Y. Duan, and J. Sarkis. 2023. "Supply Chain Carbon Transparency to Consumers via Blockchain: Does the Truth Hurt?" </w:t>
      </w:r>
      <w:r>
        <w:rPr>
          <w:i/>
        </w:rPr>
        <w:t>The International Journal of Logistics Management</w:t>
      </w:r>
      <w:r>
        <w:t xml:space="preserve"> 35 (3): 833–864.</w:t>
      </w:r>
    </w:p>
    <w:p>
      <w:pPr>
        <w:pStyle w:val="Heading2"/>
      </w:pPr>
      <w:r>
        <w:t>Resources, Conservation and Recycling (3)</w:t>
      </w:r>
    </w:p>
    <w:p>
      <w:pPr>
        <w:spacing w:after="120"/>
        <w:ind w:firstLine="0"/>
      </w:pPr>
      <w:r>
        <w:t xml:space="preserve">Jerome, A., H. Helander, M. Ljunggren, and M. Janssen. 2022. "Mapping and Testing Circular Economy Product-Level Indicators: A Critical Review." </w:t>
      </w:r>
      <w:r>
        <w:rPr>
          <w:i/>
        </w:rPr>
        <w:t>Resources, Conservation and Recycling</w:t>
      </w:r>
      <w:r>
        <w:t xml:space="preserve"> 178: 106080.</w:t>
      </w:r>
    </w:p>
    <w:p>
      <w:pPr>
        <w:spacing w:after="120"/>
        <w:ind w:firstLine="0"/>
      </w:pPr>
      <w:r>
        <w:t xml:space="preserve">Poponi, S., G. Arcese, F. Pacchera, and O. Martucci. 2022. "Evaluating the Transition to the Circular Economy in the Agri-Food Sector: Selection of Indicators." </w:t>
      </w:r>
      <w:r>
        <w:rPr>
          <w:i/>
        </w:rPr>
        <w:t>Resources, Conservation and Recycling</w:t>
      </w:r>
      <w:r>
        <w:t xml:space="preserve"> 176: 105916.</w:t>
      </w:r>
    </w:p>
    <w:p>
      <w:pPr>
        <w:spacing w:after="120"/>
        <w:ind w:firstLine="0"/>
      </w:pPr>
      <w:r>
        <w:t xml:space="preserve">de Oliveira, C. T., and G. G. A. Oliveira. 2023. "What Circular Economy Indicators Really Measure? An Overview of Circular Economy Principles and Sustainable Development Goals." </w:t>
      </w:r>
      <w:r>
        <w:rPr>
          <w:i/>
        </w:rPr>
        <w:t>Resources, Conservation and Recycling</w:t>
      </w:r>
      <w:r>
        <w:t xml:space="preserve"> 190: 106850.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