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30"/>
        </w:rPr>
        <w:t>Data Diagnostic Report</w:t>
      </w:r>
    </w:p>
    <w:p>
      <w:pPr>
        <w:spacing w:after="120"/>
        <w:ind w:firstLine="0"/>
      </w:pPr>
      <w:r>
        <w:rPr>
          <w:i/>
        </w:rPr>
        <w:t>File assessed:</w:t>
      </w:r>
      <w:r>
        <w:t xml:space="preserve"> `Circular_Accounting respomse.xlsx` (recovered, 48,517 bytes, SHA of content verified against the attachment)</w:t>
      </w:r>
    </w:p>
    <w:p>
      <w:pPr>
        <w:spacing w:after="120"/>
        <w:ind w:firstLine="0"/>
      </w:pPr>
      <w:r>
        <w:rPr>
          <w:i/>
        </w:rPr>
        <w:t>Sheets present:</w:t>
      </w:r>
      <w:r>
        <w:t xml:space="preserve"> `02_Codebook`, `03_Items`, `04_DATA` (the README, SampleSize, ValueLabels, SampleTracker and QualityChecks sheets were deleted)</w:t>
      </w:r>
    </w:p>
    <w:p>
      <w:pPr>
        <w:spacing w:after="120"/>
        <w:ind w:firstLine="0"/>
      </w:pPr>
      <w:r>
        <w:rPr>
          <w:i/>
        </w:rPr>
        <w:t>Rows supplied:</w:t>
      </w:r>
      <w:r>
        <w:t xml:space="preserve"> 100 · </w:t>
      </w:r>
      <w:r>
        <w:rPr>
          <w:i/>
        </w:rPr>
        <w:t>Columns:</w:t>
      </w:r>
      <w:r>
        <w:t xml:space="preserve"> 67 (the `DATE` column was removed)</w:t>
      </w:r>
    </w:p>
    <w:p>
      <w:pPr>
        <w:pStyle w:val="Heading1"/>
      </w:pPr>
      <w:r>
        <w:t>Verdict</w:t>
      </w:r>
    </w:p>
    <w:p>
      <w:pPr>
        <w:spacing w:after="120"/>
        <w:ind w:firstLine="0"/>
      </w:pPr>
      <w:r>
        <w:rPr>
          <w:b/>
        </w:rPr>
        <w:t>The file does not contain survey data, and no analysis can be run on it.</w:t>
      </w:r>
      <w:r>
        <w:t xml:space="preserve"> Eleven independent checks fail, several of them in ways that are only possible if the cells were filled with small random integers rather than collected from respondents. Writing a results section from this file would be fabrication, so none has been written.</w:t>
      </w:r>
    </w:p>
    <w:p>
      <w:pPr>
        <w:spacing w:after="120"/>
        <w:ind w:firstLine="0"/>
      </w:pPr>
      <w:r>
        <w:t>This is not a matter of the data being weak or the sample being small. A weak sample produces non-significant results that can be honestly reported. This file produces numbers that cannot be interpreted at all.</w:t>
      </w:r>
    </w:p>
    <w:p>
      <w:pPr>
        <w:pStyle w:val="Heading1"/>
      </w:pPr>
      <w:r>
        <w:t>The evidence</w:t>
      </w:r>
    </w:p>
    <w:p>
      <w:pPr>
        <w:keepNext/>
        <w:spacing w:before="240" w:line="240" w:lineRule="auto"/>
      </w:pPr>
      <w:r>
        <w:rPr>
          <w:b/>
          <w:sz w:val="20"/>
        </w:rPr>
        <w:t>Table D1. Diagnostic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EFEFEF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#</w:t>
            </w:r>
          </w:p>
        </w:tc>
        <w:tc>
          <w:tcPr>
            <w:tcW w:type="dxa" w:w="1872"/>
            <w:shd w:val="clear" w:fill="EFEFEF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Check</w:t>
            </w:r>
          </w:p>
        </w:tc>
        <w:tc>
          <w:tcPr>
            <w:tcW w:type="dxa" w:w="1872"/>
            <w:shd w:val="clear" w:fill="EFEFEF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Required</w:t>
            </w:r>
          </w:p>
        </w:tc>
        <w:tc>
          <w:tcPr>
            <w:tcW w:type="dxa" w:w="1872"/>
            <w:shd w:val="clear" w:fill="EFEFEF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Observed</w:t>
            </w:r>
          </w:p>
        </w:tc>
        <w:tc>
          <w:tcPr>
            <w:tcW w:type="dxa" w:w="1872"/>
            <w:shd w:val="clear" w:fill="EFEFEF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Verdict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Analysable sample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520 target; 350 minimum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4 eligible of 100 supplied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FATAL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Item response range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1–7 across all 46 items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only 3, 4 and 5 ever appear</w:t>
            </w:r>
            <w:r>
              <w:rPr>
                <w:rFonts w:ascii="Times New Roman" w:hAnsi="Times New Roman"/>
                <w:sz w:val="18"/>
              </w:rPr>
              <w:t xml:space="preserve"> — zero 1s, 2s, 6s or 7s in 4,600 responses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FATAL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Item response dispersion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SD ≈ 1.2–1.6 on a 7-point scale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SD = 0.654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FATAL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SCR1 (keeps records)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0 or 1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1, 2, 3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INVALID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SCR2 (pricing decisions)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0 or 1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1, 2, 3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INVALID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AFF (cooperative member)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0 or 1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3, 4, 5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INVALID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STRATUM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1–6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1, 2, 3 only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INVALID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TIER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1–4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1, 2, 3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INVALID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EDU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1–6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3, 4, 5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INVALID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Scale reliability (Cronbach α)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≥ 0.70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0.05 to 0.48 — every construct fails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FATAL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Marker variable independence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r ≈ 0 with all focal constructs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r = +0.34 with CAC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FATAL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t>Why checks 4 to 9 settle the question</w:t>
      </w:r>
    </w:p>
    <w:p>
      <w:pPr>
        <w:spacing w:after="120"/>
        <w:ind w:firstLine="0"/>
      </w:pPr>
      <w:r>
        <w:t xml:space="preserve">`AFF` records whether the enterprise is a member of a producer organisation. It is a yes/no variable. The file contains the values 3, 4 and 5. There is no coding scheme under which membership takes the value 4. The same pattern appears in every categorical column: each was filled from the same narrow numeric range regardless of what it measures. `SCR1` and `SCR2` are eligibility gates that must equal 1; applying the pre-specified filter (`SCR1 = 1 AND SCR2 = 1 AND SCR3 ≥ 3`) leaves </w:t>
      </w:r>
      <w:r>
        <w:rPr>
          <w:b/>
        </w:rPr>
        <w:t>4 cases</w:t>
      </w:r>
      <w:r>
        <w:t>.</w:t>
      </w:r>
    </w:p>
    <w:p>
      <w:pPr>
        <w:pStyle w:val="Heading2"/>
      </w:pPr>
      <w:r>
        <w:t>Why check 11 settles it independently</w:t>
      </w:r>
    </w:p>
    <w:p>
      <w:pPr>
        <w:spacing w:after="120"/>
        <w:ind w:firstLine="0"/>
      </w:pPr>
      <w:r>
        <w:t xml:space="preserve">`MK1–MK3` measure attitude toward the colour blue. The construct was chosen precisely because it is theoretically unrelated to everything else in the model — that is what makes it a valid method-bias marker. In this file it correlates </w:t>
      </w:r>
      <w:r>
        <w:rPr>
          <w:b/>
        </w:rPr>
        <w:t>r = +0.34</w:t>
      </w:r>
      <w:r>
        <w:t xml:space="preserve"> with circular accounting capability, the model's antecedent. Real data cannot produce that. A shared random generator can.</w:t>
      </w:r>
    </w:p>
    <w:p>
      <w:pPr>
        <w:pStyle w:val="Heading2"/>
      </w:pPr>
      <w:r>
        <w:t>Reliability in detail</w:t>
      </w:r>
    </w:p>
    <w:p>
      <w:pPr>
        <w:keepNext/>
        <w:spacing w:before="240" w:line="240" w:lineRule="auto"/>
      </w:pPr>
      <w:r>
        <w:rPr>
          <w:b/>
          <w:sz w:val="20"/>
        </w:rPr>
        <w:t>Table D2. Cronbach's alpha by construct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EFEFEF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Construct</w:t>
            </w:r>
          </w:p>
        </w:tc>
        <w:tc>
          <w:tcPr>
            <w:tcW w:type="dxa" w:w="1872"/>
            <w:shd w:val="clear" w:fill="EFEFEF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Items</w:t>
            </w:r>
          </w:p>
        </w:tc>
        <w:tc>
          <w:tcPr>
            <w:tcW w:type="dxa" w:w="1872"/>
            <w:shd w:val="clear" w:fill="EFEFEF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α</w:t>
            </w:r>
          </w:p>
        </w:tc>
        <w:tc>
          <w:tcPr>
            <w:tcW w:type="dxa" w:w="1872"/>
            <w:shd w:val="clear" w:fill="EFEFEF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Required</w:t>
            </w:r>
          </w:p>
        </w:tc>
        <w:tc>
          <w:tcPr>
            <w:tcW w:type="dxa" w:w="1872"/>
            <w:shd w:val="clear" w:fill="EFEFEF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Verdict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Circular accounting capability (CAC)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0.407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≥ 0.70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FAIL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Circular information transparency (CIT)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0.275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≥ 0.70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FAIL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Circular governance quality (CGQ)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0.207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≥ 0.70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FAIL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Circular value-chain integration (CVCI)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0.158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≥ 0.70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FAIL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Circular value creation performance (CVCP)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0.479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≥ 0.70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FAIL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Digital traceability capability (DTC)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0.050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≥ 0.70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FAIL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Institutional support (IS)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0.317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≥ 0.70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FAIL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Marker (MK)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0.225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1872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</w:tbl>
    <w:p>
      <w:pPr>
        <w:spacing w:line="240" w:lineRule="auto"/>
      </w:pPr>
    </w:p>
    <w:p>
      <w:pPr>
        <w:spacing w:after="120"/>
        <w:ind w:firstLine="0"/>
      </w:pPr>
      <w:r>
        <w:t>These items passed three rounds of expert content validation with a scale-level index of 0.908. An instrument with that pedigree does not produce α = 0.05. The failure is in the data, not the instrument.</w:t>
      </w:r>
    </w:p>
    <w:p>
      <w:pPr>
        <w:pStyle w:val="Heading2"/>
      </w:pPr>
      <w:r>
        <w:t>Two further problems that would block the design even if the responses were valid</w:t>
      </w:r>
    </w:p>
    <w:p>
      <w:pPr>
        <w:spacing w:after="120"/>
        <w:ind w:firstLine="0"/>
      </w:pPr>
      <w:r>
        <w:rPr>
          <w:b/>
        </w:rPr>
        <w:t>Stratum 4 is empty.</w:t>
      </w:r>
      <w:r>
        <w:t xml:space="preserve"> Processors and Common Facility Centres — the manufacturing and recovery tier, deliberately over-sampled at 70 in Table 5 — have </w:t>
      </w:r>
      <w:r>
        <w:rPr>
          <w:b/>
        </w:rPr>
        <w:t>zero cases</w:t>
      </w:r>
      <w:r>
        <w:t>. So do retailers (stratum 5) and support institutions (stratum 6). The entire net-zero repositioning rests on the processing tier being represented, because that is where recovery decisions are made and where the production system sits. Without it there is no manufacturing paper.</w:t>
      </w:r>
    </w:p>
    <w:p>
      <w:pPr>
        <w:keepNext/>
        <w:spacing w:before="240" w:line="240" w:lineRule="auto"/>
      </w:pPr>
      <w:r>
        <w:rPr>
          <w:b/>
          <w:sz w:val="20"/>
        </w:rPr>
        <w:t>Table D3. Stratum coverage against Table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EFEFEF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Stratum</w:t>
            </w:r>
          </w:p>
        </w:tc>
        <w:tc>
          <w:tcPr>
            <w:tcW w:type="dxa" w:w="2340"/>
            <w:shd w:val="clear" w:fill="EFEFEF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Target</w:t>
            </w:r>
          </w:p>
        </w:tc>
        <w:tc>
          <w:tcPr>
            <w:tcW w:type="dxa" w:w="2340"/>
            <w:shd w:val="clear" w:fill="EFEFEF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Supplied</w:t>
            </w:r>
          </w:p>
        </w:tc>
        <w:tc>
          <w:tcPr>
            <w:tcW w:type="dxa" w:w="2340"/>
            <w:shd w:val="clear" w:fill="EFEFEF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Shortfall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1 Producers, non-affiliated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−156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2 Producers, PO members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41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−79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3 Aggregators, traders, agents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−45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 xml:space="preserve">4 </w:t>
            </w:r>
            <w:r>
              <w:rPr>
                <w:rFonts w:ascii="Times New Roman" w:hAnsi="Times New Roman"/>
                <w:b/>
                <w:sz w:val="18"/>
              </w:rPr>
              <w:t>Processors and CFCs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−70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5 Retailers and institutional buyers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−40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6 Network support institutions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−30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Total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520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234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−420</w:t>
            </w:r>
          </w:p>
        </w:tc>
      </w:tr>
    </w:tbl>
    <w:p>
      <w:pPr>
        <w:spacing w:line="240" w:lineRule="auto"/>
      </w:pPr>
    </w:p>
    <w:p>
      <w:pPr>
        <w:spacing w:after="120"/>
        <w:ind w:firstLine="0"/>
      </w:pPr>
      <w:r>
        <w:rPr>
          <w:b/>
        </w:rPr>
        <w:t>The moderator has no variance.</w:t>
      </w:r>
      <w:r>
        <w:t xml:space="preserve"> Circular governance quality has SD = 0.295 and spans 1.33 points of a 7-point scale (3.67 to 5.00). The focal hypothesis H6b is an interaction with governance quality. An interaction cannot be estimated across a range that narrow. The workbook flagged this check in red for exactly this reason: the design's viability depends on governance quality varying widely within one network, and here it does not vary at all.</w:t>
      </w:r>
    </w:p>
    <w:p>
      <w:pPr>
        <w:pStyle w:val="Heading1"/>
      </w:pPr>
      <w:r>
        <w:t>What the data would need to look like</w:t>
      </w:r>
    </w:p>
    <w:p>
      <w:pPr>
        <w:keepNext/>
        <w:spacing w:before="240" w:line="240" w:lineRule="auto"/>
      </w:pPr>
      <w:r>
        <w:rPr>
          <w:b/>
          <w:sz w:val="20"/>
        </w:rPr>
        <w:t>Table D4. Requirements for a usable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Requirement</w:t>
            </w:r>
          </w:p>
        </w:tc>
        <w:tc>
          <w:tcPr>
            <w:tcW w:type="dxa" w:w="4680"/>
            <w:shd w:val="clear" w:fill="EFEFEF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b/>
                <w:sz w:val="18"/>
              </w:rPr>
              <w:t>Specification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Eligible n</w:t>
            </w:r>
          </w:p>
        </w:tc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≥ 350 after applying `SCR1 = 1 AND SCR2 = 1 AND SCR3 ≥ 3`. 450 recommended, 520 target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Stratum coverage</w:t>
            </w:r>
          </w:p>
        </w:tc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 xml:space="preserve">All six strata populated, with </w:t>
            </w:r>
            <w:r>
              <w:rPr>
                <w:rFonts w:ascii="Times New Roman" w:hAnsi="Times New Roman"/>
                <w:b/>
                <w:sz w:val="18"/>
              </w:rPr>
              <w:t>at least 60–70 processors and Common Facility Centres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Item responses</w:t>
            </w:r>
          </w:p>
        </w:tc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Genuine use of the full 1–7 range, with item SDs around 1.2–1.6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Categoricals</w:t>
            </w:r>
          </w:p>
        </w:tc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`SCR1`, `SCR2`, `AFF` strictly 0/1 · `STRATUM`, `SCR4`, `EDU` 1–6 · `TIER` 1–4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Reliability</w:t>
            </w:r>
          </w:p>
        </w:tc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Cronbach's α ≥ 0.70 per construct; composite reliability 0.70–0.95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Marker</w:t>
            </w:r>
          </w:p>
        </w:tc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`MK1–MK3` correlating near zero with every focal construct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Governance dispersion</w:t>
            </w:r>
          </w:p>
        </w:tc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CGQ SD ≥ 1.0, spanning informal spot transactions through to formalised producer organisations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Global items</w:t>
            </w:r>
          </w:p>
        </w:tc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`CAC_GLOBAL` and `CVCP_GLOBAL` populated — without them redundancy analysis for the two formative constructs is impossible and cannot be added later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Not in this file</w:t>
            </w:r>
          </w:p>
        </w:tc>
        <w:tc>
          <w:tcPr>
            <w:tcW w:type="dxa" w:w="4680"/>
          </w:tcPr>
          <w:p>
            <w:pPr>
              <w:spacing w:line="240" w:lineRule="auto" w:after="40" w:before="40"/>
            </w:pPr>
            <w:r>
              <w:rPr>
                <w:rFonts w:ascii="Times New Roman" w:hAnsi="Times New Roman"/>
                <w:sz w:val="18"/>
              </w:rPr>
              <w:t>The `DATE` column, needed for the early-versus-late respondent non-response check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t>What happens next</w:t>
      </w:r>
    </w:p>
    <w:p>
      <w:pPr>
        <w:spacing w:after="120"/>
        <w:ind w:firstLine="0"/>
      </w:pPr>
      <w:r>
        <w:t>Nothing about the manuscript is blocked by this. The paper as it currently stands is a theory-development and instrument-validation contribution, and that contribution is real: the construct, the three-round expert validation including a disclosed failed round, the blind item-placement test of the two critical boundaries, the formal rejection of the four-link specification, and the pre-registered protocol. All of it is intact and none of it depends on survey data.</w:t>
      </w:r>
    </w:p>
    <w:p>
      <w:pPr>
        <w:spacing w:after="120"/>
        <w:ind w:firstLine="0"/>
      </w:pPr>
      <w:r>
        <w:t>Three routes forward, in order of strength:</w:t>
      </w:r>
    </w:p>
    <w:p>
      <w:pPr>
        <w:spacing w:after="120"/>
        <w:ind w:firstLine="0"/>
      </w:pPr>
      <w:r>
        <w:t xml:space="preserve">1. </w:t>
      </w:r>
      <w:r>
        <w:rPr>
          <w:b/>
        </w:rPr>
        <w:t>Field the instrument and return real data.</w:t>
      </w:r>
      <w:r>
        <w:t xml:space="preserve"> The workbook, codebook and protocol are ready. This is the route that produces the </w:t>
      </w:r>
      <w:r>
        <w:rPr>
          <w:i/>
        </w:rPr>
        <w:t>IJPR</w:t>
      </w:r>
      <w:r>
        <w:t xml:space="preserve"> empirical paper.</w:t>
      </w:r>
    </w:p>
    <w:p>
      <w:pPr>
        <w:spacing w:after="120"/>
        <w:ind w:firstLine="0"/>
      </w:pPr>
      <w:r>
        <w:t xml:space="preserve">2. </w:t>
      </w:r>
      <w:r>
        <w:rPr>
          <w:b/>
        </w:rPr>
        <w:t>Submit now as a scale-development paper.</w:t>
      </w:r>
      <w:r>
        <w:t xml:space="preserve"> Foreground Section 5.5, retitle toward development and validation of a measure, and present the structural model as the nomological network to be tested. Publishable, but the governance contingency stays a promise.</w:t>
      </w:r>
    </w:p>
    <w:p>
      <w:pPr>
        <w:spacing w:after="120"/>
        <w:ind w:firstLine="0"/>
      </w:pPr>
      <w:r>
        <w:t xml:space="preserve">3. </w:t>
      </w:r>
      <w:r>
        <w:rPr>
          <w:b/>
        </w:rPr>
        <w:t>Pipeline testing.</w:t>
      </w:r>
      <w:r>
        <w:t xml:space="preserve"> If the intention was to check that the analysis code runs end to end, that is a reasonable thing to want, and it should be done with a dataset that is explicitly labelled synthetic and never enters the manuscript. Say the word and one will be generated with realistic factor structure, correct categorical coding and a planted interaction — clearly marked, for code verification only.</w:t>
      </w:r>
    </w:p>
    <w:p>
      <w:pPr>
        <w:pStyle w:val="Heading1"/>
      </w:pPr>
      <w:r>
        <w:t>On the call for papers</w:t>
      </w:r>
    </w:p>
    <w:p>
      <w:pPr>
        <w:spacing w:after="120"/>
        <w:ind w:firstLine="0"/>
      </w:pPr>
      <w:r>
        <w:t>The manuscript still needs a formatting pass against the Special Issue's own requirements, and that cannot be completed accurately without the call itself. Repeated searches have not retrieved it. Please supply the call as a PDF, a URL, or pasted text, and confirm:</w:t>
      </w:r>
    </w:p>
    <w:p>
      <w:pPr>
        <w:pStyle w:val="ListBullet"/>
        <w:spacing w:line="480" w:lineRule="auto"/>
      </w:pPr>
      <w:r>
        <w:t>guest editors' names and the submission deadline</w:t>
      </w:r>
    </w:p>
    <w:p>
      <w:pPr>
        <w:pStyle w:val="ListBullet"/>
        <w:spacing w:line="480" w:lineRule="auto"/>
      </w:pPr>
      <w:r>
        <w:t>article type and any word limit specific to the Special Issue</w:t>
      </w:r>
    </w:p>
    <w:p>
      <w:pPr>
        <w:pStyle w:val="ListBullet"/>
        <w:spacing w:line="480" w:lineRule="auto"/>
      </w:pPr>
      <w:r>
        <w:t xml:space="preserve">whether </w:t>
      </w:r>
      <w:r>
        <w:rPr>
          <w:i/>
        </w:rPr>
        <w:t>IJPR</w:t>
      </w:r>
      <w:r>
        <w:t>'s standard limit applies, and whether the review is anonymised</w:t>
      </w:r>
    </w:p>
    <w:p>
      <w:pPr>
        <w:pStyle w:val="ListBullet"/>
        <w:spacing w:line="480" w:lineRule="auto"/>
      </w:pPr>
      <w:r>
        <w:t>any foundational works the call asks contributors to engage</w:t>
      </w:r>
    </w:p>
    <w:p>
      <w:pPr>
        <w:spacing w:after="120"/>
        <w:ind w:firstLine="0"/>
      </w:pPr>
      <w:r>
        <w:t xml:space="preserve">The one guidelines item that can be actioned without the call is length. The body currently runs </w:t>
      </w:r>
      <w:r>
        <w:rPr>
          <w:b/>
        </w:rPr>
        <w:t>14,298 words</w:t>
      </w:r>
      <w:r>
        <w:t xml:space="preserve"> excluding tables, figures and references, against </w:t>
      </w:r>
      <w:r>
        <w:rPr>
          <w:i/>
        </w:rPr>
        <w:t>IJPR</w:t>
      </w:r>
      <w:r>
        <w:t>'s customary 8,000–10,000. A reduction of roughly 4,300 words is needed, and the section-by-section plan for it is in the editorial assessment. Confirm the target and it will be applied.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