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200"/>
        <w:jc w:val="center"/>
      </w:pPr>
      <w:r>
        <w:rPr>
          <w:rFonts w:ascii="Times New Roman" w:hAnsi="Times New Roman" w:eastAsia="Times New Roman"/>
          <w:b/>
          <w:i w:val="0"/>
          <w:sz w:val="24"/>
        </w:rPr>
        <w:t>Traceable, but Not Sustainable? Why Digital Visibility Fails in Fragmented Supply Chains</w:t>
      </w:r>
    </w:p>
    <w:p>
      <w:pPr>
        <w:spacing w:line="240" w:lineRule="auto" w:before="0" w:after="240"/>
        <w:jc w:val="center"/>
      </w:pPr>
      <w:r>
        <w:rPr>
          <w:rFonts w:ascii="Times New Roman" w:hAnsi="Times New Roman" w:eastAsia="Times New Roman"/>
          <w:b w:val="0"/>
          <w:i/>
          <w:sz w:val="24"/>
        </w:rPr>
        <w:t>Keywords. Digital traceability; circular economy; PLS-SEM; agro-manufacturing; transparency versus abatement</w:t>
      </w:r>
    </w:p>
    <w:p>
      <w:pPr>
        <w:spacing w:line="240" w:lineRule="auto" w:before="200" w:after="80"/>
        <w:jc w:val="left"/>
      </w:pPr>
      <w:r>
        <w:rPr>
          <w:rFonts w:ascii="Times New Roman" w:hAnsi="Times New Roman" w:eastAsia="Times New Roman"/>
          <w:b/>
          <w:i w:val="0"/>
          <w:sz w:val="24"/>
        </w:rPr>
        <w:t>Abstract</w:t>
      </w:r>
    </w:p>
    <w:p>
      <w:pPr>
        <w:spacing w:line="240" w:lineRule="auto" w:before="0" w:after="120"/>
        <w:jc w:val="both"/>
      </w:pPr>
      <w:r>
        <w:rPr>
          <w:rFonts w:ascii="Times New Roman" w:hAnsi="Times New Roman" w:eastAsia="Times New Roman"/>
          <w:b w:val="0"/>
          <w:i w:val="0"/>
          <w:sz w:val="24"/>
        </w:rPr>
        <w:t>Net-zero manufacturing relies on a calculative infrastructure that most production networks lack. Conventional accounting treats unrecovered material losses as non-existent whenever the observing actor cannot recover them. This study operationalises inter-organisational circular accounting capability, separates it from digital traceability, and evaluates how information turns into action using PLS-SEM on survey data from 520 agro-manufacturing enterprises with 10,000 bootstrap resamples. Calculation drives visibility (β = 0.532) about three times more strongly than digital traceability, and coordination creates value (β = 0.509) with traceability amplifying that path (β = 0.325 direct, β = 0.074 interaction). Visibility alone yields no action (β = -0.052, p = 0.145), whereas governance directly enables coordination (β = 0.516). Transparency therefore does not automatically trigger resource recovery.</w:t>
      </w:r>
    </w:p>
    <w:p>
      <w:pPr>
        <w:spacing w:line="240" w:lineRule="auto" w:before="200" w:after="80"/>
        <w:jc w:val="left"/>
      </w:pPr>
      <w:r>
        <w:rPr>
          <w:rFonts w:ascii="Times New Roman" w:hAnsi="Times New Roman" w:eastAsia="Times New Roman"/>
          <w:b/>
          <w:i w:val="0"/>
          <w:sz w:val="24"/>
        </w:rPr>
        <w:t>1. Introduction</w:t>
      </w:r>
    </w:p>
    <w:p>
      <w:pPr>
        <w:spacing w:line="240" w:lineRule="auto" w:before="0" w:after="120"/>
        <w:jc w:val="both"/>
      </w:pPr>
      <w:r>
        <w:rPr>
          <w:rFonts w:ascii="Times New Roman" w:hAnsi="Times New Roman" w:eastAsia="Times New Roman"/>
          <w:b w:val="0"/>
          <w:i w:val="0"/>
          <w:sz w:val="24"/>
        </w:rPr>
        <w:t>Net-zero manufacturing depends on a calculative infrastructure that most production networks do not have. Conventional accounting records what a firm buys and what it disposes of, and it stops at the legal boundary of the entity. Material that crosses that boundary and cannot be recovered by the observing actor is never recorded. The loss stays invisible, not because it is small, but because no single actor holds both the capacity to recover it and the mandate to measure it.</w:t>
      </w:r>
    </w:p>
    <w:p>
      <w:pPr>
        <w:spacing w:line="240" w:lineRule="auto" w:before="0" w:after="120"/>
        <w:jc w:val="both"/>
      </w:pPr>
      <w:r>
        <w:rPr>
          <w:rFonts w:ascii="Times New Roman" w:hAnsi="Times New Roman" w:eastAsia="Times New Roman"/>
          <w:b w:val="0"/>
          <w:i w:val="0"/>
          <w:sz w:val="24"/>
        </w:rPr>
        <w:t>Policy has answered this silence with disclosure. Digital product passports, deforestation-free sourcing rules and sustainability reporting standards all rest on one causal chain. Better data makes flows visible, visibility exposes losses, and exposed losses get recovered. The chain is intuitive and rarely tested. Firms keep investing in tracking technology while recovery rates stay flat, which suggests the chain breaks between seeing and acting.</w:t>
      </w:r>
    </w:p>
    <w:p>
      <w:pPr>
        <w:spacing w:line="240" w:lineRule="auto" w:before="0" w:after="120"/>
        <w:jc w:val="both"/>
      </w:pPr>
      <w:r>
        <w:rPr>
          <w:rFonts w:ascii="Times New Roman" w:hAnsi="Times New Roman" w:eastAsia="Times New Roman"/>
          <w:b w:val="0"/>
          <w:i w:val="0"/>
          <w:sz w:val="24"/>
        </w:rPr>
        <w:t>This study tests where it breaks. Inter-organisational circular accounting capability is defined as the shared ability of buyers and suppliers to measure, allocate and value material losses across ownership boundaries. Digital traceability is defined separately as the technical ability to identify physical units and follow their movement. The two are usually treated as one thing, and separating them allows a direct comparison.</w:t>
      </w:r>
    </w:p>
    <w:p>
      <w:pPr>
        <w:spacing w:line="240" w:lineRule="auto" w:before="0" w:after="120"/>
        <w:jc w:val="both"/>
      </w:pPr>
      <w:r>
        <w:rPr>
          <w:rFonts w:ascii="Times New Roman" w:hAnsi="Times New Roman" w:eastAsia="Times New Roman"/>
          <w:b w:val="0"/>
          <w:i w:val="0"/>
          <w:sz w:val="24"/>
        </w:rPr>
        <w:t>Three questions follow. First, what makes material flows visible. Second, whether visibility alone produces recovery action. Third, what converts coordination into circular value. Evidence comes from 520 agro-manufacturing enterprises, a setting of fragmented ownership, seasonal supply and high loss rates, where the measurement problem is severe and the recovery opportunity is large.</w:t>
      </w:r>
    </w:p>
    <w:p>
      <w:pPr>
        <w:spacing w:line="240" w:lineRule="auto" w:before="200" w:after="80"/>
        <w:jc w:val="left"/>
      </w:pPr>
      <w:r>
        <w:rPr>
          <w:rFonts w:ascii="Times New Roman" w:hAnsi="Times New Roman" w:eastAsia="Times New Roman"/>
          <w:b/>
          <w:i w:val="0"/>
          <w:sz w:val="24"/>
        </w:rPr>
        <w:t>2. Literature Review</w:t>
      </w:r>
    </w:p>
    <w:p>
      <w:pPr>
        <w:spacing w:line="240" w:lineRule="auto" w:before="0" w:after="120"/>
        <w:jc w:val="both"/>
      </w:pPr>
      <w:r>
        <w:rPr>
          <w:rFonts w:ascii="Times New Roman" w:hAnsi="Times New Roman" w:eastAsia="Times New Roman"/>
          <w:b w:val="0"/>
          <w:i w:val="0"/>
          <w:sz w:val="24"/>
        </w:rPr>
        <w:t>Material flow cost accounting made internal losses financially legible by pricing waste as lost input rather than as a disposal item (Christ &amp; Burritt, 2015). Circular economy research then moved the unit of analysis from the factory to the network, where value retention depends on actors who neither own nor control one another (Bocken et al., 2016; Kirchherr et al., 2017). The accounting tools did not travel with the concept, so network losses stay unpriced.</w:t>
      </w:r>
    </w:p>
    <w:p>
      <w:pPr>
        <w:spacing w:line="240" w:lineRule="auto" w:before="0" w:after="120"/>
        <w:jc w:val="both"/>
      </w:pPr>
      <w:r>
        <w:rPr>
          <w:rFonts w:ascii="Times New Roman" w:hAnsi="Times New Roman" w:eastAsia="Times New Roman"/>
          <w:b w:val="0"/>
          <w:i w:val="0"/>
          <w:sz w:val="24"/>
        </w:rPr>
        <w:t>Transparency research has grown quickly but treats visibility largely as an end state (Sodhi &amp; Tang, 2019). Knowing where material goes is not the same as being able to act on that knowledge. Where disclosure is externally imposed, institutional theory predicts symbolic conformity rather than real change, since coercive pressure rewards the appearance of compliance (DiMaggio &amp; Powell, 1983).</w:t>
      </w:r>
    </w:p>
    <w:p>
      <w:pPr>
        <w:spacing w:line="240" w:lineRule="auto" w:before="0" w:after="120"/>
        <w:jc w:val="both"/>
      </w:pPr>
      <w:r>
        <w:rPr>
          <w:rFonts w:ascii="Times New Roman" w:hAnsi="Times New Roman" w:eastAsia="Times New Roman"/>
          <w:b w:val="0"/>
          <w:i w:val="0"/>
          <w:sz w:val="24"/>
        </w:rPr>
        <w:t>The capability and relational perspectives explain what closes the gap. Routines for sensing and reconfiguring resources are valuable because they are hard to copy (Barney, 1991; Teece, 2007), and relational rents come from governance and investments that partners build together (Dyer &amp; Singh, 1998). Circular accounting capability fits this logic, since it is a joint routine rather than a purchased system.</w:t>
      </w:r>
    </w:p>
    <w:p>
      <w:pPr>
        <w:spacing w:line="240" w:lineRule="auto" w:before="0" w:after="120"/>
        <w:jc w:val="both"/>
      </w:pPr>
      <w:r>
        <w:rPr>
          <w:rFonts w:ascii="Times New Roman" w:hAnsi="Times New Roman" w:eastAsia="Times New Roman"/>
          <w:b w:val="0"/>
          <w:i w:val="0"/>
          <w:sz w:val="24"/>
        </w:rPr>
        <w:t>Seven hypotheses follow.</w:t>
      </w:r>
    </w:p>
    <w:p>
      <w:pPr>
        <w:spacing w:line="240" w:lineRule="auto" w:before="0" w:after="40"/>
        <w:ind w:left="480"/>
        <w:jc w:val="both"/>
      </w:pPr>
      <w:r>
        <w:rPr>
          <w:rFonts w:ascii="Times New Roman" w:hAnsi="Times New Roman" w:eastAsia="Times New Roman"/>
          <w:b w:val="0"/>
          <w:i w:val="0"/>
          <w:sz w:val="24"/>
        </w:rPr>
        <w:t>H1. Circular accounting capability increases material flow visibility.</w:t>
      </w:r>
    </w:p>
    <w:p>
      <w:pPr>
        <w:spacing w:line="240" w:lineRule="auto" w:before="0" w:after="40"/>
        <w:ind w:left="480"/>
        <w:jc w:val="both"/>
      </w:pPr>
      <w:r>
        <w:rPr>
          <w:rFonts w:ascii="Times New Roman" w:hAnsi="Times New Roman" w:eastAsia="Times New Roman"/>
          <w:b w:val="0"/>
          <w:i w:val="0"/>
          <w:sz w:val="24"/>
        </w:rPr>
        <w:t>H2. Digital traceability increases visibility, more weakly than accounting capability.</w:t>
      </w:r>
    </w:p>
    <w:p>
      <w:pPr>
        <w:spacing w:line="240" w:lineRule="auto" w:before="0" w:after="40"/>
        <w:ind w:left="480"/>
        <w:jc w:val="both"/>
      </w:pPr>
      <w:r>
        <w:rPr>
          <w:rFonts w:ascii="Times New Roman" w:hAnsi="Times New Roman" w:eastAsia="Times New Roman"/>
          <w:b w:val="0"/>
          <w:i w:val="0"/>
          <w:sz w:val="24"/>
        </w:rPr>
        <w:t>H3. Material flow visibility increases resource recovery action.</w:t>
      </w:r>
    </w:p>
    <w:p>
      <w:pPr>
        <w:spacing w:line="240" w:lineRule="auto" w:before="0" w:after="40"/>
        <w:ind w:left="480"/>
        <w:jc w:val="both"/>
      </w:pPr>
      <w:r>
        <w:rPr>
          <w:rFonts w:ascii="Times New Roman" w:hAnsi="Times New Roman" w:eastAsia="Times New Roman"/>
          <w:b w:val="0"/>
          <w:i w:val="0"/>
          <w:sz w:val="24"/>
        </w:rPr>
        <w:t>H4. Circular governance increases inter-organisational coordination.</w:t>
      </w:r>
    </w:p>
    <w:p>
      <w:pPr>
        <w:spacing w:line="240" w:lineRule="auto" w:before="0" w:after="40"/>
        <w:ind w:left="480"/>
        <w:jc w:val="both"/>
      </w:pPr>
      <w:r>
        <w:rPr>
          <w:rFonts w:ascii="Times New Roman" w:hAnsi="Times New Roman" w:eastAsia="Times New Roman"/>
          <w:b w:val="0"/>
          <w:i w:val="0"/>
          <w:sz w:val="24"/>
        </w:rPr>
        <w:t>H5. Coordination increases circular value creation.</w:t>
      </w:r>
    </w:p>
    <w:p>
      <w:pPr>
        <w:spacing w:line="240" w:lineRule="auto" w:before="0" w:after="40"/>
        <w:ind w:left="480"/>
        <w:jc w:val="both"/>
      </w:pPr>
      <w:r>
        <w:rPr>
          <w:rFonts w:ascii="Times New Roman" w:hAnsi="Times New Roman" w:eastAsia="Times New Roman"/>
          <w:b w:val="0"/>
          <w:i w:val="0"/>
          <w:sz w:val="24"/>
        </w:rPr>
        <w:t>H6. Digital traceability increases circular value creation.</w:t>
      </w:r>
    </w:p>
    <w:p>
      <w:pPr>
        <w:spacing w:line="240" w:lineRule="auto" w:before="0" w:after="40"/>
        <w:ind w:left="480"/>
        <w:jc w:val="both"/>
      </w:pPr>
      <w:r>
        <w:rPr>
          <w:rFonts w:ascii="Times New Roman" w:hAnsi="Times New Roman" w:eastAsia="Times New Roman"/>
          <w:b w:val="0"/>
          <w:i w:val="0"/>
          <w:sz w:val="24"/>
        </w:rPr>
        <w:t>H7. Digital traceability strengthens the coordination to value relationship.</w:t>
      </w:r>
    </w:p>
    <w:p>
      <w:pPr>
        <w:spacing w:line="240" w:lineRule="auto" w:before="200" w:after="80"/>
        <w:jc w:val="left"/>
      </w:pPr>
      <w:r>
        <w:rPr>
          <w:rFonts w:ascii="Times New Roman" w:hAnsi="Times New Roman" w:eastAsia="Times New Roman"/>
          <w:b/>
          <w:i w:val="0"/>
          <w:sz w:val="24"/>
        </w:rPr>
        <w:t>3. Data and Methodology</w:t>
      </w:r>
    </w:p>
    <w:p>
      <w:pPr>
        <w:spacing w:line="240" w:lineRule="auto" w:before="0" w:after="120"/>
        <w:jc w:val="both"/>
      </w:pPr>
      <w:r>
        <w:rPr>
          <w:rFonts w:ascii="Times New Roman" w:hAnsi="Times New Roman" w:eastAsia="Times New Roman"/>
          <w:b w:val="0"/>
          <w:i w:val="0"/>
          <w:sz w:val="24"/>
        </w:rPr>
        <w:t>Data come from a cross-sectional survey of agro-manufacturing enterprises spanning grain milling, oilseed processing, fruit and vegetable processing, dairy and sugar. One key informant per firm was targeted, holding operations, quality or sustainability responsibility. After screening for incomplete answers and insufficient informant knowledge, 520 usable responses were retained. Early and late respondents showed no meaningful differences on the focal constructs.</w:t>
      </w:r>
    </w:p>
    <w:p>
      <w:pPr>
        <w:spacing w:line="240" w:lineRule="auto" w:before="0" w:after="120"/>
        <w:jc w:val="both"/>
      </w:pPr>
      <w:r>
        <w:rPr>
          <w:rFonts w:ascii="Times New Roman" w:hAnsi="Times New Roman" w:eastAsia="Times New Roman"/>
          <w:b w:val="0"/>
          <w:i w:val="0"/>
          <w:sz w:val="24"/>
        </w:rPr>
        <w:t>All focal constructs were measured reflectively on seven-point scales, using items adapted from prior work and refined through expert review and a pilot with practising managers. Resource recovery action was captured as realised behaviour, covering by-product rerouting, loss reduction projects and joint recovery investment, rather than intention. Circular governance covered contractual and relational mechanisms together. Firm size, age, export orientation and certification entered as controls.</w:t>
      </w:r>
    </w:p>
    <w:p>
      <w:pPr>
        <w:spacing w:line="240" w:lineRule="auto" w:before="0" w:after="120"/>
        <w:jc w:val="both"/>
      </w:pPr>
      <w:r>
        <w:rPr>
          <w:rFonts w:ascii="Times New Roman" w:hAnsi="Times New Roman" w:eastAsia="Times New Roman"/>
          <w:b w:val="0"/>
          <w:i w:val="0"/>
          <w:sz w:val="24"/>
        </w:rPr>
        <w:t>Common method bias was assessed with a single-factor test, an unrelated marker variable and full collinearity variance inflation factors (Podsakoff et al., 2003). None of the diagnostics indicated a problem.</w:t>
      </w:r>
    </w:p>
    <w:p>
      <w:pPr>
        <w:spacing w:line="240" w:lineRule="auto" w:before="0" w:after="120"/>
        <w:jc w:val="both"/>
      </w:pPr>
      <w:r>
        <w:rPr>
          <w:rFonts w:ascii="Times New Roman" w:hAnsi="Times New Roman" w:eastAsia="Times New Roman"/>
          <w:b w:val="0"/>
          <w:i w:val="0"/>
          <w:sz w:val="24"/>
        </w:rPr>
        <w:t>Partial least squares structural equation modelling suits a complex model that contains an interaction and is used for prediction as well as explanation (Hair et al., 2019). Paths were estimated with 10,000 bootstrap resamples and bias-corrected accelerated intervals, and the moderating effect through the two-stage approach (Becker et al., 2018). Discriminant validity used the heterotrait-monotrait ratio (Henseler et al., 2015), predictive power used PLSpredict (Shmueli et al., 2019), and endogeneity was checked with a Gaussian copula (Park &amp; Gupta, 2012).</w:t>
      </w:r>
    </w:p>
    <w:p>
      <w:pPr>
        <w:spacing w:line="240" w:lineRule="auto" w:before="200" w:after="80"/>
        <w:jc w:val="left"/>
      </w:pPr>
      <w:r>
        <w:rPr>
          <w:rFonts w:ascii="Times New Roman" w:hAnsi="Times New Roman" w:eastAsia="Times New Roman"/>
          <w:b/>
          <w:i w:val="0"/>
          <w:sz w:val="24"/>
        </w:rPr>
        <w:t>4. Results and Discussion</w:t>
      </w:r>
    </w:p>
    <w:p>
      <w:pPr>
        <w:spacing w:line="240" w:lineRule="auto" w:before="0" w:after="120"/>
        <w:jc w:val="both"/>
      </w:pPr>
      <w:r>
        <w:rPr>
          <w:rFonts w:ascii="Times New Roman" w:hAnsi="Times New Roman" w:eastAsia="Times New Roman"/>
          <w:b w:val="0"/>
          <w:i w:val="0"/>
          <w:sz w:val="24"/>
        </w:rPr>
        <w:t>The measurement model performed well. Loadings exceeded 0.70, composite reliabilities ranged from 0.85 to 0.93, average variance extracted exceeded 0.50 for every construct, and all heterotrait-monotrait ratios stayed below 0.85. Inner model variance inflation factors remained under 3.3.</w:t>
      </w:r>
    </w:p>
    <w:p>
      <w:pPr>
        <w:spacing w:line="240" w:lineRule="auto" w:before="0" w:after="120"/>
        <w:jc w:val="both"/>
      </w:pPr>
      <w:r>
        <w:rPr>
          <w:rFonts w:ascii="Times New Roman" w:hAnsi="Times New Roman" w:eastAsia="Times New Roman"/>
          <w:b w:val="0"/>
          <w:i w:val="0"/>
          <w:sz w:val="24"/>
        </w:rPr>
        <w:t>Circular accounting capability is the dominant driver of material flow visibility (β = 0.532, p &lt; 0.001). Digital traceability also contributes, but its effect is roughly one third the size. Shared calculation, not shared connectivity, is what makes losses appear. A tracking system reports that material moved. An accounting capability states how much was lost, whose input it was and what it was worth.</w:t>
      </w:r>
    </w:p>
    <w:p>
      <w:pPr>
        <w:spacing w:line="240" w:lineRule="auto" w:before="0" w:after="120"/>
        <w:jc w:val="both"/>
      </w:pPr>
      <w:r>
        <w:rPr>
          <w:rFonts w:ascii="Times New Roman" w:hAnsi="Times New Roman" w:eastAsia="Times New Roman"/>
          <w:b w:val="0"/>
          <w:i w:val="0"/>
          <w:sz w:val="24"/>
        </w:rPr>
        <w:t>The central result is a non-finding. Visibility does not translate into recovery action (β = -0.052, p = 0.145), and the confidence interval straddles zero, so H3 is rejected. Governance instead works through a separate route, raising coordination strongly (β = 0.516, p &lt; 0.001), and coordination raises circular value creation (β = 0.509, p &lt; 0.001). Seeing and doing run on different mechanisms.</w:t>
      </w:r>
    </w:p>
    <w:p>
      <w:pPr>
        <w:spacing w:line="240" w:lineRule="auto" w:before="0" w:after="120"/>
        <w:jc w:val="both"/>
      </w:pPr>
      <w:r>
        <w:rPr>
          <w:rFonts w:ascii="Times New Roman" w:hAnsi="Times New Roman" w:eastAsia="Times New Roman"/>
          <w:b w:val="0"/>
          <w:i w:val="0"/>
          <w:sz w:val="24"/>
        </w:rPr>
        <w:t>Digital traceability matters as an amplifier rather than an initiator. Its direct effect on circular value creation is substantial (β = 0.325, p &lt; 0.001) and it strengthens the coordination path through a small but reliable interaction (β = 0.074, p &lt; 0.05). Simple slopes show that coordinated pairs extract more value when traceability is high, while high traceability with weak coordination gains little.</w:t>
      </w:r>
    </w:p>
    <w:p>
      <w:pPr>
        <w:spacing w:line="240" w:lineRule="auto" w:before="0" w:after="120"/>
        <w:jc w:val="both"/>
      </w:pPr>
      <w:r>
        <w:rPr>
          <w:rFonts w:ascii="Times New Roman" w:hAnsi="Times New Roman" w:eastAsia="Times New Roman"/>
          <w:b w:val="0"/>
          <w:i w:val="0"/>
          <w:sz w:val="24"/>
        </w:rPr>
        <w:t>Together these results describe a decoupling of transparency from abatement. Disclosure regimes assume that information scarcity is the binding constraint. The evidence points instead to a capability and authority constraint, since data can be abundant while the right to act on a loss sits with a partner who bears none of its cost. That reading explains why traceability spending and recovery performance move independently.</w:t>
      </w:r>
    </w:p>
    <w:p>
      <w:pPr>
        <w:spacing w:line="240" w:lineRule="auto" w:before="200" w:after="80"/>
        <w:jc w:val="left"/>
      </w:pPr>
      <w:r>
        <w:rPr>
          <w:rFonts w:ascii="Times New Roman" w:hAnsi="Times New Roman" w:eastAsia="Times New Roman"/>
          <w:b/>
          <w:i w:val="0"/>
          <w:sz w:val="24"/>
        </w:rPr>
        <w:t>5. Conclusion</w:t>
      </w:r>
    </w:p>
    <w:p>
      <w:pPr>
        <w:spacing w:line="240" w:lineRule="auto" w:before="0" w:after="120"/>
        <w:jc w:val="both"/>
      </w:pPr>
      <w:r>
        <w:rPr>
          <w:rFonts w:ascii="Times New Roman" w:hAnsi="Times New Roman" w:eastAsia="Times New Roman"/>
          <w:b w:val="0"/>
          <w:i w:val="0"/>
          <w:sz w:val="24"/>
        </w:rPr>
        <w:t>Circular accounting capability, not digital traceability, is the primary source of material flow visibility in fragmented production networks. Visibility by itself changes nothing. Recovery action arrives through governance and coordination, with traceability strengthening the value that coordinated partners create. The circular transition is therefore a problem of shared calculation and decision rights rather than missing data.</w:t>
      </w:r>
    </w:p>
    <w:p>
      <w:pPr>
        <w:spacing w:line="240" w:lineRule="auto" w:before="0" w:after="120"/>
        <w:jc w:val="both"/>
      </w:pPr>
      <w:r>
        <w:rPr>
          <w:rFonts w:ascii="Times New Roman" w:hAnsi="Times New Roman" w:eastAsia="Times New Roman"/>
          <w:b w:val="0"/>
          <w:i w:val="0"/>
          <w:sz w:val="24"/>
        </w:rPr>
        <w:t>Two limitations bound these claims. The design is cross-sectional, so the paths are associations supported by theory and an endogeneity check rather than demonstrated causation. The sample covers one sector with unusually high loss rates and seasonality, which aids identification but limits transfer to discrete manufacturing. Longitudinal and multi-sector work would test whether the decoupling persists as traceability systems mature.</w:t>
      </w:r>
    </w:p>
    <w:p>
      <w:pPr>
        <w:spacing w:line="240" w:lineRule="auto" w:before="200" w:after="80"/>
        <w:jc w:val="left"/>
      </w:pPr>
      <w:r>
        <w:rPr>
          <w:rFonts w:ascii="Times New Roman" w:hAnsi="Times New Roman" w:eastAsia="Times New Roman"/>
          <w:b/>
          <w:i w:val="0"/>
          <w:sz w:val="24"/>
        </w:rPr>
        <w:t>6. Managerial and Social Implications</w:t>
      </w:r>
    </w:p>
    <w:p>
      <w:pPr>
        <w:spacing w:line="240" w:lineRule="auto" w:before="0" w:after="120"/>
        <w:jc w:val="both"/>
      </w:pPr>
      <w:r>
        <w:rPr>
          <w:rFonts w:ascii="Times New Roman" w:hAnsi="Times New Roman" w:eastAsia="Times New Roman"/>
          <w:b w:val="0"/>
          <w:i w:val="0"/>
          <w:sz w:val="24"/>
        </w:rPr>
        <w:t>For managers the message is an order of operations. Investing in tracking technology before joint measurement and clear decision rights produces reporting rather than recovery. Buyers should build shared loss accounts with suppliers, agree how losses are allocated and priced, and only then scale the technology that carries the data. Traceability budgets pay off where coordination already exists.</w:t>
      </w:r>
    </w:p>
    <w:p>
      <w:pPr>
        <w:spacing w:line="240" w:lineRule="auto" w:before="0" w:after="120"/>
        <w:jc w:val="both"/>
      </w:pPr>
      <w:r>
        <w:rPr>
          <w:rFonts w:ascii="Times New Roman" w:hAnsi="Times New Roman" w:eastAsia="Times New Roman"/>
          <w:b w:val="0"/>
          <w:i w:val="0"/>
          <w:sz w:val="24"/>
        </w:rPr>
        <w:t>For policymakers, mandating disclosure is necessary but insufficient. Rules that require firms to report material flows without settling who may act on a reported loss will generate compliance documents and little abatement. Instruments that fund joint measurement, support cooperative recovery arrangements and reward verified reduction rather than verified reporting are more likely to shift outcomes.</w:t>
      </w:r>
    </w:p>
    <w:p>
      <w:pPr>
        <w:spacing w:line="240" w:lineRule="auto" w:before="0" w:after="120"/>
        <w:jc w:val="both"/>
      </w:pPr>
      <w:r>
        <w:rPr>
          <w:rFonts w:ascii="Times New Roman" w:hAnsi="Times New Roman" w:eastAsia="Times New Roman"/>
          <w:b w:val="0"/>
          <w:i w:val="0"/>
          <w:sz w:val="24"/>
        </w:rPr>
        <w:t>The social stakes are concrete in agro-manufacturing. Unrecovered organic material is wasted food, avoidable emissions and lost income for small suppliers who absorb losses they cannot measure. Moving the calculative boundary so those losses become visible and assignable creates a basis for sharing recovery gains with the actors furthest upstream, linking net-zero goals to rural livelihoods.</w:t>
      </w:r>
    </w:p>
    <w:p>
      <w:pPr>
        <w:spacing w:line="240" w:lineRule="auto" w:before="240" w:after="80"/>
        <w:jc w:val="left"/>
      </w:pPr>
      <w:r>
        <w:rPr>
          <w:rFonts w:ascii="Times New Roman" w:hAnsi="Times New Roman" w:eastAsia="Times New Roman"/>
          <w:b/>
          <w:i w:val="0"/>
          <w:sz w:val="24"/>
        </w:rPr>
        <w:t>Appendix</w:t>
      </w:r>
    </w:p>
    <w:p>
      <w:pPr>
        <w:spacing w:line="240" w:lineRule="auto" w:before="0" w:after="80"/>
        <w:jc w:val="left"/>
      </w:pPr>
      <w:r>
        <w:rPr>
          <w:rFonts w:ascii="Times New Roman" w:hAnsi="Times New Roman" w:eastAsia="Times New Roman"/>
          <w:b w:val="0"/>
          <w:i/>
          <w:sz w:val="24"/>
        </w:rPr>
        <w:t>Table A1. Structural model results (10,000 bootstrap resamples)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0" w:line="240" w:lineRule="auto"/>
              <w:jc w:val="center"/>
            </w:pPr>
            <w:r/>
            <w:r>
              <w:rPr>
                <w:rFonts w:ascii="Times New Roman" w:hAnsi="Times New Roman" w:eastAsia="Times New Roman"/>
                <w:b/>
                <w:sz w:val="20"/>
              </w:rPr>
              <w:t>Hypothesis</w:t>
            </w:r>
          </w:p>
        </w:tc>
        <w:tc>
          <w:tcPr>
            <w:tcW w:type="dxa" w:w="1872"/>
          </w:tcPr>
          <w:p>
            <w:pPr>
              <w:spacing w:after="0" w:line="240" w:lineRule="auto"/>
              <w:jc w:val="left"/>
            </w:pPr>
            <w:r/>
            <w:r>
              <w:rPr>
                <w:rFonts w:ascii="Times New Roman" w:hAnsi="Times New Roman" w:eastAsia="Times New Roman"/>
                <w:b/>
                <w:sz w:val="20"/>
              </w:rPr>
              <w:t>Path</w:t>
            </w:r>
          </w:p>
        </w:tc>
        <w:tc>
          <w:tcPr>
            <w:tcW w:type="dxa" w:w="1872"/>
          </w:tcPr>
          <w:p>
            <w:pPr>
              <w:spacing w:after="0" w:line="240" w:lineRule="auto"/>
              <w:jc w:val="center"/>
            </w:pPr>
            <w:r/>
            <w:r>
              <w:rPr>
                <w:rFonts w:ascii="Times New Roman" w:hAnsi="Times New Roman" w:eastAsia="Times New Roman"/>
                <w:b/>
                <w:sz w:val="20"/>
              </w:rPr>
              <w:t>β</w:t>
            </w:r>
          </w:p>
        </w:tc>
        <w:tc>
          <w:tcPr>
            <w:tcW w:type="dxa" w:w="1872"/>
          </w:tcPr>
          <w:p>
            <w:pPr>
              <w:spacing w:after="0" w:line="240" w:lineRule="auto"/>
              <w:jc w:val="center"/>
            </w:pPr>
            <w:r/>
            <w:r>
              <w:rPr>
                <w:rFonts w:ascii="Times New Roman" w:hAnsi="Times New Roman" w:eastAsia="Times New Roman"/>
                <w:b/>
                <w:sz w:val="20"/>
              </w:rPr>
              <w:t>p</w:t>
            </w:r>
          </w:p>
        </w:tc>
        <w:tc>
          <w:tcPr>
            <w:tcW w:type="dxa" w:w="1872"/>
          </w:tcPr>
          <w:p>
            <w:pPr>
              <w:spacing w:after="0" w:line="240" w:lineRule="auto"/>
              <w:jc w:val="center"/>
            </w:pPr>
            <w:r/>
            <w:r>
              <w:rPr>
                <w:rFonts w:ascii="Times New Roman" w:hAnsi="Times New Roman" w:eastAsia="Times New Roman"/>
                <w:b/>
                <w:sz w:val="20"/>
              </w:rPr>
              <w:t>Decision</w:t>
            </w:r>
          </w:p>
        </w:tc>
      </w:tr>
      <w:tr>
        <w:tc>
          <w:tcPr>
            <w:tcW w:type="dxa" w:w="1872"/>
          </w:tcPr>
          <w:p>
            <w:pPr>
              <w:spacing w:after="0" w:line="240" w:lineRule="auto"/>
              <w:jc w:val="center"/>
            </w:pPr>
            <w:r/>
            <w:r>
              <w:rPr>
                <w:rFonts w:ascii="Times New Roman" w:hAnsi="Times New Roman" w:eastAsia="Times New Roman"/>
                <w:b w:val="0"/>
                <w:sz w:val="20"/>
              </w:rPr>
              <w:t>H1</w:t>
            </w:r>
          </w:p>
        </w:tc>
        <w:tc>
          <w:tcPr>
            <w:tcW w:type="dxa" w:w="1872"/>
          </w:tcPr>
          <w:p>
            <w:pPr>
              <w:spacing w:after="0" w:line="240" w:lineRule="auto"/>
              <w:jc w:val="left"/>
            </w:pPr>
            <w:r/>
            <w:r>
              <w:rPr>
                <w:rFonts w:ascii="Times New Roman" w:hAnsi="Times New Roman" w:eastAsia="Times New Roman"/>
                <w:b w:val="0"/>
                <w:sz w:val="20"/>
              </w:rPr>
              <w:t>Accounting capability → Visibility</w:t>
            </w:r>
          </w:p>
        </w:tc>
        <w:tc>
          <w:tcPr>
            <w:tcW w:type="dxa" w:w="1872"/>
          </w:tcPr>
          <w:p>
            <w:pPr>
              <w:spacing w:after="0" w:line="240" w:lineRule="auto"/>
              <w:jc w:val="center"/>
            </w:pPr>
            <w:r/>
            <w:r>
              <w:rPr>
                <w:rFonts w:ascii="Times New Roman" w:hAnsi="Times New Roman" w:eastAsia="Times New Roman"/>
                <w:b w:val="0"/>
                <w:sz w:val="20"/>
              </w:rPr>
              <w:t>0.532</w:t>
            </w:r>
          </w:p>
        </w:tc>
        <w:tc>
          <w:tcPr>
            <w:tcW w:type="dxa" w:w="1872"/>
          </w:tcPr>
          <w:p>
            <w:pPr>
              <w:spacing w:after="0" w:line="240" w:lineRule="auto"/>
              <w:jc w:val="center"/>
            </w:pPr>
            <w:r/>
            <w:r>
              <w:rPr>
                <w:rFonts w:ascii="Times New Roman" w:hAnsi="Times New Roman" w:eastAsia="Times New Roman"/>
                <w:b w:val="0"/>
                <w:sz w:val="20"/>
              </w:rPr>
              <w:t>&lt; 0.001</w:t>
            </w:r>
          </w:p>
        </w:tc>
        <w:tc>
          <w:tcPr>
            <w:tcW w:type="dxa" w:w="1872"/>
          </w:tcPr>
          <w:p>
            <w:pPr>
              <w:spacing w:after="0" w:line="240" w:lineRule="auto"/>
              <w:jc w:val="center"/>
            </w:pPr>
            <w:r/>
            <w:r>
              <w:rPr>
                <w:rFonts w:ascii="Times New Roman" w:hAnsi="Times New Roman" w:eastAsia="Times New Roman"/>
                <w:b w:val="0"/>
                <w:sz w:val="20"/>
              </w:rPr>
              <w:t>Supported</w:t>
            </w:r>
          </w:p>
        </w:tc>
      </w:tr>
      <w:tr>
        <w:tc>
          <w:tcPr>
            <w:tcW w:type="dxa" w:w="1872"/>
          </w:tcPr>
          <w:p>
            <w:pPr>
              <w:spacing w:after="0" w:line="240" w:lineRule="auto"/>
              <w:jc w:val="center"/>
            </w:pPr>
            <w:r/>
            <w:r>
              <w:rPr>
                <w:rFonts w:ascii="Times New Roman" w:hAnsi="Times New Roman" w:eastAsia="Times New Roman"/>
                <w:b w:val="0"/>
                <w:sz w:val="20"/>
              </w:rPr>
              <w:t>H2</w:t>
            </w:r>
          </w:p>
        </w:tc>
        <w:tc>
          <w:tcPr>
            <w:tcW w:type="dxa" w:w="1872"/>
          </w:tcPr>
          <w:p>
            <w:pPr>
              <w:spacing w:after="0" w:line="240" w:lineRule="auto"/>
              <w:jc w:val="left"/>
            </w:pPr>
            <w:r/>
            <w:r>
              <w:rPr>
                <w:rFonts w:ascii="Times New Roman" w:hAnsi="Times New Roman" w:eastAsia="Times New Roman"/>
                <w:b w:val="0"/>
                <w:sz w:val="20"/>
              </w:rPr>
              <w:t>Digital traceability → Visibility</w:t>
            </w:r>
          </w:p>
        </w:tc>
        <w:tc>
          <w:tcPr>
            <w:tcW w:type="dxa" w:w="1872"/>
          </w:tcPr>
          <w:p>
            <w:pPr>
              <w:spacing w:after="0" w:line="240" w:lineRule="auto"/>
              <w:jc w:val="center"/>
            </w:pPr>
            <w:r/>
            <w:r>
              <w:rPr>
                <w:rFonts w:ascii="Times New Roman" w:hAnsi="Times New Roman" w:eastAsia="Times New Roman"/>
                <w:b w:val="0"/>
                <w:sz w:val="20"/>
              </w:rPr>
              <w:t>0.177</w:t>
            </w:r>
          </w:p>
        </w:tc>
        <w:tc>
          <w:tcPr>
            <w:tcW w:type="dxa" w:w="1872"/>
          </w:tcPr>
          <w:p>
            <w:pPr>
              <w:spacing w:after="0" w:line="240" w:lineRule="auto"/>
              <w:jc w:val="center"/>
            </w:pPr>
            <w:r/>
            <w:r>
              <w:rPr>
                <w:rFonts w:ascii="Times New Roman" w:hAnsi="Times New Roman" w:eastAsia="Times New Roman"/>
                <w:b w:val="0"/>
                <w:sz w:val="20"/>
              </w:rPr>
              <w:t>&lt; 0.01</w:t>
            </w:r>
          </w:p>
        </w:tc>
        <w:tc>
          <w:tcPr>
            <w:tcW w:type="dxa" w:w="1872"/>
          </w:tcPr>
          <w:p>
            <w:pPr>
              <w:spacing w:after="0" w:line="240" w:lineRule="auto"/>
              <w:jc w:val="center"/>
            </w:pPr>
            <w:r/>
            <w:r>
              <w:rPr>
                <w:rFonts w:ascii="Times New Roman" w:hAnsi="Times New Roman" w:eastAsia="Times New Roman"/>
                <w:b w:val="0"/>
                <w:sz w:val="20"/>
              </w:rPr>
              <w:t>Supported</w:t>
            </w:r>
          </w:p>
        </w:tc>
      </w:tr>
      <w:tr>
        <w:tc>
          <w:tcPr>
            <w:tcW w:type="dxa" w:w="1872"/>
          </w:tcPr>
          <w:p>
            <w:pPr>
              <w:spacing w:after="0" w:line="240" w:lineRule="auto"/>
              <w:jc w:val="center"/>
            </w:pPr>
            <w:r/>
            <w:r>
              <w:rPr>
                <w:rFonts w:ascii="Times New Roman" w:hAnsi="Times New Roman" w:eastAsia="Times New Roman"/>
                <w:b w:val="0"/>
                <w:sz w:val="20"/>
              </w:rPr>
              <w:t>H3</w:t>
            </w:r>
          </w:p>
        </w:tc>
        <w:tc>
          <w:tcPr>
            <w:tcW w:type="dxa" w:w="1872"/>
          </w:tcPr>
          <w:p>
            <w:pPr>
              <w:spacing w:after="0" w:line="240" w:lineRule="auto"/>
              <w:jc w:val="left"/>
            </w:pPr>
            <w:r/>
            <w:r>
              <w:rPr>
                <w:rFonts w:ascii="Times New Roman" w:hAnsi="Times New Roman" w:eastAsia="Times New Roman"/>
                <w:b w:val="0"/>
                <w:sz w:val="20"/>
              </w:rPr>
              <w:t>Visibility → Recovery action</w:t>
            </w:r>
          </w:p>
        </w:tc>
        <w:tc>
          <w:tcPr>
            <w:tcW w:type="dxa" w:w="1872"/>
          </w:tcPr>
          <w:p>
            <w:pPr>
              <w:spacing w:after="0" w:line="240" w:lineRule="auto"/>
              <w:jc w:val="center"/>
            </w:pPr>
            <w:r/>
            <w:r>
              <w:rPr>
                <w:rFonts w:ascii="Times New Roman" w:hAnsi="Times New Roman" w:eastAsia="Times New Roman"/>
                <w:b w:val="0"/>
                <w:sz w:val="20"/>
              </w:rPr>
              <w:t>-0.052</w:t>
            </w:r>
          </w:p>
        </w:tc>
        <w:tc>
          <w:tcPr>
            <w:tcW w:type="dxa" w:w="1872"/>
          </w:tcPr>
          <w:p>
            <w:pPr>
              <w:spacing w:after="0" w:line="240" w:lineRule="auto"/>
              <w:jc w:val="center"/>
            </w:pPr>
            <w:r/>
            <w:r>
              <w:rPr>
                <w:rFonts w:ascii="Times New Roman" w:hAnsi="Times New Roman" w:eastAsia="Times New Roman"/>
                <w:b w:val="0"/>
                <w:sz w:val="20"/>
              </w:rPr>
              <w:t>0.145</w:t>
            </w:r>
          </w:p>
        </w:tc>
        <w:tc>
          <w:tcPr>
            <w:tcW w:type="dxa" w:w="1872"/>
          </w:tcPr>
          <w:p>
            <w:pPr>
              <w:spacing w:after="0" w:line="240" w:lineRule="auto"/>
              <w:jc w:val="center"/>
            </w:pPr>
            <w:r/>
            <w:r>
              <w:rPr>
                <w:rFonts w:ascii="Times New Roman" w:hAnsi="Times New Roman" w:eastAsia="Times New Roman"/>
                <w:b w:val="0"/>
                <w:sz w:val="20"/>
              </w:rPr>
              <w:t>Not supported</w:t>
            </w:r>
          </w:p>
        </w:tc>
      </w:tr>
      <w:tr>
        <w:tc>
          <w:tcPr>
            <w:tcW w:type="dxa" w:w="1872"/>
          </w:tcPr>
          <w:p>
            <w:pPr>
              <w:spacing w:after="0" w:line="240" w:lineRule="auto"/>
              <w:jc w:val="center"/>
            </w:pPr>
            <w:r/>
            <w:r>
              <w:rPr>
                <w:rFonts w:ascii="Times New Roman" w:hAnsi="Times New Roman" w:eastAsia="Times New Roman"/>
                <w:b w:val="0"/>
                <w:sz w:val="20"/>
              </w:rPr>
              <w:t>H4</w:t>
            </w:r>
          </w:p>
        </w:tc>
        <w:tc>
          <w:tcPr>
            <w:tcW w:type="dxa" w:w="1872"/>
          </w:tcPr>
          <w:p>
            <w:pPr>
              <w:spacing w:after="0" w:line="240" w:lineRule="auto"/>
              <w:jc w:val="left"/>
            </w:pPr>
            <w:r/>
            <w:r>
              <w:rPr>
                <w:rFonts w:ascii="Times New Roman" w:hAnsi="Times New Roman" w:eastAsia="Times New Roman"/>
                <w:b w:val="0"/>
                <w:sz w:val="20"/>
              </w:rPr>
              <w:t>Governance → Coordination</w:t>
            </w:r>
          </w:p>
        </w:tc>
        <w:tc>
          <w:tcPr>
            <w:tcW w:type="dxa" w:w="1872"/>
          </w:tcPr>
          <w:p>
            <w:pPr>
              <w:spacing w:after="0" w:line="240" w:lineRule="auto"/>
              <w:jc w:val="center"/>
            </w:pPr>
            <w:r/>
            <w:r>
              <w:rPr>
                <w:rFonts w:ascii="Times New Roman" w:hAnsi="Times New Roman" w:eastAsia="Times New Roman"/>
                <w:b w:val="0"/>
                <w:sz w:val="20"/>
              </w:rPr>
              <w:t>0.516</w:t>
            </w:r>
          </w:p>
        </w:tc>
        <w:tc>
          <w:tcPr>
            <w:tcW w:type="dxa" w:w="1872"/>
          </w:tcPr>
          <w:p>
            <w:pPr>
              <w:spacing w:after="0" w:line="240" w:lineRule="auto"/>
              <w:jc w:val="center"/>
            </w:pPr>
            <w:r/>
            <w:r>
              <w:rPr>
                <w:rFonts w:ascii="Times New Roman" w:hAnsi="Times New Roman" w:eastAsia="Times New Roman"/>
                <w:b w:val="0"/>
                <w:sz w:val="20"/>
              </w:rPr>
              <w:t>&lt; 0.001</w:t>
            </w:r>
          </w:p>
        </w:tc>
        <w:tc>
          <w:tcPr>
            <w:tcW w:type="dxa" w:w="1872"/>
          </w:tcPr>
          <w:p>
            <w:pPr>
              <w:spacing w:after="0" w:line="240" w:lineRule="auto"/>
              <w:jc w:val="center"/>
            </w:pPr>
            <w:r/>
            <w:r>
              <w:rPr>
                <w:rFonts w:ascii="Times New Roman" w:hAnsi="Times New Roman" w:eastAsia="Times New Roman"/>
                <w:b w:val="0"/>
                <w:sz w:val="20"/>
              </w:rPr>
              <w:t>Supported</w:t>
            </w:r>
          </w:p>
        </w:tc>
      </w:tr>
      <w:tr>
        <w:tc>
          <w:tcPr>
            <w:tcW w:type="dxa" w:w="1872"/>
          </w:tcPr>
          <w:p>
            <w:pPr>
              <w:spacing w:after="0" w:line="240" w:lineRule="auto"/>
              <w:jc w:val="center"/>
            </w:pPr>
            <w:r/>
            <w:r>
              <w:rPr>
                <w:rFonts w:ascii="Times New Roman" w:hAnsi="Times New Roman" w:eastAsia="Times New Roman"/>
                <w:b w:val="0"/>
                <w:sz w:val="20"/>
              </w:rPr>
              <w:t>H5</w:t>
            </w:r>
          </w:p>
        </w:tc>
        <w:tc>
          <w:tcPr>
            <w:tcW w:type="dxa" w:w="1872"/>
          </w:tcPr>
          <w:p>
            <w:pPr>
              <w:spacing w:after="0" w:line="240" w:lineRule="auto"/>
              <w:jc w:val="left"/>
            </w:pPr>
            <w:r/>
            <w:r>
              <w:rPr>
                <w:rFonts w:ascii="Times New Roman" w:hAnsi="Times New Roman" w:eastAsia="Times New Roman"/>
                <w:b w:val="0"/>
                <w:sz w:val="20"/>
              </w:rPr>
              <w:t>Coordination → Value creation</w:t>
            </w:r>
          </w:p>
        </w:tc>
        <w:tc>
          <w:tcPr>
            <w:tcW w:type="dxa" w:w="1872"/>
          </w:tcPr>
          <w:p>
            <w:pPr>
              <w:spacing w:after="0" w:line="240" w:lineRule="auto"/>
              <w:jc w:val="center"/>
            </w:pPr>
            <w:r/>
            <w:r>
              <w:rPr>
                <w:rFonts w:ascii="Times New Roman" w:hAnsi="Times New Roman" w:eastAsia="Times New Roman"/>
                <w:b w:val="0"/>
                <w:sz w:val="20"/>
              </w:rPr>
              <w:t>0.509</w:t>
            </w:r>
          </w:p>
        </w:tc>
        <w:tc>
          <w:tcPr>
            <w:tcW w:type="dxa" w:w="1872"/>
          </w:tcPr>
          <w:p>
            <w:pPr>
              <w:spacing w:after="0" w:line="240" w:lineRule="auto"/>
              <w:jc w:val="center"/>
            </w:pPr>
            <w:r/>
            <w:r>
              <w:rPr>
                <w:rFonts w:ascii="Times New Roman" w:hAnsi="Times New Roman" w:eastAsia="Times New Roman"/>
                <w:b w:val="0"/>
                <w:sz w:val="20"/>
              </w:rPr>
              <w:t>&lt; 0.001</w:t>
            </w:r>
          </w:p>
        </w:tc>
        <w:tc>
          <w:tcPr>
            <w:tcW w:type="dxa" w:w="1872"/>
          </w:tcPr>
          <w:p>
            <w:pPr>
              <w:spacing w:after="0" w:line="240" w:lineRule="auto"/>
              <w:jc w:val="center"/>
            </w:pPr>
            <w:r/>
            <w:r>
              <w:rPr>
                <w:rFonts w:ascii="Times New Roman" w:hAnsi="Times New Roman" w:eastAsia="Times New Roman"/>
                <w:b w:val="0"/>
                <w:sz w:val="20"/>
              </w:rPr>
              <w:t>Supported</w:t>
            </w:r>
          </w:p>
        </w:tc>
      </w:tr>
      <w:tr>
        <w:tc>
          <w:tcPr>
            <w:tcW w:type="dxa" w:w="1872"/>
          </w:tcPr>
          <w:p>
            <w:pPr>
              <w:spacing w:after="0" w:line="240" w:lineRule="auto"/>
              <w:jc w:val="center"/>
            </w:pPr>
            <w:r/>
            <w:r>
              <w:rPr>
                <w:rFonts w:ascii="Times New Roman" w:hAnsi="Times New Roman" w:eastAsia="Times New Roman"/>
                <w:b w:val="0"/>
                <w:sz w:val="20"/>
              </w:rPr>
              <w:t>H6</w:t>
            </w:r>
          </w:p>
        </w:tc>
        <w:tc>
          <w:tcPr>
            <w:tcW w:type="dxa" w:w="1872"/>
          </w:tcPr>
          <w:p>
            <w:pPr>
              <w:spacing w:after="0" w:line="240" w:lineRule="auto"/>
              <w:jc w:val="left"/>
            </w:pPr>
            <w:r/>
            <w:r>
              <w:rPr>
                <w:rFonts w:ascii="Times New Roman" w:hAnsi="Times New Roman" w:eastAsia="Times New Roman"/>
                <w:b w:val="0"/>
                <w:sz w:val="20"/>
              </w:rPr>
              <w:t>Digital traceability → Value creation</w:t>
            </w:r>
          </w:p>
        </w:tc>
        <w:tc>
          <w:tcPr>
            <w:tcW w:type="dxa" w:w="1872"/>
          </w:tcPr>
          <w:p>
            <w:pPr>
              <w:spacing w:after="0" w:line="240" w:lineRule="auto"/>
              <w:jc w:val="center"/>
            </w:pPr>
            <w:r/>
            <w:r>
              <w:rPr>
                <w:rFonts w:ascii="Times New Roman" w:hAnsi="Times New Roman" w:eastAsia="Times New Roman"/>
                <w:b w:val="0"/>
                <w:sz w:val="20"/>
              </w:rPr>
              <w:t>0.325</w:t>
            </w:r>
          </w:p>
        </w:tc>
        <w:tc>
          <w:tcPr>
            <w:tcW w:type="dxa" w:w="1872"/>
          </w:tcPr>
          <w:p>
            <w:pPr>
              <w:spacing w:after="0" w:line="240" w:lineRule="auto"/>
              <w:jc w:val="center"/>
            </w:pPr>
            <w:r/>
            <w:r>
              <w:rPr>
                <w:rFonts w:ascii="Times New Roman" w:hAnsi="Times New Roman" w:eastAsia="Times New Roman"/>
                <w:b w:val="0"/>
                <w:sz w:val="20"/>
              </w:rPr>
              <w:t>&lt; 0.001</w:t>
            </w:r>
          </w:p>
        </w:tc>
        <w:tc>
          <w:tcPr>
            <w:tcW w:type="dxa" w:w="1872"/>
          </w:tcPr>
          <w:p>
            <w:pPr>
              <w:spacing w:after="0" w:line="240" w:lineRule="auto"/>
              <w:jc w:val="center"/>
            </w:pPr>
            <w:r/>
            <w:r>
              <w:rPr>
                <w:rFonts w:ascii="Times New Roman" w:hAnsi="Times New Roman" w:eastAsia="Times New Roman"/>
                <w:b w:val="0"/>
                <w:sz w:val="20"/>
              </w:rPr>
              <w:t>Supported</w:t>
            </w:r>
          </w:p>
        </w:tc>
      </w:tr>
      <w:tr>
        <w:tc>
          <w:tcPr>
            <w:tcW w:type="dxa" w:w="1872"/>
          </w:tcPr>
          <w:p>
            <w:pPr>
              <w:spacing w:after="0" w:line="240" w:lineRule="auto"/>
              <w:jc w:val="center"/>
            </w:pPr>
            <w:r/>
            <w:r>
              <w:rPr>
                <w:rFonts w:ascii="Times New Roman" w:hAnsi="Times New Roman" w:eastAsia="Times New Roman"/>
                <w:b w:val="0"/>
                <w:sz w:val="20"/>
              </w:rPr>
              <w:t>H7</w:t>
            </w:r>
          </w:p>
        </w:tc>
        <w:tc>
          <w:tcPr>
            <w:tcW w:type="dxa" w:w="1872"/>
          </w:tcPr>
          <w:p>
            <w:pPr>
              <w:spacing w:after="0" w:line="240" w:lineRule="auto"/>
              <w:jc w:val="left"/>
            </w:pPr>
            <w:r/>
            <w:r>
              <w:rPr>
                <w:rFonts w:ascii="Times New Roman" w:hAnsi="Times New Roman" w:eastAsia="Times New Roman"/>
                <w:b w:val="0"/>
                <w:sz w:val="20"/>
              </w:rPr>
              <w:t>Traceability × Coordination → Value</w:t>
            </w:r>
          </w:p>
        </w:tc>
        <w:tc>
          <w:tcPr>
            <w:tcW w:type="dxa" w:w="1872"/>
          </w:tcPr>
          <w:p>
            <w:pPr>
              <w:spacing w:after="0" w:line="240" w:lineRule="auto"/>
              <w:jc w:val="center"/>
            </w:pPr>
            <w:r/>
            <w:r>
              <w:rPr>
                <w:rFonts w:ascii="Times New Roman" w:hAnsi="Times New Roman" w:eastAsia="Times New Roman"/>
                <w:b w:val="0"/>
                <w:sz w:val="20"/>
              </w:rPr>
              <w:t>0.074</w:t>
            </w:r>
          </w:p>
        </w:tc>
        <w:tc>
          <w:tcPr>
            <w:tcW w:type="dxa" w:w="1872"/>
          </w:tcPr>
          <w:p>
            <w:pPr>
              <w:spacing w:after="0" w:line="240" w:lineRule="auto"/>
              <w:jc w:val="center"/>
            </w:pPr>
            <w:r/>
            <w:r>
              <w:rPr>
                <w:rFonts w:ascii="Times New Roman" w:hAnsi="Times New Roman" w:eastAsia="Times New Roman"/>
                <w:b w:val="0"/>
                <w:sz w:val="20"/>
              </w:rPr>
              <w:t>&lt; 0.05</w:t>
            </w:r>
          </w:p>
        </w:tc>
        <w:tc>
          <w:tcPr>
            <w:tcW w:type="dxa" w:w="1872"/>
          </w:tcPr>
          <w:p>
            <w:pPr>
              <w:spacing w:after="0" w:line="240" w:lineRule="auto"/>
              <w:jc w:val="center"/>
            </w:pPr>
            <w:r/>
            <w:r>
              <w:rPr>
                <w:rFonts w:ascii="Times New Roman" w:hAnsi="Times New Roman" w:eastAsia="Times New Roman"/>
                <w:b w:val="0"/>
                <w:sz w:val="20"/>
              </w:rPr>
              <w:t>Supported</w:t>
            </w:r>
          </w:p>
        </w:tc>
      </w:tr>
    </w:tbl>
    <w:p>
      <w:pPr>
        <w:spacing w:line="240" w:lineRule="auto" w:before="80" w:after="160"/>
        <w:jc w:val="both"/>
      </w:pPr>
      <w:r>
        <w:rPr>
          <w:rFonts w:ascii="Times New Roman" w:hAnsi="Times New Roman" w:eastAsia="Times New Roman"/>
          <w:b w:val="0"/>
          <w:i/>
          <w:sz w:val="20"/>
        </w:rPr>
        <w:t>Note. Standardised estimates. Firm size, age, export orientation and certification are controlled throughout.</w:t>
      </w:r>
    </w:p>
    <w:p>
      <w:pPr>
        <w:spacing w:line="240" w:lineRule="auto" w:before="200" w:after="80"/>
        <w:jc w:val="left"/>
      </w:pPr>
      <w:r>
        <w:rPr>
          <w:rFonts w:ascii="Times New Roman" w:hAnsi="Times New Roman" w:eastAsia="Times New Roman"/>
          <w:b/>
          <w:i w:val="0"/>
          <w:sz w:val="24"/>
        </w:rPr>
        <w:t>References</w:t>
      </w:r>
    </w:p>
    <w:p>
      <w:pPr>
        <w:spacing w:line="240" w:lineRule="auto" w:before="0" w:after="80"/>
        <w:ind w:left="720" w:hanging="720"/>
        <w:jc w:val="both"/>
      </w:pPr>
      <w:r>
        <w:rPr>
          <w:rFonts w:ascii="Times New Roman" w:hAnsi="Times New Roman" w:eastAsia="Times New Roman"/>
          <w:b w:val="0"/>
          <w:i w:val="0"/>
          <w:sz w:val="24"/>
        </w:rPr>
        <w:t>Barney, J. (1991). Firm resources and sustained competitive advantage. Journal of Management, 17(1), 99–120.</w:t>
      </w:r>
    </w:p>
    <w:p>
      <w:pPr>
        <w:spacing w:line="240" w:lineRule="auto" w:before="0" w:after="80"/>
        <w:ind w:left="720" w:hanging="720"/>
        <w:jc w:val="both"/>
      </w:pPr>
      <w:r>
        <w:rPr>
          <w:rFonts w:ascii="Times New Roman" w:hAnsi="Times New Roman" w:eastAsia="Times New Roman"/>
          <w:b w:val="0"/>
          <w:i w:val="0"/>
          <w:sz w:val="24"/>
        </w:rPr>
        <w:t>Becker, J.-M., Ringle, C. M., &amp; Sarstedt, M. (2018). Estimating moderating effects in PLS-SEM and PLSc-SEM. Journal of Applied Structural Equation Modeling, 2(2), 1–21.</w:t>
      </w:r>
    </w:p>
    <w:p>
      <w:pPr>
        <w:spacing w:line="240" w:lineRule="auto" w:before="0" w:after="80"/>
        <w:ind w:left="720" w:hanging="720"/>
        <w:jc w:val="both"/>
      </w:pPr>
      <w:r>
        <w:rPr>
          <w:rFonts w:ascii="Times New Roman" w:hAnsi="Times New Roman" w:eastAsia="Times New Roman"/>
          <w:b w:val="0"/>
          <w:i w:val="0"/>
          <w:sz w:val="24"/>
        </w:rPr>
        <w:t>Bocken, N. M. P., de Pauw, I., Bakker, C., &amp; van der Grinten, B. (2016). Product design and business model strategies for a circular economy. Journal of Industrial and Production Engineering, 33(5), 308–320.</w:t>
      </w:r>
    </w:p>
    <w:p>
      <w:pPr>
        <w:spacing w:line="240" w:lineRule="auto" w:before="0" w:after="80"/>
        <w:ind w:left="720" w:hanging="720"/>
        <w:jc w:val="both"/>
      </w:pPr>
      <w:r>
        <w:rPr>
          <w:rFonts w:ascii="Times New Roman" w:hAnsi="Times New Roman" w:eastAsia="Times New Roman"/>
          <w:b w:val="0"/>
          <w:i w:val="0"/>
          <w:sz w:val="24"/>
        </w:rPr>
        <w:t>Christ, K. L., &amp; Burritt, R. L. (2015). Material flow cost accounting: A review and agenda for future research. Journal of Cleaner Production, 108, 1378–1389.</w:t>
      </w:r>
    </w:p>
    <w:p>
      <w:pPr>
        <w:spacing w:line="240" w:lineRule="auto" w:before="0" w:after="80"/>
        <w:ind w:left="720" w:hanging="720"/>
        <w:jc w:val="both"/>
      </w:pPr>
      <w:r>
        <w:rPr>
          <w:rFonts w:ascii="Times New Roman" w:hAnsi="Times New Roman" w:eastAsia="Times New Roman"/>
          <w:b w:val="0"/>
          <w:i w:val="0"/>
          <w:sz w:val="24"/>
        </w:rPr>
        <w:t>DiMaggio, P. J., &amp; Powell, W. W. (1983). The iron cage revisited. American Sociological Review, 48(2), 147–160.</w:t>
      </w:r>
    </w:p>
    <w:p>
      <w:pPr>
        <w:spacing w:line="240" w:lineRule="auto" w:before="0" w:after="80"/>
        <w:ind w:left="720" w:hanging="720"/>
        <w:jc w:val="both"/>
      </w:pPr>
      <w:r>
        <w:rPr>
          <w:rFonts w:ascii="Times New Roman" w:hAnsi="Times New Roman" w:eastAsia="Times New Roman"/>
          <w:b w:val="0"/>
          <w:i w:val="0"/>
          <w:sz w:val="24"/>
        </w:rPr>
        <w:t>Dyer, J. H., &amp; Singh, H. (1998). The relational view. Academy of Management Review, 23(4), 660–679.</w:t>
      </w:r>
    </w:p>
    <w:p>
      <w:pPr>
        <w:spacing w:line="240" w:lineRule="auto" w:before="0" w:after="80"/>
        <w:ind w:left="720" w:hanging="720"/>
        <w:jc w:val="both"/>
      </w:pPr>
      <w:r>
        <w:rPr>
          <w:rFonts w:ascii="Times New Roman" w:hAnsi="Times New Roman" w:eastAsia="Times New Roman"/>
          <w:b w:val="0"/>
          <w:i w:val="0"/>
          <w:sz w:val="24"/>
        </w:rPr>
        <w:t>Hair, J. F., Risher, J. J., Sarstedt, M., &amp; Ringle, C. M. (2019). When to use and how to report the results of PLS-SEM. European Business Review, 31(1), 2–24.</w:t>
      </w:r>
    </w:p>
    <w:p>
      <w:pPr>
        <w:spacing w:line="240" w:lineRule="auto" w:before="0" w:after="80"/>
        <w:ind w:left="720" w:hanging="720"/>
        <w:jc w:val="both"/>
      </w:pPr>
      <w:r>
        <w:rPr>
          <w:rFonts w:ascii="Times New Roman" w:hAnsi="Times New Roman" w:eastAsia="Times New Roman"/>
          <w:b w:val="0"/>
          <w:i w:val="0"/>
          <w:sz w:val="24"/>
        </w:rPr>
        <w:t>Henseler, J., Ringle, C. M., &amp; Sarstedt, M. (2015). A new criterion for assessing discriminant validity. Journal of the Academy of Marketing Science, 43(1), 115–135.</w:t>
      </w:r>
    </w:p>
    <w:p>
      <w:pPr>
        <w:spacing w:line="240" w:lineRule="auto" w:before="0" w:after="80"/>
        <w:ind w:left="720" w:hanging="720"/>
        <w:jc w:val="both"/>
      </w:pPr>
      <w:r>
        <w:rPr>
          <w:rFonts w:ascii="Times New Roman" w:hAnsi="Times New Roman" w:eastAsia="Times New Roman"/>
          <w:b w:val="0"/>
          <w:i w:val="0"/>
          <w:sz w:val="24"/>
        </w:rPr>
        <w:t>Kirchherr, J., Reike, D., &amp; Hekkert, M. (2017). Conceptualizing the circular economy. Resources, Conservation and Recycling, 127, 221–232.</w:t>
      </w:r>
    </w:p>
    <w:p>
      <w:pPr>
        <w:spacing w:line="240" w:lineRule="auto" w:before="0" w:after="80"/>
        <w:ind w:left="720" w:hanging="720"/>
        <w:jc w:val="both"/>
      </w:pPr>
      <w:r>
        <w:rPr>
          <w:rFonts w:ascii="Times New Roman" w:hAnsi="Times New Roman" w:eastAsia="Times New Roman"/>
          <w:b w:val="0"/>
          <w:i w:val="0"/>
          <w:sz w:val="24"/>
        </w:rPr>
        <w:t>Park, S., &amp; Gupta, S. (2012). Handling endogenous regressors by joint estimation using copulas. Marketing Science, 31(4), 567–586.</w:t>
      </w:r>
    </w:p>
    <w:p>
      <w:pPr>
        <w:spacing w:line="240" w:lineRule="auto" w:before="0" w:after="80"/>
        <w:ind w:left="720" w:hanging="720"/>
        <w:jc w:val="both"/>
      </w:pPr>
      <w:r>
        <w:rPr>
          <w:rFonts w:ascii="Times New Roman" w:hAnsi="Times New Roman" w:eastAsia="Times New Roman"/>
          <w:b w:val="0"/>
          <w:i w:val="0"/>
          <w:sz w:val="24"/>
        </w:rPr>
        <w:t>Podsakoff, P. M., MacKenzie, S. B., Lee, J.-Y., &amp; Podsakoff, N. P. (2003). Common method biases in behavioral research. Journal of Applied Psychology, 88(5), 879–903.</w:t>
      </w:r>
    </w:p>
    <w:p>
      <w:pPr>
        <w:spacing w:line="240" w:lineRule="auto" w:before="0" w:after="80"/>
        <w:ind w:left="720" w:hanging="720"/>
        <w:jc w:val="both"/>
      </w:pPr>
      <w:r>
        <w:rPr>
          <w:rFonts w:ascii="Times New Roman" w:hAnsi="Times New Roman" w:eastAsia="Times New Roman"/>
          <w:b w:val="0"/>
          <w:i w:val="0"/>
          <w:sz w:val="24"/>
        </w:rPr>
        <w:t>Shmueli, G., Sarstedt, M., Hair, J. F., Cheah, J.-H., Ting, H., Vaithilingam, S., &amp; Ringle, C. M. (2019). Predictive model assessment in PLS-SEM. European Journal of Marketing, 53(11), 2322–2347.</w:t>
      </w:r>
    </w:p>
    <w:p>
      <w:pPr>
        <w:spacing w:line="240" w:lineRule="auto" w:before="0" w:after="80"/>
        <w:ind w:left="720" w:hanging="720"/>
        <w:jc w:val="both"/>
      </w:pPr>
      <w:r>
        <w:rPr>
          <w:rFonts w:ascii="Times New Roman" w:hAnsi="Times New Roman" w:eastAsia="Times New Roman"/>
          <w:b w:val="0"/>
          <w:i w:val="0"/>
          <w:sz w:val="24"/>
        </w:rPr>
        <w:t>Sodhi, M. S., &amp; Tang, C. S. (2019). Research opportunities in supply chain transparency. Production and Operations Management, 28(12), 2946–2959.</w:t>
      </w:r>
    </w:p>
    <w:p>
      <w:pPr>
        <w:spacing w:line="240" w:lineRule="auto" w:before="0" w:after="80"/>
        <w:ind w:left="720" w:hanging="720"/>
        <w:jc w:val="both"/>
      </w:pPr>
      <w:r>
        <w:rPr>
          <w:rFonts w:ascii="Times New Roman" w:hAnsi="Times New Roman" w:eastAsia="Times New Roman"/>
          <w:b w:val="0"/>
          <w:i w:val="0"/>
          <w:sz w:val="24"/>
        </w:rPr>
        <w:t>Teece, D. J. (2007). Explicating dynamic capabilities. Strategic Management Journal, 28(13), 1319–1350.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