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253DE" w14:textId="6171C6F0" w:rsidR="00A3724D" w:rsidRDefault="00A3724D" w:rsidP="00CB3A7A">
      <w:r>
        <w:t>GEOG788P</w:t>
      </w:r>
    </w:p>
    <w:p w14:paraId="64E9C924" w14:textId="37809ECB" w:rsidR="00A3724D" w:rsidRDefault="00A3724D" w:rsidP="00CB3A7A">
      <w:r>
        <w:t>Final Project Paper</w:t>
      </w:r>
    </w:p>
    <w:p w14:paraId="5C58B2B4" w14:textId="51CC7EE1" w:rsidR="00A3724D" w:rsidRDefault="00A3724D" w:rsidP="00CB3A7A"/>
    <w:p w14:paraId="2D2C4F43" w14:textId="52FE8968" w:rsidR="00A3724D" w:rsidRDefault="001E61E1" w:rsidP="001E61E1">
      <w:pPr>
        <w:jc w:val="center"/>
      </w:pPr>
      <w:r>
        <w:t>Visualization of COVID-19 Spread in Maryland and Geo-spatial Modelling the Spatiotemporal and Socioeconomic Impacting Factors</w:t>
      </w:r>
    </w:p>
    <w:p w14:paraId="7670B9D0" w14:textId="0ADCA3C1" w:rsidR="00A3724D" w:rsidRPr="0068704E" w:rsidRDefault="00A3724D" w:rsidP="001E61E1">
      <w:pPr>
        <w:jc w:val="center"/>
      </w:pPr>
      <w:r>
        <w:t>Guimin Zhu</w:t>
      </w:r>
    </w:p>
    <w:p w14:paraId="68EF63E2" w14:textId="42D7C1D3" w:rsidR="00A3724D" w:rsidRDefault="00A3724D" w:rsidP="00CB3A7A"/>
    <w:p w14:paraId="6A3384A1" w14:textId="26B561AE" w:rsidR="00A3724D" w:rsidRPr="006409FC" w:rsidRDefault="00A3724D" w:rsidP="006409FC">
      <w:pPr>
        <w:pStyle w:val="Heading1"/>
      </w:pPr>
      <w:r>
        <w:t>1. Introduction</w:t>
      </w:r>
    </w:p>
    <w:p w14:paraId="45011E45" w14:textId="667F9A84" w:rsidR="00203C1F" w:rsidRPr="00203C1F" w:rsidRDefault="00535F4C" w:rsidP="00CB3A7A">
      <w:pPr>
        <w:ind w:firstLine="420"/>
        <w:rPr>
          <w:rFonts w:eastAsiaTheme="minorEastAsia"/>
          <w:color w:val="000000"/>
        </w:rPr>
      </w:pPr>
      <w:r>
        <w:t xml:space="preserve">Starting from January 20, 2020, when the first confirmed case of the 2019 coronavirus disease (COVID-19) in the United States was reported, the United Stated has the most confirmed case number and death number in the world (over 13.8 million and over 270 thousand respectively, as of December 1, 2020). Although the WHO declared COVID-19 a global pandemic on March 11, 2020, the COVID-19 situation in the United States did not get under control. The third wave indicated by public health experts has already arrived in November, with over 200 thousand daily new cases on November 27. </w:t>
      </w:r>
      <w:r w:rsidR="00203C1F">
        <w:rPr>
          <w:color w:val="000000"/>
        </w:rPr>
        <w:t xml:space="preserve">Following the declaration of national emergency, states started issuing stay-at-home orders, implementing travel and mobility restrictions to contain and combat the spread of COVID-19 by limiting individuals’ movements and personal interactions outside of their home to only those necessary to obtain or provide essential services or conduct essential activities. Research shows that mobility restrictions and interventions helped fight COVID-19 </w:t>
      </w:r>
      <w:r w:rsidR="00203C1F">
        <w:rPr>
          <w:color w:val="000000"/>
        </w:rPr>
        <w:fldChar w:fldCharType="begin" w:fldLock="1"/>
      </w:r>
      <w:r w:rsidR="00203C1F">
        <w:rPr>
          <w:color w:val="000000"/>
        </w:rPr>
        <w:instrText>ADDIN CSL_CITATION {"citationItems":[{"id":"ITEM-1","itemData":{"DOI":"10.2139/ssrn.3496928","ISBN":"1111111111","abstract":"Mobility restrictions - travel advisories, trade and travel bans, border closures and, in extreme cases, area quarantines or cordons sanitaires - are among the most widely used measures to control infectious diseases. Restrictions of this kind were important in the response to epidemics of SARS (2003), H1N1 influenza (2009), and Ebola (2014). However, they do not always work as expected. The imposition of a cordon sanitaire to control the 2014 West African Ebola outbreak, for example, is argued to have led to a higher-than-expected number of cases in the quarantined area. To determine when mobility restrictions reduce the size of an epidemic, we use a model of disease transmission within and between economically heterogeneous locally connected communities. One community comprises a low-risk, resource-rich, low-density population with access to effective medical resources. The other comprises a high-risk, resource-poor, high-density population without access to effective medical resources. We find that the overall size of an epidemic centered in the high-risk community is sensitive to the stringency of mobility restrictions between the two communities. Unrestricted mobility between the two risk communities increases the number of secondary cases in the low-risk community but reduces the overall epidemic size. By contrast, the imposition of a cordon sanitaire around the high-risk community reduces the number of secondary infections in the low-risk community but increases the overall epidemic size. The degree to which mobility restrictions increase or decrease the overall epidemic size depends on the level of risk in each community and the characteristics of the disease.","author":[{"dropping-particle":"","family":"Espinoza","given":"Baltazar","non-dropping-particle":"","parse-names":false,"suffix":""},{"dropping-particle":"","family":"Castillo-Chavez","given":"Carlos","non-dropping-particle":"","parse-names":false,"suffix":""},{"dropping-particle":"","family":"Perrings","given":"Charles","non-dropping-particle":"","parse-names":false,"suffix":""}],"container-title":"SSRN Electronic Journal","id":"ITEM-1","issued":{"date-parts":[["2020"]]},"page":"1-14","title":"Mobility Restrictions for the Control of Epidemics: When Do They Work?","type":"article-journal"},"uris":["http://www.mendeley.com/documents/?uuid=87d34a60-c73b-4470-b7b9-ca51fffe8edc"]}],"mendeley":{"formattedCitation":"(Espinoza, Castillo-Chavez, &amp; Perrings, 2020)","plainTextFormattedCitation":"(Espinoza, Castillo-Chavez, &amp; Perrings, 2020)","previouslyFormattedCitation":"(Espinoza, Castillo-Chavez, &amp; Perrings, 2020)"},"properties":{"noteIndex":0},"schema":"https://github.com/citation-style-language/schema/raw/master/csl-citation.json"}</w:instrText>
      </w:r>
      <w:r w:rsidR="00203C1F">
        <w:rPr>
          <w:color w:val="000000"/>
        </w:rPr>
        <w:fldChar w:fldCharType="separate"/>
      </w:r>
      <w:r w:rsidR="00203C1F" w:rsidRPr="00203C1F">
        <w:rPr>
          <w:noProof/>
          <w:color w:val="000000"/>
        </w:rPr>
        <w:t xml:space="preserve">(Espinoza, </w:t>
      </w:r>
      <w:r w:rsidR="00203C1F" w:rsidRPr="00203C1F">
        <w:rPr>
          <w:noProof/>
          <w:color w:val="000000"/>
        </w:rPr>
        <w:lastRenderedPageBreak/>
        <w:t>Castillo-Chavez, &amp; Perrings, 2020)</w:t>
      </w:r>
      <w:r w:rsidR="00203C1F">
        <w:rPr>
          <w:color w:val="000000"/>
        </w:rPr>
        <w:fldChar w:fldCharType="end"/>
      </w:r>
      <w:r w:rsidR="00203C1F">
        <w:rPr>
          <w:color w:val="000000"/>
        </w:rPr>
        <w:t xml:space="preserve"> by reducing the COVID-19 spread </w:t>
      </w:r>
      <w:r w:rsidR="00203C1F">
        <w:rPr>
          <w:color w:val="000000"/>
        </w:rPr>
        <w:fldChar w:fldCharType="begin" w:fldLock="1"/>
      </w:r>
      <w:r w:rsidR="00CB3A7A">
        <w:rPr>
          <w:color w:val="000000"/>
        </w:rPr>
        <w:instrText>ADDIN CSL_CITATION {"citationItems":[{"id":"ITEM-1","itemData":{"DOI":"10.1001/jamanetworkopen.2020.20485","ISSN":"25743805","PMID":"32897373","abstract":"Importance: A stay-at-home social distancing mandate is a key nonpharmacological measure to reduce the transmission rate of severe acute respiratory syndrome coronavirus-2 (SARS-CoV-2), but a high rate of adherence is needed. Objective: To examine the association between the rate of human mobility changes and the rate of confirmed cases of SARS-CoV-2 infection. Design, Setting, and Participants: This cross-sectional study used daily travel distance and home dwell time derived from millions of anonymous mobile phone location data from March 11 to April 10, 2020, provided by the Descartes Labs and SafeGraph to quantify the degree to which social distancing mandates were followed in the 50 US states and District of Columbia and the association of mobility changes with rates of coronavirus disease 2019 (COVID-19) cases. Exposure: State-level stay-at-home orders during the COVID-19 pandemic. Main Outcomes and Measures: The main outcome was the association of state-specific rates of COVID-19 confirmed cases with the change rates of median travel distance and median home dwell time of anonymous mobile phone users. The increase rates are measured by the exponent in curve fitting of the COVID-19 cumulative confirmed cases, while the mobility change (increase or decrease) rates were measured by the slope coefficient in curve fitting of median travel distance and median home dwell time for each state. Results: Data from more than 45 million anonymous mobile phone devices were analyzed. The correlation between the COVID-19 increase rate and travel distance decrease rate was -0.586 (95% CI, -0.742 to -0.370) and the correlation between COVID-19 increase rate and home dwell time increase rate was 0.526 (95% CI, 0.293 to 0.700). Increases in state-specific doubling time of total cases ranged from 1.0 to 6.9 days (median [interquartile range], 2.7 [2.3-3.3] days) before stay-at-home orders were enacted to 3.7 to 30.3 days (median [interquartile range], 6.0 [4.8-7.1] days) after stay-at-home social distancing orders were put in place, consistent with pandemic modeling results. Conclusions and Relevance: These findings suggest that stay-at-home social distancing mandates, when they were followed by measurable mobility changes, were associated with reduction in COVID-19 spread. These results come at a particularly critical period when US states are beginning to relax social distancing policies and reopen their economies. These findings support the efficacy of social dista…","author":[{"dropping-particle":"","family":"Gao","given":"Song","non-dropping-particle":"","parse-names":false,"suffix":""},{"dropping-particle":"","family":"Rao","given":"Jinmeng","non-dropping-particle":"","parse-names":false,"suffix":""},{"dropping-particle":"","family":"Kang","given":"Yuhao","non-dropping-particle":"","parse-names":false,"suffix":""},{"dropping-particle":"","family":"Liang","given":"Yunlei","non-dropping-particle":"","parse-names":false,"suffix":""},{"dropping-particle":"","family":"Kruse","given":"Jake","non-dropping-particle":"","parse-names":false,"suffix":""},{"dropping-particle":"","family":"Dopfer","given":"Dorte","non-dropping-particle":"","parse-names":false,"suffix":""},{"dropping-particle":"","family":"Sethi","given":"Ajay K.","non-dropping-particle":"","parse-names":false,"suffix":""},{"dropping-particle":"","family":"Mandujano Reyes","given":"Juan Francisco","non-dropping-particle":"","parse-names":false,"suffix":""},{"dropping-particle":"","family":"Yandell","given":"Brian S.","non-dropping-particle":"","parse-names":false,"suffix":""},{"dropping-particle":"","family":"Patz","given":"Jonathan A.","non-dropping-particle":"","parse-names":false,"suffix":""}],"container-title":"JAMA network open","id":"ITEM-1","issue":"9","issued":{"date-parts":[["2020"]]},"page":"e2020485","title":"Association of Mobile Phone Location Data Indications of Travel and Stay-at-Home Mandates With COVID-19 Infection Rates in the US","type":"article-journal","volume":"3"},"uris":["http://www.mendeley.com/documents/?uuid=ad048d05-3a66-40c5-bc68-15e04970f0b4"]}],"mendeley":{"formattedCitation":"(Gao et al., 2020)","plainTextFormattedCitation":"(Gao et al., 2020)","previouslyFormattedCitation":"(Gao et al., 2020)"},"properties":{"noteIndex":0},"schema":"https://github.com/citation-style-language/schema/raw/master/csl-citation.json"}</w:instrText>
      </w:r>
      <w:r w:rsidR="00203C1F">
        <w:rPr>
          <w:color w:val="000000"/>
        </w:rPr>
        <w:fldChar w:fldCharType="separate"/>
      </w:r>
      <w:r w:rsidR="00203C1F" w:rsidRPr="00203C1F">
        <w:rPr>
          <w:noProof/>
          <w:color w:val="000000"/>
        </w:rPr>
        <w:t>(Gao et al., 2020)</w:t>
      </w:r>
      <w:r w:rsidR="00203C1F">
        <w:rPr>
          <w:color w:val="000000"/>
        </w:rPr>
        <w:fldChar w:fldCharType="end"/>
      </w:r>
      <w:r w:rsidR="00203C1F">
        <w:rPr>
          <w:color w:val="000000"/>
        </w:rPr>
        <w:t>.</w:t>
      </w:r>
    </w:p>
    <w:p w14:paraId="16C462D0" w14:textId="48579477" w:rsidR="00535F4C" w:rsidRDefault="00535F4C" w:rsidP="00CB3A7A">
      <w:pPr>
        <w:ind w:firstLine="420"/>
      </w:pPr>
      <w:r>
        <w:t xml:space="preserve">Meanwhile, </w:t>
      </w:r>
      <w:r w:rsidR="00203C1F">
        <w:t>Maryland</w:t>
      </w:r>
      <w:r>
        <w:t xml:space="preserve">, </w:t>
      </w:r>
      <w:r w:rsidR="00203C1F">
        <w:t>although not</w:t>
      </w:r>
      <w:r>
        <w:t xml:space="preserve"> one of the COVID-19 hotspots, has over </w:t>
      </w:r>
      <w:r w:rsidR="00203C1F">
        <w:t xml:space="preserve">215 thousand </w:t>
      </w:r>
      <w:r>
        <w:t xml:space="preserve">confirmed cases and over </w:t>
      </w:r>
      <w:r w:rsidR="00187709">
        <w:t>4.8 thousand</w:t>
      </w:r>
      <w:r>
        <w:t xml:space="preserve"> deaths as of December 1, 2020.</w:t>
      </w:r>
      <w:r w:rsidR="00187709">
        <w:t xml:space="preserve"> Living in Maryland, the public is interested in how the COVID-19 pandemic has evolved, how </w:t>
      </w:r>
      <w:r w:rsidR="00810F1B">
        <w:t xml:space="preserve">the </w:t>
      </w:r>
      <w:r w:rsidR="00187709">
        <w:t>Maryland Department of Health reacted and mitigated the pandemic, when the second/third wave would come, etc.</w:t>
      </w:r>
    </w:p>
    <w:p w14:paraId="34366173" w14:textId="44A72876" w:rsidR="00A3724D" w:rsidRPr="00535F4C" w:rsidRDefault="00535F4C" w:rsidP="00CB3A7A">
      <w:pPr>
        <w:ind w:firstLine="420"/>
      </w:pPr>
      <w:r>
        <w:t xml:space="preserve">In this study, </w:t>
      </w:r>
      <w:r w:rsidR="00D9478B">
        <w:t>I</w:t>
      </w:r>
      <w:r>
        <w:t xml:space="preserve"> examine</w:t>
      </w:r>
      <w:r w:rsidR="00187709">
        <w:t xml:space="preserve"> what </w:t>
      </w:r>
      <w:r w:rsidR="00810F1B">
        <w:t>is</w:t>
      </w:r>
      <w:r w:rsidR="00187709">
        <w:t xml:space="preserve"> the spatiotemporal pattern of </w:t>
      </w:r>
      <w:r w:rsidR="00810F1B">
        <w:t xml:space="preserve">the </w:t>
      </w:r>
      <w:r w:rsidR="00187709">
        <w:t>COVID-19 pandemic in Maryland in terms of positive cases, e.g. where the hot spots and cold spots are</w:t>
      </w:r>
      <w:r>
        <w:t xml:space="preserve">. </w:t>
      </w:r>
      <w:r w:rsidR="00D9478B">
        <w:t>I</w:t>
      </w:r>
      <w:r>
        <w:t xml:space="preserve"> also </w:t>
      </w:r>
      <w:r w:rsidR="00810F1B">
        <w:t>analyzed</w:t>
      </w:r>
      <w:r w:rsidR="00187709">
        <w:t xml:space="preserve"> to determine what are the demographic and socioeconomic determinants that are impacting </w:t>
      </w:r>
      <w:r w:rsidR="00810F1B">
        <w:t xml:space="preserve">the </w:t>
      </w:r>
      <w:r w:rsidR="00187709">
        <w:t>COVID-19 outbreak</w:t>
      </w:r>
      <w:r>
        <w:t>.</w:t>
      </w:r>
      <w:r w:rsidR="00187709">
        <w:t xml:space="preserve"> How did these factors change over the 2 time periods (March 15 to June 30 and July 1 to August 31)? Details about how these 2 time periods are obtained will be introduced in Section 3.</w:t>
      </w:r>
    </w:p>
    <w:p w14:paraId="6CB66924" w14:textId="0111F59A" w:rsidR="00A3724D" w:rsidRPr="00D9478B" w:rsidRDefault="00A3724D" w:rsidP="006409FC">
      <w:pPr>
        <w:pStyle w:val="Heading1"/>
        <w:rPr>
          <w:rFonts w:eastAsiaTheme="minorEastAsia"/>
        </w:rPr>
      </w:pPr>
      <w:r>
        <w:t>2. Related Work</w:t>
      </w:r>
    </w:p>
    <w:p w14:paraId="2907CC3E" w14:textId="23A91346" w:rsidR="00A3724D" w:rsidRDefault="00B54A6B" w:rsidP="00B54A6B">
      <w:pPr>
        <w:ind w:firstLine="420"/>
      </w:pPr>
      <w:r>
        <w:t xml:space="preserve">There has been </w:t>
      </w:r>
      <w:proofErr w:type="gramStart"/>
      <w:r>
        <w:t>a</w:t>
      </w:r>
      <w:r w:rsidR="00810F1B">
        <w:t xml:space="preserve"> number</w:t>
      </w:r>
      <w:r>
        <w:t xml:space="preserve"> of</w:t>
      </w:r>
      <w:proofErr w:type="gramEnd"/>
      <w:r>
        <w:t xml:space="preserve"> studies related to COVID-19 and its socioeconomic impacts published this year since the outbreak of the pandemic, both in the U.S. and overseas. Research on the effects of social distancing restrictions examines the association between the rate of human mobility changes (i.e. change rates of the median travel distance and the median hoe dwell time of mobile phone users) and the rate of confirmed COVID-19 cases </w:t>
      </w:r>
      <w:r>
        <w:fldChar w:fldCharType="begin" w:fldLock="1"/>
      </w:r>
      <w:r w:rsidR="00EB7881">
        <w:instrText>ADDIN CSL_CITATION {"citationItems":[{"id":"ITEM-1","itemData":{"DOI":"10.1001/jamanetworkopen.2020.20485","ISSN":"25743805","PMID":"32897373","abstract":"Importance: A stay-at-home social distancing mandate is a key nonpharmacological measure to reduce the transmission rate of severe acute respiratory syndrome coronavirus-2 (SARS-CoV-2), but a high rate of adherence is needed. Objective: To examine the association between the rate of human mobility changes and the rate of confirmed cases of SARS-CoV-2 infection. Design, Setting, and Participants: This cross-sectional study used daily travel distance and home dwell time derived from millions of anonymous mobile phone location data from March 11 to April 10, 2020, provided by the Descartes Labs and SafeGraph to quantify the degree to which social distancing mandates were followed in the 50 US states and District of Columbia and the association of mobility changes with rates of coronavirus disease 2019 (COVID-19) cases. Exposure: State-level stay-at-home orders during the COVID-19 pandemic. Main Outcomes and Measures: The main outcome was the association of state-specific rates of COVID-19 confirmed cases with the change rates of median travel distance and median home dwell time of anonymous mobile phone users. The increase rates are measured by the exponent in curve fitting of the COVID-19 cumulative confirmed cases, while the mobility change (increase or decrease) rates were measured by the slope coefficient in curve fitting of median travel distance and median home dwell time for each state. Results: Data from more than 45 million anonymous mobile phone devices were analyzed. The correlation between the COVID-19 increase rate and travel distance decrease rate was -0.586 (95% CI, -0.742 to -0.370) and the correlation between COVID-19 increase rate and home dwell time increase rate was 0.526 (95% CI, 0.293 to 0.700). Increases in state-specific doubling time of total cases ranged from 1.0 to 6.9 days (median [interquartile range], 2.7 [2.3-3.3] days) before stay-at-home orders were enacted to 3.7 to 30.3 days (median [interquartile range], 6.0 [4.8-7.1] days) after stay-at-home social distancing orders were put in place, consistent with pandemic modeling results. Conclusions and Relevance: These findings suggest that stay-at-home social distancing mandates, when they were followed by measurable mobility changes, were associated with reduction in COVID-19 spread. These results come at a particularly critical period when US states are beginning to relax social distancing policies and reopen their economies. These findings support the efficacy of social dista…","author":[{"dropping-particle":"","family":"Gao","given":"Song","non-dropping-particle":"","parse-names":false,"suffix":""},{"dropping-particle":"","family":"Rao","given":"Jinmeng","non-dropping-particle":"","parse-names":false,"suffix":""},{"dropping-particle":"","family":"Kang","given":"Yuhao","non-dropping-particle":"","parse-names":false,"suffix":""},{"dropping-particle":"","family":"Liang","given":"Yunlei","non-dropping-particle":"","parse-names":false,"suffix":""},{"dropping-particle":"","family":"Kruse","given":"Jake","non-dropping-particle":"","parse-names":false,"suffix":""},{"dropping-particle":"","family":"Dopfer","given":"Dorte","non-dropping-particle":"","parse-names":false,"suffix":""},{"dropping-particle":"","family":"Sethi","given":"Ajay K.","non-dropping-particle":"","parse-names":false,"suffix":""},{"dropping-particle":"","family":"Mandujano Reyes","given":"Juan Francisco","non-dropping-particle":"","parse-names":false,"suffix":""},{"dropping-particle":"","family":"Yandell","given":"Brian S.","non-dropping-particle":"","parse-names":false,"suffix":""},{"dropping-particle":"","family":"Patz","given":"Jonathan A.","non-dropping-particle":"","parse-names":false,"suffix":""}],"container-title":"JAMA network open","id":"ITEM-1","issue":"9","issued":{"date-parts":[["2020"]]},"page":"e2020485","title":"Association of Mobile Phone Location Data Indications of Travel and Stay-at-Home Mandates With COVID-19 Infection Rates in the US","type":"article-journal","volume":"3"},"uris":["http://www.mendeley.com/documents/?uuid=ad048d05-3a66-40c5-bc68-15e04970f0b4"]}],"mendeley":{"formattedCitation":"(Gao et al., 2020)","plainTextFormattedCitation":"(Gao et al., 2020)","previouslyFormattedCitation":"(Gao et al., 2020)"},"properties":{"noteIndex":0},"schema":"https://github.com/citation-style-language/schema/raw/master/csl-citation.json"}</w:instrText>
      </w:r>
      <w:r>
        <w:fldChar w:fldCharType="separate"/>
      </w:r>
      <w:r w:rsidRPr="00B54A6B">
        <w:rPr>
          <w:noProof/>
        </w:rPr>
        <w:t>(Gao et al., 2020)</w:t>
      </w:r>
      <w:r>
        <w:fldChar w:fldCharType="end"/>
      </w:r>
      <w:r>
        <w:t>. Results show that stay-at-home orders were associated with the reduction in COVID-19 spread.</w:t>
      </w:r>
    </w:p>
    <w:p w14:paraId="35DA9E85" w14:textId="40C9249B" w:rsidR="00EB7881" w:rsidRDefault="00EB7881" w:rsidP="00B54A6B">
      <w:pPr>
        <w:ind w:firstLine="420"/>
      </w:pPr>
      <w:r>
        <w:lastRenderedPageBreak/>
        <w:t xml:space="preserve">Currently, the GIS scientists have published their studies on COVID-19 </w:t>
      </w:r>
      <w:r w:rsidR="00810F1B">
        <w:t>o</w:t>
      </w:r>
      <w:r>
        <w:t>n multiple scale</w:t>
      </w:r>
      <w:r w:rsidR="00810F1B">
        <w:t>s</w:t>
      </w:r>
      <w:r>
        <w:t xml:space="preserve"> and using several techniques. </w:t>
      </w:r>
      <w:r>
        <w:fldChar w:fldCharType="begin" w:fldLock="1"/>
      </w:r>
      <w:r>
        <w:instrText>ADDIN CSL_CITATION {"citationItems":[{"id":"ITEM-1","itemData":{"DOI":"10.2139/ssrn.3606719","abstract":"The novel coronavirus (COVID-19) is currently being regarded worldwide as a global pandemic, with New York City as one of the epicenters. There is an emerging demand for precise investigation on this disease, specifically how to slow outbreaks and reopen responsibly. This paper explores and models the spatial factors of COVID-19 in New York City through ordinary least squares regression and geographically weighted regression. Results indicate medical density, green space density, mean distance traveled, male percentage, and commuting (walking, carpooling, and public transit) could correlate to higher rates of COVID-19 positive cases. In contrast, areas with high percentages working from home and white only could correlate to lower rates of COVID-19 positive cases. Additionally, there are distinct associations in various zip code areas or clusters. Overall, this study suggests that public sanitation is critical in disease control in areas with high public transportation demand, and the effect of travel reduction is significant in delaying the outbreak. This study advises policymakers to implement unique policies, preventions measures, and reopening strategies based on localized situations considering COVID-19 outbreaks.","author":[{"dropping-particle":"","family":"Chen","given":"Yefu","non-dropping-particle":"","parse-names":false,"suffix":""},{"dropping-particle":"","family":"Jiao","given":"Junfeng","non-dropping-particle":"","parse-names":false,"suffix":""},{"dropping-particle":"","family":"Bai","given":"Shunhua","non-dropping-particle":"","parse-names":false,"suffix":""},{"dropping-particle":"","family":"Lindquist","given":"Josiah","non-dropping-particle":"","parse-names":false,"suffix":""}],"container-title":"SSRN Electronic Journal","id":"ITEM-1","issued":{"date-parts":[["2020"]]},"title":"Modeling the Spatial Factors of COVID-19 in New York City","type":"article-journal"},"uris":["http://www.mendeley.com/documents/?uuid=552431e7-d648-4724-9524-c97c5f64e831"]}],"mendeley":{"formattedCitation":"(Chen, Jiao, Bai, &amp; Lindquist, 2020)","manualFormatting":"Chen, Jiao, Bai, &amp; Lindquist (2020)","plainTextFormattedCitation":"(Chen, Jiao, Bai, &amp; Lindquist, 2020)","previouslyFormattedCitation":"(Chen, Jiao, Bai, &amp; Lindquist, 2020)"},"properties":{"noteIndex":0},"schema":"https://github.com/citation-style-language/schema/raw/master/csl-citation.json"}</w:instrText>
      </w:r>
      <w:r>
        <w:fldChar w:fldCharType="separate"/>
      </w:r>
      <w:r w:rsidRPr="00EB7881">
        <w:rPr>
          <w:noProof/>
        </w:rPr>
        <w:t xml:space="preserve">Chen, Jiao, Bai, &amp; Lindquist </w:t>
      </w:r>
      <w:r>
        <w:rPr>
          <w:noProof/>
        </w:rPr>
        <w:t>(</w:t>
      </w:r>
      <w:r w:rsidRPr="00EB7881">
        <w:rPr>
          <w:noProof/>
        </w:rPr>
        <w:t>2020)</w:t>
      </w:r>
      <w:r>
        <w:fldChar w:fldCharType="end"/>
      </w:r>
      <w:r>
        <w:t xml:space="preserve"> conducted OLS and GWR models to explore and model the spatial factors of COVID-19 in New York City, one of the hot spots in </w:t>
      </w:r>
      <w:r w:rsidR="00810F1B">
        <w:t xml:space="preserve">the </w:t>
      </w:r>
      <w:r>
        <w:t xml:space="preserve">early pandemic. Research using GWR and MGWR with 25 environmental, socioeconomic, topographic, and demographic variables to investigate and predict COVID-19 has been carried at </w:t>
      </w:r>
      <w:r w:rsidR="00810F1B">
        <w:t xml:space="preserve">the </w:t>
      </w:r>
      <w:r>
        <w:t xml:space="preserve">county level all over the continent U.S. </w:t>
      </w:r>
      <w:r>
        <w:fldChar w:fldCharType="begin" w:fldLock="1"/>
      </w:r>
      <w:r w:rsidR="00DA3252">
        <w:instrText>ADDIN CSL_CITATION {"citationItems":[{"id":"ITEM-1","itemData":{"DOI":"10.1016/j.scitotenv.2020.138884","ISSN":"18791026","PMID":"32335404","abstract":"During the first 90 days of the COVID-19 outbreak in the United States, over 675,000 confirmed cases of the disease have been reported, posing unprecedented socioeconomic burden to the country. Due to inadequate research on geographic modeling of COVID-19, we investigated county-level variations of disease incidence across the continental United States. We compiled a geodatabase of 35 environmental, socioeconomic, topographic, and demographic variables that could explain the spatial variability of disease incidence. Further, we employed spatial lag and spatial error models to investigate spatial dependence and geographically weighted regression (GWR) and multiscale GWR (MGWR) models to locally examine spatial non-stationarity. The results suggested that even though incorporating spatial autocorrelation could significantly improve the performance of the global ordinary least square model, these models still represent a significantly poor performance compared to the local models. Moreover, MGWR could explain the highest variations (adj. R2: 68.1%) with the lowest AICc compared to the others. Mapping the effects of significant explanatory variables (i.e., income inequality, median household income, the proportion of black females, and the proportion of nurse practitioners) on spatial variability of COVID-19 incidence rates using MGWR could provide useful insights to policymakers for targeted interventions.","author":[{"dropping-particle":"","family":"Mollalo","given":"Abolfazl","non-dropping-particle":"","parse-names":false,"suffix":""},{"dropping-particle":"","family":"Vahedi","given":"Behzad","non-dropping-particle":"","parse-names":false,"suffix":""},{"dropping-particle":"","family":"Rivera","given":"Kiara M.","non-dropping-particle":"","parse-names":false,"suffix":""}],"container-title":"Science of the Total Environment","id":"ITEM-1","issue":"April","issued":{"date-parts":[["2020"]]},"page":"138884","publisher":"Elsevier B.V.","title":"GIS-based spatial modeling of COVID-19 incidence rate in the continental United States","type":"article-journal","volume":"728"},"uris":["http://www.mendeley.com/documents/?uuid=931126db-9e31-45e9-95e7-0282d3d5f25a"]}],"mendeley":{"formattedCitation":"(Mollalo, Vahedi, &amp; Rivera, 2020)","plainTextFormattedCitation":"(Mollalo, Vahedi, &amp; Rivera, 2020)","previouslyFormattedCitation":"(Mollalo, Vahedi, &amp; Rivera, 2020)"},"properties":{"noteIndex":0},"schema":"https://github.com/citation-style-language/schema/raw/master/csl-citation.json"}</w:instrText>
      </w:r>
      <w:r>
        <w:fldChar w:fldCharType="separate"/>
      </w:r>
      <w:r w:rsidRPr="00EB7881">
        <w:rPr>
          <w:noProof/>
        </w:rPr>
        <w:t>(Mollalo, Vahedi, &amp; Rivera, 2020)</w:t>
      </w:r>
      <w:r>
        <w:fldChar w:fldCharType="end"/>
      </w:r>
      <w:r>
        <w:t xml:space="preserve">. </w:t>
      </w:r>
      <w:r w:rsidR="00DA3252">
        <w:t xml:space="preserve">Other machine learning algorithms, e.g. Artificial Neural Network, have been applied in the prediction of COVID-19 incidence rate nationwide with 57 candidate explanatory variables </w:t>
      </w:r>
      <w:r w:rsidR="00DA3252">
        <w:fldChar w:fldCharType="begin" w:fldLock="1"/>
      </w:r>
      <w:r w:rsidR="00DA3252">
        <w:instrText>ADDIN CSL_CITATION {"citationItems":[{"id":"ITEM-1","itemData":{"DOI":"10.3390/ijerph17124204","ISSN":"16604601","PMID":"32545581","abstract":"Prediction of the COVID-19 incidence rate is a matter of global importance, particularly in the United States. As of 4 June 2020, more than 1.8 million confirmed cases and over 108 thousand deaths have been reported in this country. Few studies have examined nationwide modeling of COVID-19 incidence in the United States particularly using machine-learning algorithms. Thus, we collected and prepared a database of 57 candidate explanatory variables to examine the performance of multilayer perceptron (MLP) neural network in predicting the cumulative COVID-19 incidence rates across the continental United States. Our results indicated that a single-hidden-layer MLP could explain almost 65% of the correlation with ground truth for the holdout samples. Sensitivity analysis conducted on this model showed that the age-adjusted mortality rates of ischemic heart disease, pancreatic cancer, and leukemia, together with two socioeconomic and environmental factors (median household income and total precipitation), are among the most substantial factors for predicting COVID-19 incidence rates. Moreover, results of the logistic regression model indicated that these variables could explain the presence/absence of the hotspots of disease incidence that were identified by Getis-Ord Gi* (p &lt; 0.05) in a geographic information system environment. The findings may provide useful insights for public health decision makers regarding the influence of potential risk factors associated with the COVID-19 incidence at the county level.","author":[{"dropping-particle":"","family":"Mollalo","given":"Abolfazl","non-dropping-particle":"","parse-names":false,"suffix":""},{"dropping-particle":"","family":"Rivera","given":"Kiara M.","non-dropping-particle":"","parse-names":false,"suffix":""},{"dropping-particle":"","family":"Vahedi","given":"Behzad","non-dropping-particle":"","parse-names":false,"suffix":""}],"container-title":"International Journal of Environmental Research and Public Health","id":"ITEM-1","issue":"12","issued":{"date-parts":[["2020"]]},"page":"1-13","title":"Artificial neural network modeling of novel coronavirus (COVID-19) incidence rates across the continental United States","type":"article-journal","volume":"17"},"uris":["http://www.mendeley.com/documents/?uuid=0f7d6e69-95e4-46a4-9e06-36088d49c4ae"]}],"mendeley":{"formattedCitation":"(Mollalo, Rivera, &amp; Vahedi, 2020)","plainTextFormattedCitation":"(Mollalo, Rivera, &amp; Vahedi, 2020)"},"properties":{"noteIndex":0},"schema":"https://github.com/citation-style-language/schema/raw/master/csl-citation.json"}</w:instrText>
      </w:r>
      <w:r w:rsidR="00DA3252">
        <w:fldChar w:fldCharType="separate"/>
      </w:r>
      <w:r w:rsidR="00DA3252" w:rsidRPr="00DA3252">
        <w:rPr>
          <w:noProof/>
        </w:rPr>
        <w:t>(Mollalo, Rivera, &amp; Vahedi, 2020)</w:t>
      </w:r>
      <w:r w:rsidR="00DA3252">
        <w:fldChar w:fldCharType="end"/>
      </w:r>
      <w:r w:rsidR="00DA3252">
        <w:t>.</w:t>
      </w:r>
    </w:p>
    <w:p w14:paraId="3CC1B32B" w14:textId="7F8E2FDD" w:rsidR="00EB7881" w:rsidRDefault="00EB7881" w:rsidP="00B54A6B">
      <w:pPr>
        <w:ind w:firstLine="420"/>
      </w:pPr>
      <w:r>
        <w:t>Random Forest (RF) regression model is one of the common</w:t>
      </w:r>
      <w:r w:rsidR="00810F1B">
        <w:t>ly</w:t>
      </w:r>
      <w:r>
        <w:t xml:space="preserve"> used machine learning algorithms for geo-spatial data, and the researchers developed the Geographical Random Forest, which extends the ability to address spatial heterogeneity than the normal RF models </w:t>
      </w:r>
      <w:r>
        <w:fldChar w:fldCharType="begin" w:fldLock="1"/>
      </w:r>
      <w:r>
        <w:instrText>ADDIN CSL_CITATION {"citationItems":[{"id":"ITEM-1","itemData":{"DOI":"10.1080/10106049.2019.1595177","ISSN":"10106049","abstract":"Machine learning algorithms such as Random Forest (RF) are being increasingly applied on traditionally geographical topics such as population estimation. Even though RF is a well performing and generalizable algorithm, the vast majority of its implementations is still ‘aspatial’ and may not address spatial heterogenous processes. At the same time, remote sensing (RS) data which are commonly used to model population can be highly spatially heterogeneous. From this scope, we present a novel geographical implementation of RF, named Geographical Random Forest (GRF) as both a predictive and exploratory tool to model population as a function of RS covariates. GRF is a disaggregation of RF into geographical space in the form of local sub-models. From the first empirical results, we conclude that GRF can be more predictive when an appropriate spatial scale is selected to model the data, with reduced residual autocorrelation and lower Root Mean Squared Error (RMSE) and Mean Absolute Error (MAE) values. Finally, and of equal importance, GRF can be used as an effective exploratory tool to visualize the relationship between dependent and independent variables, highlighting interesting local variations and allowing for a better understanding of the processes that may be causing the observed spatial heterogeneity.","author":[{"dropping-particle":"","family":"Georganos","given":"Stefanos","non-dropping-particle":"","parse-names":false,"suffix":""},{"dropping-particle":"","family":"Grippa","given":"Tais","non-dropping-particle":"","parse-names":false,"suffix":""},{"dropping-particle":"","family":"Niang Gadiaga","given":"Assane","non-dropping-particle":"","parse-names":false,"suffix":""},{"dropping-particle":"","family":"Linard","given":"Catherine","non-dropping-particle":"","parse-names":false,"suffix":""},{"dropping-particle":"","family":"Lennert","given":"Moritz","non-dropping-particle":"","parse-names":false,"suffix":""},{"dropping-particle":"","family":"Vanhuysse","given":"Sabine","non-dropping-particle":"","parse-names":false,"suffix":""},{"dropping-particle":"","family":"Mboga","given":"Nicholus","non-dropping-particle":"","parse-names":false,"suffix":""},{"dropping-particle":"","family":"Wolff","given":"Eléonore","non-dropping-particle":"","parse-names":false,"suffix":""},{"dropping-particle":"","family":"Kalogirou","given":"Stamatis","non-dropping-particle":"","parse-names":false,"suffix":""}],"container-title":"Geocarto International","id":"ITEM-1","issue":"0","issued":{"date-parts":[["2019"]]},"page":"1-16","publisher":"Taylor &amp; Francis","title":"Geographical random forests: a spatial extension of the random forest algorithm to address spatial heterogeneity in remote sensing and population modelling","type":"article-journal","volume":"0"},"uris":["http://www.mendeley.com/documents/?uuid=e185f933-6f04-475d-840b-35201a538fb9"]}],"mendeley":{"formattedCitation":"(Georganos et al., 2019)","plainTextFormattedCitation":"(Georganos et al., 2019)","previouslyFormattedCitation":"(Georganos et al., 2019)"},"properties":{"noteIndex":0},"schema":"https://github.com/citation-style-language/schema/raw/master/csl-citation.json"}</w:instrText>
      </w:r>
      <w:r>
        <w:fldChar w:fldCharType="separate"/>
      </w:r>
      <w:r w:rsidRPr="00EB7881">
        <w:rPr>
          <w:noProof/>
        </w:rPr>
        <w:t>(Georganos et al., 2019)</w:t>
      </w:r>
      <w:r>
        <w:fldChar w:fldCharType="end"/>
      </w:r>
      <w:r>
        <w:t>.</w:t>
      </w:r>
    </w:p>
    <w:p w14:paraId="6883C998" w14:textId="68FD1202" w:rsidR="00A3724D" w:rsidRDefault="00A3724D" w:rsidP="006409FC">
      <w:pPr>
        <w:pStyle w:val="Heading1"/>
      </w:pPr>
      <w:r>
        <w:t>3. Data and Methods</w:t>
      </w:r>
    </w:p>
    <w:p w14:paraId="4FA8CE3D" w14:textId="096EFCDC" w:rsidR="00A3724D" w:rsidRPr="00FB1C9A" w:rsidRDefault="000E3975" w:rsidP="00FB1C9A">
      <w:pPr>
        <w:pStyle w:val="Heading2"/>
      </w:pPr>
      <w:r>
        <w:t>3.1. Data Preparation</w:t>
      </w:r>
    </w:p>
    <w:p w14:paraId="01E7269E" w14:textId="00C4BB87" w:rsidR="000E3975" w:rsidRDefault="00335E40" w:rsidP="00CB3A7A">
      <w:pPr>
        <w:ind w:firstLine="420"/>
      </w:pPr>
      <w:r>
        <w:t xml:space="preserve">There are mainly 2 domains of data: COVID-19 related data, which are obtained from Maryland Department of Health, and Maryland demographical and socioeconomic data, which are obtained from </w:t>
      </w:r>
      <w:r w:rsidR="00810F1B">
        <w:t xml:space="preserve">the </w:t>
      </w:r>
      <w:r>
        <w:t xml:space="preserve">2018 American Community Survey (ACS). The COVID-19 related data include positive cases and confirmed deaths by county, age, gender, race, and </w:t>
      </w:r>
      <w:r>
        <w:lastRenderedPageBreak/>
        <w:t>ethnicity, which are from March 15 to August 31. The only available sub-county level data are positive case numbers</w:t>
      </w:r>
      <w:r w:rsidR="006540FA">
        <w:t xml:space="preserve">, which are from April 11 to August 31. In addition, daily testing volume and total population tested data are downloaded, but not used in this study. Future work may find these data useful. Maryland statistics are downloaded from 2018 ACS, with categories including population, age, gender, race and ethnicity, income and poverty, housing, education, and employment at </w:t>
      </w:r>
      <w:r w:rsidR="00810F1B">
        <w:t xml:space="preserve">the </w:t>
      </w:r>
      <w:r w:rsidR="006540FA">
        <w:t>census tract level. The above data will be cleaned and used in the regression models.</w:t>
      </w:r>
    </w:p>
    <w:p w14:paraId="0807B6F3" w14:textId="63F5B5D4" w:rsidR="006540FA" w:rsidRDefault="006540FA" w:rsidP="00CB3A7A">
      <w:pPr>
        <w:ind w:firstLine="420"/>
      </w:pPr>
      <w:r>
        <w:t xml:space="preserve">Other data, such as Maryland political boundaries, are obtained from Maryland’s Open Data Portal and Maryland’s GIS Data Catalog. Table </w:t>
      </w:r>
      <w:r w:rsidR="00CB3A7A">
        <w:t>1</w:t>
      </w:r>
      <w:r>
        <w:t xml:space="preserve"> below has detailed descriptions of the data.</w:t>
      </w:r>
    </w:p>
    <w:p w14:paraId="644D779B" w14:textId="4E3EF3FB" w:rsidR="00C230EB" w:rsidRDefault="00C230EB" w:rsidP="00947B7A"/>
    <w:p w14:paraId="6022C36A" w14:textId="30AFB48B" w:rsidR="00947B7A" w:rsidRDefault="00947B7A" w:rsidP="00947B7A"/>
    <w:p w14:paraId="5FADF5B6" w14:textId="2FB83051" w:rsidR="00947B7A" w:rsidRDefault="00947B7A" w:rsidP="00947B7A"/>
    <w:p w14:paraId="48226E2A" w14:textId="6BE919D2" w:rsidR="00947B7A" w:rsidRDefault="00947B7A" w:rsidP="00947B7A"/>
    <w:p w14:paraId="689081F3" w14:textId="0AD64071" w:rsidR="00947B7A" w:rsidRDefault="00947B7A" w:rsidP="00947B7A"/>
    <w:p w14:paraId="5872D783" w14:textId="48C299BA" w:rsidR="00947B7A" w:rsidRDefault="00947B7A" w:rsidP="00947B7A"/>
    <w:p w14:paraId="6C9045F1" w14:textId="75D8126D" w:rsidR="00947B7A" w:rsidRDefault="00947B7A" w:rsidP="00947B7A"/>
    <w:p w14:paraId="7D47E4BE" w14:textId="4A1F44AF" w:rsidR="00947B7A" w:rsidRDefault="00947B7A" w:rsidP="00947B7A"/>
    <w:p w14:paraId="2C9ACA90" w14:textId="4959B9BF" w:rsidR="00947B7A" w:rsidRDefault="00947B7A" w:rsidP="00947B7A"/>
    <w:p w14:paraId="1237C083" w14:textId="7FE1192F" w:rsidR="00947B7A" w:rsidRDefault="00947B7A" w:rsidP="00947B7A"/>
    <w:p w14:paraId="799017BB" w14:textId="77777777" w:rsidR="00947B7A" w:rsidRDefault="00947B7A" w:rsidP="00947B7A"/>
    <w:p w14:paraId="4151BA81" w14:textId="1ACADDF1" w:rsidR="00CB3A7A" w:rsidRDefault="00CB3A7A" w:rsidP="00CB3A7A">
      <w:pPr>
        <w:jc w:val="center"/>
      </w:pPr>
      <w:r>
        <w:lastRenderedPageBreak/>
        <w:t>Table 1. Data used in this study</w:t>
      </w:r>
    </w:p>
    <w:tbl>
      <w:tblPr>
        <w:tblW w:w="8364" w:type="dxa"/>
        <w:tblCellMar>
          <w:left w:w="0" w:type="dxa"/>
          <w:right w:w="0" w:type="dxa"/>
        </w:tblCellMar>
        <w:tblLook w:val="0420" w:firstRow="1" w:lastRow="0" w:firstColumn="0" w:lastColumn="0" w:noHBand="0" w:noVBand="1"/>
      </w:tblPr>
      <w:tblGrid>
        <w:gridCol w:w="2070"/>
        <w:gridCol w:w="3960"/>
        <w:gridCol w:w="2334"/>
      </w:tblGrid>
      <w:tr w:rsidR="006540FA" w:rsidRPr="006540FA" w14:paraId="2167D172" w14:textId="77777777" w:rsidTr="00CB3A7A">
        <w:trPr>
          <w:trHeight w:val="643"/>
        </w:trPr>
        <w:tc>
          <w:tcPr>
            <w:tcW w:w="207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091D29F5" w14:textId="77777777" w:rsidR="006540FA" w:rsidRPr="00CB3A7A" w:rsidRDefault="006540FA" w:rsidP="00CB3A7A">
            <w:pPr>
              <w:jc w:val="left"/>
              <w:rPr>
                <w:b/>
                <w:bCs/>
              </w:rPr>
            </w:pPr>
            <w:r w:rsidRPr="00CB3A7A">
              <w:rPr>
                <w:b/>
                <w:bCs/>
              </w:rPr>
              <w:t>Data</w:t>
            </w:r>
          </w:p>
        </w:tc>
        <w:tc>
          <w:tcPr>
            <w:tcW w:w="396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3EDF45E4" w14:textId="77777777" w:rsidR="006540FA" w:rsidRPr="00CB3A7A" w:rsidRDefault="006540FA" w:rsidP="00CB3A7A">
            <w:pPr>
              <w:jc w:val="left"/>
              <w:rPr>
                <w:b/>
                <w:bCs/>
              </w:rPr>
            </w:pPr>
            <w:r w:rsidRPr="00CB3A7A">
              <w:rPr>
                <w:b/>
                <w:bCs/>
              </w:rPr>
              <w:t>Description</w:t>
            </w:r>
          </w:p>
        </w:tc>
        <w:tc>
          <w:tcPr>
            <w:tcW w:w="233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168903E9" w14:textId="77777777" w:rsidR="006540FA" w:rsidRPr="00CB3A7A" w:rsidRDefault="006540FA" w:rsidP="00CB3A7A">
            <w:pPr>
              <w:jc w:val="left"/>
              <w:rPr>
                <w:b/>
                <w:bCs/>
              </w:rPr>
            </w:pPr>
            <w:r w:rsidRPr="00CB3A7A">
              <w:rPr>
                <w:b/>
                <w:bCs/>
              </w:rPr>
              <w:t>Source</w:t>
            </w:r>
          </w:p>
        </w:tc>
      </w:tr>
      <w:tr w:rsidR="006540FA" w:rsidRPr="006540FA" w14:paraId="04BCA77E" w14:textId="77777777" w:rsidTr="00CB3A7A">
        <w:trPr>
          <w:trHeight w:val="643"/>
        </w:trPr>
        <w:tc>
          <w:tcPr>
            <w:tcW w:w="207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26DAC70D" w14:textId="77777777" w:rsidR="006540FA" w:rsidRPr="006540FA" w:rsidRDefault="006540FA" w:rsidP="00CB3A7A">
            <w:pPr>
              <w:jc w:val="left"/>
            </w:pPr>
            <w:r w:rsidRPr="006540FA">
              <w:t>COVID-19 related data</w:t>
            </w:r>
          </w:p>
        </w:tc>
        <w:tc>
          <w:tcPr>
            <w:tcW w:w="396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3212FFE3" w14:textId="77777777" w:rsidR="006540FA" w:rsidRPr="006540FA" w:rsidRDefault="006540FA" w:rsidP="00CB3A7A">
            <w:pPr>
              <w:jc w:val="left"/>
            </w:pPr>
            <w:r w:rsidRPr="006540FA">
              <w:t xml:space="preserve">Cases by county, age, gender, </w:t>
            </w:r>
            <w:proofErr w:type="gramStart"/>
            <w:r w:rsidRPr="006540FA">
              <w:t>race</w:t>
            </w:r>
            <w:proofErr w:type="gramEnd"/>
            <w:r w:rsidRPr="006540FA">
              <w:t xml:space="preserve"> and </w:t>
            </w:r>
            <w:r w:rsidRPr="00CB3A7A">
              <w:t>ethnicity</w:t>
            </w:r>
            <w:r w:rsidRPr="006540FA">
              <w:t xml:space="preserve"> &amp; cases by zip code</w:t>
            </w:r>
          </w:p>
        </w:tc>
        <w:tc>
          <w:tcPr>
            <w:tcW w:w="2334"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1DEF69DB" w14:textId="77777777" w:rsidR="006540FA" w:rsidRPr="006540FA" w:rsidRDefault="006540FA" w:rsidP="00CB3A7A">
            <w:pPr>
              <w:jc w:val="left"/>
            </w:pPr>
            <w:r w:rsidRPr="006540FA">
              <w:t>Maryland Department of Health</w:t>
            </w:r>
          </w:p>
        </w:tc>
      </w:tr>
      <w:tr w:rsidR="006540FA" w:rsidRPr="006540FA" w14:paraId="23082480" w14:textId="77777777" w:rsidTr="00CB3A7A">
        <w:trPr>
          <w:trHeight w:val="643"/>
        </w:trPr>
        <w:tc>
          <w:tcPr>
            <w:tcW w:w="2070" w:type="dxa"/>
            <w:tcBorders>
              <w:top w:val="nil"/>
              <w:left w:val="nil"/>
              <w:bottom w:val="nil"/>
              <w:right w:val="nil"/>
            </w:tcBorders>
            <w:shd w:val="clear" w:color="auto" w:fill="auto"/>
            <w:tcMar>
              <w:top w:w="72" w:type="dxa"/>
              <w:left w:w="144" w:type="dxa"/>
              <w:bottom w:w="72" w:type="dxa"/>
              <w:right w:w="144" w:type="dxa"/>
            </w:tcMar>
            <w:hideMark/>
          </w:tcPr>
          <w:p w14:paraId="54723156" w14:textId="77777777" w:rsidR="006540FA" w:rsidRPr="006540FA" w:rsidRDefault="006540FA" w:rsidP="00CB3A7A">
            <w:pPr>
              <w:jc w:val="left"/>
            </w:pPr>
            <w:r w:rsidRPr="006540FA">
              <w:t>Maryland boundaries</w:t>
            </w:r>
          </w:p>
        </w:tc>
        <w:tc>
          <w:tcPr>
            <w:tcW w:w="3960" w:type="dxa"/>
            <w:tcBorders>
              <w:top w:val="nil"/>
              <w:left w:val="nil"/>
              <w:bottom w:val="nil"/>
              <w:right w:val="nil"/>
            </w:tcBorders>
            <w:shd w:val="clear" w:color="auto" w:fill="auto"/>
            <w:tcMar>
              <w:top w:w="72" w:type="dxa"/>
              <w:left w:w="144" w:type="dxa"/>
              <w:bottom w:w="72" w:type="dxa"/>
              <w:right w:w="144" w:type="dxa"/>
            </w:tcMar>
            <w:hideMark/>
          </w:tcPr>
          <w:p w14:paraId="3BDBA2A9" w14:textId="3647709F" w:rsidR="006540FA" w:rsidRPr="006540FA" w:rsidRDefault="006540FA" w:rsidP="00CB3A7A">
            <w:pPr>
              <w:jc w:val="left"/>
            </w:pPr>
            <w:r w:rsidRPr="006540FA">
              <w:t>County</w:t>
            </w:r>
            <w:r w:rsidR="00810F1B">
              <w:t>-</w:t>
            </w:r>
            <w:r w:rsidRPr="006540FA">
              <w:t>level, zip code level, and census tract level</w:t>
            </w:r>
          </w:p>
        </w:tc>
        <w:tc>
          <w:tcPr>
            <w:tcW w:w="2334" w:type="dxa"/>
            <w:tcBorders>
              <w:top w:val="nil"/>
              <w:left w:val="nil"/>
              <w:bottom w:val="nil"/>
              <w:right w:val="nil"/>
            </w:tcBorders>
            <w:shd w:val="clear" w:color="auto" w:fill="auto"/>
            <w:tcMar>
              <w:top w:w="72" w:type="dxa"/>
              <w:left w:w="144" w:type="dxa"/>
              <w:bottom w:w="72" w:type="dxa"/>
              <w:right w:w="144" w:type="dxa"/>
            </w:tcMar>
            <w:hideMark/>
          </w:tcPr>
          <w:p w14:paraId="73FBEEE1" w14:textId="77777777" w:rsidR="006540FA" w:rsidRPr="006540FA" w:rsidRDefault="006540FA" w:rsidP="00CB3A7A">
            <w:pPr>
              <w:jc w:val="left"/>
            </w:pPr>
            <w:r w:rsidRPr="006540FA">
              <w:t>Maryland’s Open Data Portal and Maryland’s GIS Data Catalog</w:t>
            </w:r>
          </w:p>
        </w:tc>
      </w:tr>
      <w:tr w:rsidR="006540FA" w:rsidRPr="006540FA" w14:paraId="1340172A" w14:textId="77777777" w:rsidTr="00CB3A7A">
        <w:trPr>
          <w:trHeight w:val="643"/>
        </w:trPr>
        <w:tc>
          <w:tcPr>
            <w:tcW w:w="2070" w:type="dxa"/>
            <w:tcBorders>
              <w:top w:val="nil"/>
              <w:left w:val="nil"/>
              <w:bottom w:val="nil"/>
              <w:right w:val="nil"/>
            </w:tcBorders>
            <w:shd w:val="clear" w:color="auto" w:fill="auto"/>
            <w:tcMar>
              <w:top w:w="72" w:type="dxa"/>
              <w:left w:w="144" w:type="dxa"/>
              <w:bottom w:w="72" w:type="dxa"/>
              <w:right w:w="144" w:type="dxa"/>
            </w:tcMar>
            <w:hideMark/>
          </w:tcPr>
          <w:p w14:paraId="0A6D1899" w14:textId="77777777" w:rsidR="006540FA" w:rsidRPr="006540FA" w:rsidRDefault="006540FA" w:rsidP="00CB3A7A">
            <w:pPr>
              <w:jc w:val="left"/>
            </w:pPr>
            <w:r w:rsidRPr="006540FA">
              <w:t>Maryland statistics</w:t>
            </w:r>
          </w:p>
        </w:tc>
        <w:tc>
          <w:tcPr>
            <w:tcW w:w="3960" w:type="dxa"/>
            <w:tcBorders>
              <w:top w:val="nil"/>
              <w:left w:val="nil"/>
              <w:bottom w:val="nil"/>
              <w:right w:val="nil"/>
            </w:tcBorders>
            <w:shd w:val="clear" w:color="auto" w:fill="auto"/>
            <w:tcMar>
              <w:top w:w="72" w:type="dxa"/>
              <w:left w:w="144" w:type="dxa"/>
              <w:bottom w:w="72" w:type="dxa"/>
              <w:right w:w="144" w:type="dxa"/>
            </w:tcMar>
            <w:hideMark/>
          </w:tcPr>
          <w:p w14:paraId="16554DBF" w14:textId="77777777" w:rsidR="006540FA" w:rsidRPr="006540FA" w:rsidRDefault="006540FA" w:rsidP="00CB3A7A">
            <w:pPr>
              <w:jc w:val="left"/>
            </w:pPr>
            <w:r w:rsidRPr="006540FA">
              <w:t>Populations, age, gender, race/ethnicity, income and poverty, housing, education, and employment</w:t>
            </w:r>
          </w:p>
        </w:tc>
        <w:tc>
          <w:tcPr>
            <w:tcW w:w="2334" w:type="dxa"/>
            <w:tcBorders>
              <w:top w:val="nil"/>
              <w:left w:val="nil"/>
              <w:bottom w:val="nil"/>
              <w:right w:val="nil"/>
            </w:tcBorders>
            <w:shd w:val="clear" w:color="auto" w:fill="auto"/>
            <w:tcMar>
              <w:top w:w="72" w:type="dxa"/>
              <w:left w:w="144" w:type="dxa"/>
              <w:bottom w:w="72" w:type="dxa"/>
              <w:right w:w="144" w:type="dxa"/>
            </w:tcMar>
            <w:hideMark/>
          </w:tcPr>
          <w:p w14:paraId="619459A6" w14:textId="77777777" w:rsidR="006540FA" w:rsidRPr="006540FA" w:rsidRDefault="006540FA" w:rsidP="00CB3A7A">
            <w:pPr>
              <w:jc w:val="left"/>
            </w:pPr>
            <w:r w:rsidRPr="006540FA">
              <w:t>2018 ACS</w:t>
            </w:r>
          </w:p>
        </w:tc>
      </w:tr>
      <w:tr w:rsidR="006540FA" w:rsidRPr="006540FA" w14:paraId="52129363" w14:textId="77777777" w:rsidTr="00CB3A7A">
        <w:trPr>
          <w:trHeight w:val="643"/>
        </w:trPr>
        <w:tc>
          <w:tcPr>
            <w:tcW w:w="207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1CC56247" w14:textId="77777777" w:rsidR="006540FA" w:rsidRPr="006540FA" w:rsidRDefault="006540FA" w:rsidP="00CB3A7A">
            <w:pPr>
              <w:jc w:val="left"/>
            </w:pPr>
            <w:r w:rsidRPr="006540FA">
              <w:t>Maryland hospital locations</w:t>
            </w:r>
          </w:p>
        </w:tc>
        <w:tc>
          <w:tcPr>
            <w:tcW w:w="396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5B580439" w14:textId="77777777" w:rsidR="006540FA" w:rsidRPr="006540FA" w:rsidRDefault="006540FA" w:rsidP="00CB3A7A">
            <w:pPr>
              <w:jc w:val="left"/>
            </w:pPr>
            <w:r w:rsidRPr="006540FA">
              <w:t>Hospitals licensed by Maryland DOH</w:t>
            </w:r>
          </w:p>
        </w:tc>
        <w:tc>
          <w:tcPr>
            <w:tcW w:w="2334"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5AA6F504" w14:textId="77777777" w:rsidR="006540FA" w:rsidRPr="006540FA" w:rsidRDefault="006540FA" w:rsidP="00CB3A7A">
            <w:pPr>
              <w:jc w:val="left"/>
            </w:pPr>
            <w:r w:rsidRPr="006540FA">
              <w:t>Maryland’s GIS Data Catalog</w:t>
            </w:r>
          </w:p>
        </w:tc>
      </w:tr>
    </w:tbl>
    <w:p w14:paraId="0EEF9E2B" w14:textId="77777777" w:rsidR="00C230EB" w:rsidRDefault="00C230EB" w:rsidP="00C230EB"/>
    <w:p w14:paraId="0F1EE4A4" w14:textId="0AF25D3D" w:rsidR="006540FA" w:rsidRDefault="00CB3A7A" w:rsidP="00FB1C9A">
      <w:pPr>
        <w:pStyle w:val="Heading2"/>
      </w:pPr>
      <w:r>
        <w:t>3.2. Data Processing and Geo-visualization</w:t>
      </w:r>
    </w:p>
    <w:p w14:paraId="0D262A54" w14:textId="6DB84F40" w:rsidR="00CB3A7A" w:rsidRDefault="004B6A76" w:rsidP="004B6A76">
      <w:pPr>
        <w:ind w:firstLine="420"/>
      </w:pPr>
      <w:r>
        <w:t xml:space="preserve">First, I visualize the trend of COVID-19 cases at </w:t>
      </w:r>
      <w:r w:rsidR="00810F1B">
        <w:t xml:space="preserve">the </w:t>
      </w:r>
      <w:r>
        <w:t>zip code level, both the cumulative case number and daily new case number (Figure 1).</w:t>
      </w:r>
    </w:p>
    <w:p w14:paraId="4B1B5D76" w14:textId="77777777" w:rsidR="00C230EB" w:rsidRDefault="00C230EB" w:rsidP="00C230EB"/>
    <w:p w14:paraId="11FA9FFC" w14:textId="0AF81C65" w:rsidR="004B6A76" w:rsidRDefault="004B6A76" w:rsidP="004B6A76">
      <w:pPr>
        <w:jc w:val="center"/>
      </w:pPr>
      <w:r>
        <w:rPr>
          <w:noProof/>
        </w:rPr>
        <w:drawing>
          <wp:inline distT="0" distB="0" distL="0" distR="0" wp14:anchorId="65E814A4" wp14:editId="0B3F0038">
            <wp:extent cx="5486400" cy="175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1755775"/>
                    </a:xfrm>
                    <a:prstGeom prst="rect">
                      <a:avLst/>
                    </a:prstGeom>
                    <a:noFill/>
                    <a:ln>
                      <a:noFill/>
                    </a:ln>
                  </pic:spPr>
                </pic:pic>
              </a:graphicData>
            </a:graphic>
          </wp:inline>
        </w:drawing>
      </w:r>
    </w:p>
    <w:p w14:paraId="628E21C0" w14:textId="73DD6017" w:rsidR="004B6A76" w:rsidRDefault="004B6A76" w:rsidP="004B6A76">
      <w:pPr>
        <w:jc w:val="center"/>
      </w:pPr>
      <w:r>
        <w:t>Figure 1. Maryland cumulative COVID-19 positive cases (blue) and daily new cases (red) from March 15 to August 31.</w:t>
      </w:r>
    </w:p>
    <w:p w14:paraId="0EBC4599" w14:textId="77777777" w:rsidR="00C230EB" w:rsidRDefault="00C230EB" w:rsidP="00C230EB"/>
    <w:p w14:paraId="438F6350" w14:textId="52C53758" w:rsidR="004B6A76" w:rsidRDefault="004B6A76" w:rsidP="004B6A76">
      <w:pPr>
        <w:ind w:firstLine="420"/>
      </w:pPr>
      <w:r>
        <w:t>From Figure 1, we can easily identify 2 time periods based on the daily new cases: March 15 to June 30 and July 1 to August 31. We assume that these 2 time periods will have different temporal effects, which leads to separate spatial modeling.</w:t>
      </w:r>
      <w:r w:rsidR="00CE5DB3">
        <w:t xml:space="preserve"> The flat curve of the cumulative case number during the mid-June to mid-July period indicates low increases, but after that, the situation seems to be getting worse, which suggests that the social distancing restrictions were effective to constrain the COVID-19 spread until the stay-at-home order was lifted and phased reopening was implemented.</w:t>
      </w:r>
    </w:p>
    <w:p w14:paraId="349FF9EF" w14:textId="2009D479" w:rsidR="00CE5DB3" w:rsidRDefault="00CE5DB3" w:rsidP="00CE5DB3">
      <w:pPr>
        <w:ind w:firstLine="420"/>
      </w:pPr>
      <w:r>
        <w:t>T</w:t>
      </w:r>
      <w:r w:rsidR="004F4AAD">
        <w:t xml:space="preserve">hen, </w:t>
      </w:r>
      <w:r>
        <w:t xml:space="preserve">Figure 2 below shows the cumulative COVID-19 case number rankings by county as of August 31. We can see that Prince George’s </w:t>
      </w:r>
      <w:r w:rsidR="00810F1B">
        <w:t>C</w:t>
      </w:r>
      <w:r>
        <w:t xml:space="preserve">ounty, Montgomery </w:t>
      </w:r>
      <w:r w:rsidR="00810F1B">
        <w:t>C</w:t>
      </w:r>
      <w:r>
        <w:t xml:space="preserve">ounty, and the Baltimore area (Baltimore City and Baltimore </w:t>
      </w:r>
      <w:r w:rsidR="00810F1B">
        <w:t>C</w:t>
      </w:r>
      <w:r>
        <w:t>ounty) have most of the cases. These areas are the focus of this study.</w:t>
      </w:r>
    </w:p>
    <w:p w14:paraId="4EC622CF" w14:textId="77777777" w:rsidR="00C230EB" w:rsidRDefault="00C230EB" w:rsidP="00C230EB"/>
    <w:p w14:paraId="49BB9A53" w14:textId="65F30BC9" w:rsidR="00CE5DB3" w:rsidRDefault="00CE5DB3" w:rsidP="00CE5DB3">
      <w:pPr>
        <w:jc w:val="center"/>
      </w:pPr>
      <w:r>
        <w:rPr>
          <w:noProof/>
        </w:rPr>
        <w:lastRenderedPageBreak/>
        <w:drawing>
          <wp:inline distT="0" distB="0" distL="0" distR="0" wp14:anchorId="604A0DE2" wp14:editId="373696D6">
            <wp:extent cx="5486400" cy="3705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332" b="6250"/>
                    <a:stretch/>
                  </pic:blipFill>
                  <pic:spPr bwMode="auto">
                    <a:xfrm>
                      <a:off x="0" y="0"/>
                      <a:ext cx="5486400" cy="3705225"/>
                    </a:xfrm>
                    <a:prstGeom prst="rect">
                      <a:avLst/>
                    </a:prstGeom>
                    <a:noFill/>
                    <a:ln>
                      <a:noFill/>
                    </a:ln>
                    <a:extLst>
                      <a:ext uri="{53640926-AAD7-44D8-BBD7-CCE9431645EC}">
                        <a14:shadowObscured xmlns:a14="http://schemas.microsoft.com/office/drawing/2010/main"/>
                      </a:ext>
                    </a:extLst>
                  </pic:spPr>
                </pic:pic>
              </a:graphicData>
            </a:graphic>
          </wp:inline>
        </w:drawing>
      </w:r>
    </w:p>
    <w:p w14:paraId="3818063F" w14:textId="135D5FA8" w:rsidR="00CE5DB3" w:rsidRDefault="00CE5DB3" w:rsidP="00CE5DB3">
      <w:pPr>
        <w:jc w:val="center"/>
      </w:pPr>
      <w:r>
        <w:t>Figure 2. Maryland cumulative COVID-19 positive case number rankings by county (as of August 31).</w:t>
      </w:r>
    </w:p>
    <w:p w14:paraId="002B7B7D" w14:textId="566A1434" w:rsidR="00CE5DB3" w:rsidRDefault="00CE5DB3" w:rsidP="00CE5DB3"/>
    <w:p w14:paraId="3E960521" w14:textId="3428EE1D" w:rsidR="00C230EB" w:rsidRDefault="00C230EB" w:rsidP="00C230EB">
      <w:pPr>
        <w:ind w:firstLine="420"/>
      </w:pPr>
      <w:r>
        <w:t>To unify the spatial units, I crosswalk the COVDI-19 case data from zip code level to census tract level. The zip code level case data are multiplied by the ratio of census tract population to zip code population, and then census tract level data are aggregated.</w:t>
      </w:r>
    </w:p>
    <w:p w14:paraId="0D283ECF" w14:textId="6DD324C9" w:rsidR="00CB3A7A" w:rsidRDefault="00CB3A7A" w:rsidP="00FB1C9A">
      <w:pPr>
        <w:pStyle w:val="Heading2"/>
      </w:pPr>
      <w:r>
        <w:t>3.3. Spatial Clustering</w:t>
      </w:r>
    </w:p>
    <w:p w14:paraId="583717B9" w14:textId="3D9BAABB" w:rsidR="00CB3A7A" w:rsidRDefault="00C230EB" w:rsidP="00C230EB">
      <w:pPr>
        <w:ind w:firstLine="420"/>
      </w:pPr>
      <w:r>
        <w:t xml:space="preserve">To identify the COVID-19 </w:t>
      </w:r>
      <w:r w:rsidR="00BE0963">
        <w:t>hot spots and cold spots, I perform the hotspot analysis using Local Moran’s I to examine the clusters of COVD-19 cases. With hot spots and cold spots, state health experts and officials can have a better understanding o</w:t>
      </w:r>
      <w:r w:rsidR="00810F1B">
        <w:t>f</w:t>
      </w:r>
      <w:r w:rsidR="00BE0963">
        <w:t xml:space="preserve"> where the </w:t>
      </w:r>
      <w:r w:rsidR="00BE0963">
        <w:lastRenderedPageBreak/>
        <w:t xml:space="preserve">COVID-19 </w:t>
      </w:r>
      <w:r w:rsidR="00AA2259">
        <w:t>situation needs more focus. The results can be greatly useful for policymaking.</w:t>
      </w:r>
    </w:p>
    <w:p w14:paraId="5A27B159" w14:textId="414E39F1" w:rsidR="00AA2259" w:rsidRDefault="00AA2259" w:rsidP="00C230EB">
      <w:pPr>
        <w:ind w:firstLine="420"/>
      </w:pPr>
      <w:r>
        <w:t>Regionalization is a technique to aggregate the basic spatial units into larger regions</w:t>
      </w:r>
      <w:r w:rsidR="00622BF5">
        <w:t xml:space="preserve">. In order to investigate the regions of COVID-19 case numbers and to better adjust the medical resources, I also run a regionalization analysis </w:t>
      </w:r>
      <w:r w:rsidR="00622BF5">
        <w:fldChar w:fldCharType="begin" w:fldLock="1"/>
      </w:r>
      <w:r w:rsidR="00CC130A">
        <w:instrText>ADDIN CSL_CITATION {"citationItems":[{"id":"ITEM-1","itemData":{"DOI":"10.1177/0160017607301605","ISSN":"01600176","abstract":"This article reviews almost four decades of contributions on the subject of supervised regionalization methods. These methods aggregate a set of areas into a predefined number of spatially contiguous regions while optimizing certain aggregation criteria. The authors present a taxonomic scheme that classifies a wide range of regionalization methods into eight groups, based on the strategy applied for satisfying the spatial contiguity constraint. The article concludes by providing a qualitative comparison of these groups in terms of a set of certain characteristics, and by suggesting future lines of research for extending and improving these methods. © Sage Publications 2007.","author":[{"dropping-particle":"","family":"Duque","given":"Juan Carlos","non-dropping-particle":"","parse-names":false,"suffix":""},{"dropping-particle":"","family":"Ramos","given":"Raúl","non-dropping-particle":"","parse-names":false,"suffix":""},{"dropping-particle":"","family":"Suriñach","given":"Jordi","non-dropping-particle":"","parse-names":false,"suffix":""}],"container-title":"International Regional Science Review","id":"ITEM-1","issue":"3","issued":{"date-parts":[["2007"]]},"page":"195-220","title":"Supervised regionalization methods: A survey","type":"article-journal","volume":"30"},"uris":["http://www.mendeley.com/documents/?uuid=ed7dc350-23f6-458b-89fe-d6389cf6c4b4"]}],"mendeley":{"formattedCitation":"(Duque, Ramos, &amp; Suriñach, 2007)","plainTextFormattedCitation":"(Duque, Ramos, &amp; Suriñach, 2007)","previouslyFormattedCitation":"(Duque, Ramos, &amp; Suriñach, 2007)"},"properties":{"noteIndex":0},"schema":"https://github.com/citation-style-language/schema/raw/master/csl-citation.json"}</w:instrText>
      </w:r>
      <w:r w:rsidR="00622BF5">
        <w:fldChar w:fldCharType="separate"/>
      </w:r>
      <w:r w:rsidR="00622BF5" w:rsidRPr="00AA2259">
        <w:rPr>
          <w:noProof/>
        </w:rPr>
        <w:t>(Duque, Ramos, &amp; Suriñach, 2007)</w:t>
      </w:r>
      <w:r w:rsidR="00622BF5">
        <w:fldChar w:fldCharType="end"/>
      </w:r>
      <w:r w:rsidR="00622BF5">
        <w:t xml:space="preserve"> using K-Nearest Neighbor (k=5, and 4 nearest neighbors).</w:t>
      </w:r>
    </w:p>
    <w:p w14:paraId="17920BC2" w14:textId="7374547E" w:rsidR="00CB3A7A" w:rsidRDefault="00CB3A7A" w:rsidP="00FB1C9A">
      <w:pPr>
        <w:pStyle w:val="Heading2"/>
      </w:pPr>
      <w:r>
        <w:t>3.4. Ordinary Least Squares and Random Forest Model</w:t>
      </w:r>
    </w:p>
    <w:p w14:paraId="2200AB38" w14:textId="2D8CE6F2" w:rsidR="00CB3A7A" w:rsidRDefault="00622BF5" w:rsidP="00622BF5">
      <w:pPr>
        <w:ind w:firstLine="420"/>
        <w:rPr>
          <w:rFonts w:eastAsiaTheme="minorEastAsia"/>
        </w:rPr>
      </w:pPr>
      <w:r>
        <w:rPr>
          <w:rFonts w:eastAsiaTheme="minorEastAsia"/>
        </w:rPr>
        <w:t xml:space="preserve">To examine the demographic and socioeconomic determinants that are impacting the COVID-19 spread, I </w:t>
      </w:r>
      <w:r w:rsidR="004F4AAD">
        <w:rPr>
          <w:rFonts w:eastAsiaTheme="minorEastAsia"/>
        </w:rPr>
        <w:t xml:space="preserve">run regression models on the COVID-19 case numbers. </w:t>
      </w:r>
      <w:r w:rsidR="00CC130A">
        <w:rPr>
          <w:rFonts w:eastAsiaTheme="minorEastAsia"/>
        </w:rPr>
        <w:t xml:space="preserve">Three models are to be used in this study: Ordinary Least Squares (OLS), Random Forest (RF), and Geographically Weighted Regression (GWR). The OLS model and RF model are universal models, while the GWR model is a local model </w:t>
      </w:r>
      <w:r w:rsidR="00810F1B">
        <w:rPr>
          <w:rFonts w:eastAsiaTheme="minorEastAsia"/>
        </w:rPr>
        <w:t>that</w:t>
      </w:r>
      <w:r w:rsidR="00CC130A">
        <w:rPr>
          <w:rFonts w:eastAsiaTheme="minorEastAsia"/>
        </w:rPr>
        <w:t xml:space="preserve"> considers the spatial non-stationarity </w:t>
      </w:r>
      <w:r w:rsidR="00CC130A">
        <w:rPr>
          <w:rFonts w:eastAsiaTheme="minorEastAsia"/>
        </w:rPr>
        <w:fldChar w:fldCharType="begin" w:fldLock="1"/>
      </w:r>
      <w:r w:rsidR="003C7718">
        <w:rPr>
          <w:rFonts w:eastAsiaTheme="minorEastAsia"/>
        </w:rPr>
        <w:instrText>ADDIN CSL_CITATION {"citationItems":[{"id":"ITEM-1","itemData":{"DOI":"10.3390/ijgi8060269","ISSN":"22209964","abstract":"Geographically weighted regression (GWR) is a spatial statistical technique that recognizes that traditional ‘global’ regression models may be limited when spatial processes vary with spatial context. GWR captures process spatial heterogeneity by allowing effects to vary over space. To do this, GWR calibrates an ensemble of local linear models at any number of locations using ‘borrowed’ nearby data. This provides a surface of location-specific parameter estimates for each relationship in the model that is allowed to vary spatially, as well as a single bandwidth parameter that provides intuition about the geographic scale of the processes. A recent extension to this framework allows each relationship to vary according to a distinct spatial scale parameter, and is therefore known as multiscale (M)GWR. This paper introduces mgwr, a Python-based implementation of MGWR that explicitly focuses on the multiscale analysis of spatial heterogeneity. It provides novel functionality for inference and exploratory analysis of local spatial processes, new diagnostics unique to multi-scale local models, and drastic improvements to efficiency in estimation routines. We provide two case studies using mgwr, in addition to reviewing core concepts of local models. We present this in a literate programming style, providing an overview of the primary software functionality and demonstrations of suggested usage alongside the discussion of primary concepts and demonstration of the improvements made in mgwr.","author":[{"dropping-particle":"","family":"Oshan","given":"Taylor M.","non-dropping-particle":"","parse-names":false,"suffix":""},{"dropping-particle":"","family":"Li","given":"Ziqi","non-dropping-particle":"","parse-names":false,"suffix":""},{"dropping-particle":"","family":"Kang","given":"Wei","non-dropping-particle":"","parse-names":false,"suffix":""},{"dropping-particle":"","family":"Wolf","given":"Levi J.","non-dropping-particle":"","parse-names":false,"suffix":""},{"dropping-particle":"","family":"Stewart Fotheringham","given":"A.","non-dropping-particle":"","parse-names":false,"suffix":""}],"container-title":"ISPRS International Journal of Geo-Information","id":"ITEM-1","issue":"6","issued":{"date-parts":[["2019"]]},"title":"MGWR: A python implementation of multiscale geographically weighted regression for investigating process spatial heterogeneity and scale","type":"article-journal","volume":"8"},"uris":["http://www.mendeley.com/documents/?uuid=5cd30af1-a92a-469f-afdc-c08d9c8ffa17"]}],"mendeley":{"formattedCitation":"(Oshan, Li, Kang, Wolf, &amp; Stewart Fotheringham, 2019)","plainTextFormattedCitation":"(Oshan, Li, Kang, Wolf, &amp; Stewart Fotheringham, 2019)","previouslyFormattedCitation":"(Oshan, Li, Kang, Wolf, &amp; Stewart Fotheringham, 2019)"},"properties":{"noteIndex":0},"schema":"https://github.com/citation-style-language/schema/raw/master/csl-citation.json"}</w:instrText>
      </w:r>
      <w:r w:rsidR="00CC130A">
        <w:rPr>
          <w:rFonts w:eastAsiaTheme="minorEastAsia"/>
        </w:rPr>
        <w:fldChar w:fldCharType="separate"/>
      </w:r>
      <w:r w:rsidR="00CC130A" w:rsidRPr="00CC130A">
        <w:rPr>
          <w:rFonts w:eastAsiaTheme="minorEastAsia"/>
          <w:noProof/>
        </w:rPr>
        <w:t>(Oshan, Li, Kang, Wolf, &amp; Stewart Fotheringham, 2019)</w:t>
      </w:r>
      <w:r w:rsidR="00CC130A">
        <w:rPr>
          <w:rFonts w:eastAsiaTheme="minorEastAsia"/>
        </w:rPr>
        <w:fldChar w:fldCharType="end"/>
      </w:r>
      <w:r w:rsidR="00CC130A">
        <w:rPr>
          <w:rFonts w:eastAsiaTheme="minorEastAsia"/>
        </w:rPr>
        <w:t>.</w:t>
      </w:r>
    </w:p>
    <w:p w14:paraId="12B8D727" w14:textId="7FEFEB6E" w:rsidR="00CC130A" w:rsidRDefault="00CC130A" w:rsidP="00622BF5">
      <w:pPr>
        <w:ind w:firstLine="420"/>
        <w:rPr>
          <w:rFonts w:eastAsiaTheme="minorEastAsia"/>
        </w:rPr>
      </w:pPr>
      <w:r>
        <w:rPr>
          <w:rFonts w:eastAsiaTheme="minorEastAsia"/>
        </w:rPr>
        <w:t xml:space="preserve">The dataset preparation is done in Section 3.1., and the selected explanatory variables include (1) population density, (2) race and ethnicity (White, Black, Asian, Native, Other), (3) age groups of 20 years interval (0 to 19, 20 to 39, 40 to 59, 60 to 79, 80 and above), </w:t>
      </w:r>
      <w:r w:rsidR="00186B3F">
        <w:rPr>
          <w:rFonts w:eastAsiaTheme="minorEastAsia"/>
        </w:rPr>
        <w:t xml:space="preserve">(4) population with Bachelor degree or higher, (5) population below poverty level, (6) median household income, (7) unemployment rate, and (8) uninsured population. Obviously, the dependent variable is the new COVID-19 positive case number </w:t>
      </w:r>
      <w:r w:rsidR="00810F1B">
        <w:rPr>
          <w:rFonts w:eastAsiaTheme="minorEastAsia"/>
        </w:rPr>
        <w:t>from</w:t>
      </w:r>
      <w:r w:rsidR="00186B3F">
        <w:rPr>
          <w:rFonts w:eastAsiaTheme="minorEastAsia"/>
        </w:rPr>
        <w:t xml:space="preserve"> March 15 to June 30 period and July 1 to August 31 period.</w:t>
      </w:r>
    </w:p>
    <w:p w14:paraId="04100D60" w14:textId="3E0CCC36" w:rsidR="00CC130A" w:rsidRDefault="00CC130A" w:rsidP="00622BF5">
      <w:pPr>
        <w:ind w:firstLine="420"/>
        <w:rPr>
          <w:rFonts w:eastAsiaTheme="minorEastAsia"/>
        </w:rPr>
      </w:pPr>
      <w:proofErr w:type="gramStart"/>
      <w:r>
        <w:rPr>
          <w:rFonts w:eastAsiaTheme="minorEastAsia"/>
        </w:rPr>
        <w:t>In order to</w:t>
      </w:r>
      <w:proofErr w:type="gramEnd"/>
      <w:r>
        <w:rPr>
          <w:rFonts w:eastAsiaTheme="minorEastAsia"/>
        </w:rPr>
        <w:t xml:space="preserve"> perform </w:t>
      </w:r>
      <w:r w:rsidR="00810F1B">
        <w:rPr>
          <w:rFonts w:eastAsiaTheme="minorEastAsia"/>
        </w:rPr>
        <w:t xml:space="preserve">the </w:t>
      </w:r>
      <w:r>
        <w:rPr>
          <w:rFonts w:eastAsiaTheme="minorEastAsia"/>
        </w:rPr>
        <w:t>OLS model</w:t>
      </w:r>
      <w:r w:rsidR="00CC48B2">
        <w:rPr>
          <w:rFonts w:eastAsiaTheme="minorEastAsia"/>
        </w:rPr>
        <w:t xml:space="preserve"> and compared the coefficients of top impacting </w:t>
      </w:r>
      <w:r w:rsidR="00CC48B2">
        <w:rPr>
          <w:rFonts w:eastAsiaTheme="minorEastAsia"/>
        </w:rPr>
        <w:lastRenderedPageBreak/>
        <w:t>variables</w:t>
      </w:r>
      <w:r>
        <w:rPr>
          <w:rFonts w:eastAsiaTheme="minorEastAsia"/>
        </w:rPr>
        <w:t xml:space="preserve">, the whole dataset is standardized before fitting the model. </w:t>
      </w:r>
      <w:r w:rsidR="00CC48B2">
        <w:rPr>
          <w:rFonts w:eastAsiaTheme="minorEastAsia"/>
        </w:rPr>
        <w:t xml:space="preserve">To standardize the dataset, each variable subtracts the mean of the variable and then is divided by the standard error of the variable, leading to a variable distribution with </w:t>
      </w:r>
      <w:r w:rsidR="00810F1B">
        <w:rPr>
          <w:rFonts w:eastAsiaTheme="minorEastAsia"/>
        </w:rPr>
        <w:t xml:space="preserve">the </w:t>
      </w:r>
      <w:r w:rsidR="00CC48B2">
        <w:rPr>
          <w:rFonts w:eastAsiaTheme="minorEastAsia"/>
        </w:rPr>
        <w:t>mean being 0 and standard error being 1.</w:t>
      </w:r>
    </w:p>
    <w:p w14:paraId="2BFCE26F" w14:textId="5E535501" w:rsidR="00CC48B2" w:rsidRPr="004B6A76" w:rsidRDefault="004B0C2F" w:rsidP="00622BF5">
      <w:pPr>
        <w:ind w:firstLine="420"/>
        <w:rPr>
          <w:rFonts w:eastAsiaTheme="minorEastAsia"/>
        </w:rPr>
      </w:pPr>
      <w:r>
        <w:rPr>
          <w:rFonts w:eastAsiaTheme="minorEastAsia"/>
        </w:rPr>
        <w:t>A</w:t>
      </w:r>
      <w:r w:rsidR="00810F1B">
        <w:rPr>
          <w:rFonts w:eastAsiaTheme="minorEastAsia"/>
        </w:rPr>
        <w:t>n</w:t>
      </w:r>
      <w:r>
        <w:rPr>
          <w:rFonts w:eastAsiaTheme="minorEastAsia"/>
        </w:rPr>
        <w:t xml:space="preserve"> RF model is trained using the same dataset</w:t>
      </w:r>
      <w:r w:rsidR="00881449">
        <w:rPr>
          <w:rFonts w:eastAsiaTheme="minorEastAsia"/>
        </w:rPr>
        <w:t xml:space="preserve">. The basic processing includes filtering out the extreme records and splitting </w:t>
      </w:r>
      <w:r w:rsidR="00810F1B">
        <w:rPr>
          <w:rFonts w:eastAsiaTheme="minorEastAsia"/>
        </w:rPr>
        <w:t xml:space="preserve">them </w:t>
      </w:r>
      <w:r w:rsidR="00881449">
        <w:rPr>
          <w:rFonts w:eastAsiaTheme="minorEastAsia"/>
        </w:rPr>
        <w:t xml:space="preserve">into 75% of </w:t>
      </w:r>
      <w:r w:rsidR="00810F1B">
        <w:rPr>
          <w:rFonts w:eastAsiaTheme="minorEastAsia"/>
        </w:rPr>
        <w:t xml:space="preserve">the </w:t>
      </w:r>
      <w:r w:rsidR="00881449">
        <w:rPr>
          <w:rFonts w:eastAsiaTheme="minorEastAsia"/>
        </w:rPr>
        <w:t xml:space="preserve">training set and 25% of </w:t>
      </w:r>
      <w:r w:rsidR="00810F1B">
        <w:rPr>
          <w:rFonts w:eastAsiaTheme="minorEastAsia"/>
        </w:rPr>
        <w:t xml:space="preserve">the </w:t>
      </w:r>
      <w:r w:rsidR="00881449">
        <w:rPr>
          <w:rFonts w:eastAsiaTheme="minorEastAsia"/>
        </w:rPr>
        <w:t xml:space="preserve">testing set. </w:t>
      </w:r>
      <w:proofErr w:type="gramStart"/>
      <w:r w:rsidR="00881449">
        <w:rPr>
          <w:rFonts w:eastAsiaTheme="minorEastAsia"/>
        </w:rPr>
        <w:t>A python package,</w:t>
      </w:r>
      <w:proofErr w:type="gramEnd"/>
      <w:r w:rsidR="00881449">
        <w:rPr>
          <w:rFonts w:eastAsiaTheme="minorEastAsia"/>
        </w:rPr>
        <w:t xml:space="preserve"> Scikit-Learn, is used for parameter tuning with 5-fold cross-validation. In </w:t>
      </w:r>
      <w:r w:rsidR="00810F1B">
        <w:rPr>
          <w:rFonts w:eastAsiaTheme="minorEastAsia"/>
        </w:rPr>
        <w:t xml:space="preserve">the </w:t>
      </w:r>
      <w:r w:rsidR="00881449">
        <w:rPr>
          <w:rFonts w:eastAsiaTheme="minorEastAsia"/>
        </w:rPr>
        <w:t>case of overfitting, some techniques, e.g. regularization, oversampling, stratify splitting, etc., will be used.</w:t>
      </w:r>
    </w:p>
    <w:p w14:paraId="59AA3086" w14:textId="154D714E" w:rsidR="00CB3A7A" w:rsidRDefault="00CB3A7A" w:rsidP="00FB1C9A">
      <w:pPr>
        <w:pStyle w:val="Heading2"/>
      </w:pPr>
      <w:r>
        <w:t>3.5. Geographically Weighted Regression</w:t>
      </w:r>
    </w:p>
    <w:p w14:paraId="57007D2C" w14:textId="1211ED6B" w:rsidR="00CB3A7A" w:rsidRPr="00EB667E" w:rsidRDefault="00482E14" w:rsidP="00482E14">
      <w:pPr>
        <w:ind w:firstLine="420"/>
        <w:rPr>
          <w:rFonts w:eastAsiaTheme="minorEastAsia"/>
        </w:rPr>
      </w:pPr>
      <w:r>
        <w:rPr>
          <w:rFonts w:eastAsiaTheme="minorEastAsia"/>
        </w:rPr>
        <w:t xml:space="preserve">To better target the spatial context of COVID-19 case number determinants, while OLS and RF regression only model global processes, GWR takes the spatial heterogeneity into modeling. </w:t>
      </w:r>
      <w:r w:rsidR="00810F1B">
        <w:rPr>
          <w:rFonts w:eastAsiaTheme="minorEastAsia"/>
        </w:rPr>
        <w:t>A p</w:t>
      </w:r>
      <w:r w:rsidR="003C7718">
        <w:rPr>
          <w:rFonts w:eastAsiaTheme="minorEastAsia"/>
        </w:rPr>
        <w:t xml:space="preserve">revious case study on the obesity rates in the Phoenix metropolitan area shows the general procedure of GWR </w:t>
      </w:r>
      <w:r w:rsidR="003C7718">
        <w:rPr>
          <w:rFonts w:eastAsiaTheme="minorEastAsia"/>
        </w:rPr>
        <w:fldChar w:fldCharType="begin" w:fldLock="1"/>
      </w:r>
      <w:r w:rsidR="00B54A6B">
        <w:rPr>
          <w:rFonts w:eastAsiaTheme="minorEastAsia"/>
        </w:rPr>
        <w:instrText>ADDIN CSL_CITATION {"citationItems":[{"id":"ITEM-1","itemData":{"DOI":"10.1186/s12942-020-00204-6","ISSN":"1476072X","abstract":"Background: Obesity rates are recognized to be at epidemic levels throughout much of the world, posing significant threats to both the health and financial security of many nations. The causes of obesity can vary but are often complex and multifactorial, and while many contributing factors can be targeted for intervention, an understanding of where these interventions are needed is necessary in order to implement effective policy. This has prompted an interest in incorporating spatial context into the analysis and modeling of obesity determinants, especially through the use of geographically weighted regression (GWR). Method: This paper provides a critical review of previous GWR models of obesogenic processes and then presents a novel application of multiscale (M)GWR using the Phoenix metropolitan area as a case study. Results: Though the MGWR model consumes more degrees of freedom than OLS, it consumes far fewer degrees of freedom than GWR, ultimately resulting in a more nuanced analysis that can incorporate spatial context but does not force every relationship to become local a priori. In addition, MGWR yields a lower AIC and AICc value than GWR and is also less prone to issues of multicollinearity. Consequently, MGWR is able to improve our understanding of the factors that influence obesity rates by providing determinant-specific spatial contexts. Conclusion: The results show that a mix of global and local processes are able to best model obesity rates and that MGWR provides a richer yet more parsimonious quantitative representation of obesity rate determinants compared to both GWR and ordinary least squares.","author":[{"dropping-particle":"","family":"Oshan","given":"Taylor M.","non-dropping-particle":"","parse-names":false,"suffix":""},{"dropping-particle":"","family":"Smith","given":"Jordan P.","non-dropping-particle":"","parse-names":false,"suffix":""},{"dropping-particle":"","family":"Fotheringham","given":"A. Stewart","non-dropping-particle":"","parse-names":false,"suffix":""}],"container-title":"International Journal of Health Geographics","id":"ITEM-1","issue":"1","issued":{"date-parts":[["2020"]]},"publisher":"BioMed Central","title":"Targeting the spatial context of obesity determinants via multiscale geographically weighted regression","type":"article-journal","volume":"19"},"uris":["http://www.mendeley.com/documents/?uuid=436873a5-e5cf-4c47-ab19-06761108e2b9"]}],"mendeley":{"formattedCitation":"(Oshan, Smith, &amp; Fotheringham, 2020)","plainTextFormattedCitation":"(Oshan, Smith, &amp; Fotheringham, 2020)","previouslyFormattedCitation":"(Oshan, Smith, &amp; Fotheringham, 2020)"},"properties":{"noteIndex":0},"schema":"https://github.com/citation-style-language/schema/raw/master/csl-citation.json"}</w:instrText>
      </w:r>
      <w:r w:rsidR="003C7718">
        <w:rPr>
          <w:rFonts w:eastAsiaTheme="minorEastAsia"/>
        </w:rPr>
        <w:fldChar w:fldCharType="separate"/>
      </w:r>
      <w:r w:rsidR="003C7718" w:rsidRPr="003C7718">
        <w:rPr>
          <w:rFonts w:eastAsiaTheme="minorEastAsia"/>
          <w:noProof/>
        </w:rPr>
        <w:t>(Oshan, Smith, &amp; Fotheringham, 2020)</w:t>
      </w:r>
      <w:r w:rsidR="003C7718">
        <w:rPr>
          <w:rFonts w:eastAsiaTheme="minorEastAsia"/>
        </w:rPr>
        <w:fldChar w:fldCharType="end"/>
      </w:r>
      <w:r w:rsidR="003C7718">
        <w:rPr>
          <w:rFonts w:eastAsiaTheme="minorEastAsia"/>
        </w:rPr>
        <w:t>.</w:t>
      </w:r>
      <w:r w:rsidR="00A96670">
        <w:rPr>
          <w:rFonts w:eastAsiaTheme="minorEastAsia"/>
        </w:rPr>
        <w:t xml:space="preserve"> The GWR model is trained using the top features from </w:t>
      </w:r>
      <w:r w:rsidR="00810F1B">
        <w:rPr>
          <w:rFonts w:eastAsiaTheme="minorEastAsia"/>
        </w:rPr>
        <w:t xml:space="preserve">the </w:t>
      </w:r>
      <w:r w:rsidR="00A96670">
        <w:rPr>
          <w:rFonts w:eastAsiaTheme="minorEastAsia"/>
        </w:rPr>
        <w:t>RF model results. Then the surfaces of parameters for the 2 time periods are compared to examine how these factors changed over the 2 waves.</w:t>
      </w:r>
    </w:p>
    <w:p w14:paraId="1E2E41EA" w14:textId="638CFC0B" w:rsidR="00553F48" w:rsidRDefault="00A3724D" w:rsidP="006409FC">
      <w:pPr>
        <w:pStyle w:val="Heading1"/>
      </w:pPr>
      <w:r>
        <w:lastRenderedPageBreak/>
        <w:t>4. Results</w:t>
      </w:r>
    </w:p>
    <w:p w14:paraId="32AE2935" w14:textId="6A906978" w:rsidR="000907D1" w:rsidRDefault="000907D1" w:rsidP="00FB1C9A">
      <w:pPr>
        <w:pStyle w:val="Heading2"/>
      </w:pPr>
      <w:r>
        <w:t>4.1. COVID-19 Trend</w:t>
      </w:r>
    </w:p>
    <w:p w14:paraId="412B085F" w14:textId="765F15EF" w:rsidR="000907D1" w:rsidRDefault="000907D1" w:rsidP="000907D1">
      <w:pPr>
        <w:ind w:firstLine="420"/>
      </w:pPr>
      <w:r>
        <w:t xml:space="preserve">The cumulative COVID-19 case number and daily new case number have been visualized in Figure 1 and Figure 2. Then the distribution of cumulative case number at </w:t>
      </w:r>
      <w:r w:rsidR="00810F1B">
        <w:t xml:space="preserve">the </w:t>
      </w:r>
      <w:r>
        <w:t xml:space="preserve">zip code level is visualized in a time series, starting from April </w:t>
      </w:r>
      <w:proofErr w:type="gramStart"/>
      <w:r>
        <w:t>12</w:t>
      </w:r>
      <w:proofErr w:type="gramEnd"/>
      <w:r>
        <w:t xml:space="preserve"> and using 14 days as </w:t>
      </w:r>
      <w:r w:rsidR="00810F1B">
        <w:t xml:space="preserve">the </w:t>
      </w:r>
      <w:r>
        <w:t>interval. In the presentation, a GIF animation is provided, while here, the dates of April 12, June 21, and August 30 are selected.</w:t>
      </w:r>
      <w:r w:rsidR="001A5701">
        <w:t xml:space="preserve"> See Figure 3 below.</w:t>
      </w:r>
    </w:p>
    <w:p w14:paraId="02E0629D" w14:textId="27EB6449" w:rsidR="000907D1" w:rsidRDefault="000907D1" w:rsidP="000907D1">
      <w:pPr>
        <w:rPr>
          <w:noProof/>
        </w:rPr>
      </w:pPr>
    </w:p>
    <w:p w14:paraId="0C730809" w14:textId="3407E7A2" w:rsidR="00947B7A" w:rsidRDefault="00947B7A" w:rsidP="000907D1">
      <w:pPr>
        <w:rPr>
          <w:noProof/>
        </w:rPr>
      </w:pPr>
    </w:p>
    <w:p w14:paraId="2E4E0BB1" w14:textId="032356FA" w:rsidR="00947B7A" w:rsidRDefault="00947B7A" w:rsidP="000907D1">
      <w:pPr>
        <w:rPr>
          <w:noProof/>
        </w:rPr>
      </w:pPr>
    </w:p>
    <w:p w14:paraId="7DCC67D8" w14:textId="25B8BE10" w:rsidR="00947B7A" w:rsidRDefault="00947B7A" w:rsidP="000907D1">
      <w:pPr>
        <w:rPr>
          <w:noProof/>
        </w:rPr>
      </w:pPr>
    </w:p>
    <w:p w14:paraId="3B602848" w14:textId="72F61C08" w:rsidR="00947B7A" w:rsidRDefault="00947B7A" w:rsidP="000907D1">
      <w:pPr>
        <w:rPr>
          <w:noProof/>
        </w:rPr>
      </w:pPr>
    </w:p>
    <w:p w14:paraId="669E62DA" w14:textId="65434073" w:rsidR="00947B7A" w:rsidRDefault="00947B7A" w:rsidP="000907D1">
      <w:pPr>
        <w:rPr>
          <w:noProof/>
        </w:rPr>
      </w:pPr>
    </w:p>
    <w:p w14:paraId="600C7443" w14:textId="58D50B2D" w:rsidR="00947B7A" w:rsidRDefault="00947B7A" w:rsidP="000907D1">
      <w:pPr>
        <w:rPr>
          <w:noProof/>
        </w:rPr>
      </w:pPr>
    </w:p>
    <w:p w14:paraId="001A9937" w14:textId="77777777" w:rsidR="00947B7A" w:rsidRDefault="00947B7A" w:rsidP="000907D1">
      <w:pPr>
        <w:rPr>
          <w:noProof/>
        </w:rPr>
      </w:pPr>
    </w:p>
    <w:p w14:paraId="06664362" w14:textId="4D7F6996" w:rsidR="000907D1" w:rsidRDefault="000907D1" w:rsidP="005B5D87">
      <w:pPr>
        <w:jc w:val="center"/>
      </w:pPr>
      <w:r>
        <w:rPr>
          <w:noProof/>
        </w:rPr>
        <w:lastRenderedPageBreak/>
        <w:drawing>
          <wp:inline distT="0" distB="0" distL="0" distR="0" wp14:anchorId="1D6349A5" wp14:editId="00C7772E">
            <wp:extent cx="5476875"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0105" b="25065"/>
                    <a:stretch/>
                  </pic:blipFill>
                  <pic:spPr bwMode="auto">
                    <a:xfrm>
                      <a:off x="0" y="0"/>
                      <a:ext cx="547687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471999CC" w14:textId="3C2E0B97" w:rsidR="000907D1" w:rsidRPr="000907D1" w:rsidRDefault="000907D1" w:rsidP="005B5D87">
      <w:pPr>
        <w:jc w:val="center"/>
      </w:pPr>
      <w:r>
        <w:rPr>
          <w:noProof/>
        </w:rPr>
        <w:drawing>
          <wp:inline distT="0" distB="0" distL="0" distR="0" wp14:anchorId="0D571079" wp14:editId="58F00929">
            <wp:extent cx="5476875" cy="203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844" b="24282"/>
                    <a:stretch/>
                  </pic:blipFill>
                  <pic:spPr bwMode="auto">
                    <a:xfrm>
                      <a:off x="0" y="0"/>
                      <a:ext cx="5476875"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09A409DA" w14:textId="0297B907" w:rsidR="000907D1" w:rsidRDefault="000907D1" w:rsidP="005B5D87">
      <w:pPr>
        <w:jc w:val="center"/>
        <w:rPr>
          <w:rFonts w:eastAsiaTheme="minorEastAsia"/>
        </w:rPr>
      </w:pPr>
      <w:r>
        <w:rPr>
          <w:rFonts w:eastAsiaTheme="minorEastAsia" w:hint="eastAsia"/>
          <w:noProof/>
        </w:rPr>
        <w:drawing>
          <wp:inline distT="0" distB="0" distL="0" distR="0" wp14:anchorId="702F7E84" wp14:editId="4103C9B8">
            <wp:extent cx="5476875"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366" b="25326"/>
                    <a:stretch/>
                  </pic:blipFill>
                  <pic:spPr bwMode="auto">
                    <a:xfrm>
                      <a:off x="0" y="0"/>
                      <a:ext cx="5476875"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11A1FE76" w14:textId="4A398CD0" w:rsidR="005B5D87" w:rsidRDefault="005B5D87" w:rsidP="005B5D87">
      <w:pPr>
        <w:jc w:val="center"/>
        <w:rPr>
          <w:rFonts w:eastAsiaTheme="minorEastAsia"/>
        </w:rPr>
      </w:pPr>
      <w:r>
        <w:rPr>
          <w:rFonts w:eastAsiaTheme="minorEastAsia"/>
        </w:rPr>
        <w:t>Figure 3. Cumulative COVID-19 positive cases in Maryland at zip code level (April 12, June 21, and August 30).</w:t>
      </w:r>
    </w:p>
    <w:p w14:paraId="3A6A5C05" w14:textId="17747A9F" w:rsidR="005B5D87" w:rsidRDefault="005B5D87" w:rsidP="000907D1">
      <w:pPr>
        <w:rPr>
          <w:rFonts w:eastAsiaTheme="minorEastAsia"/>
        </w:rPr>
      </w:pPr>
    </w:p>
    <w:p w14:paraId="6A90DC9C" w14:textId="77777777" w:rsidR="00947B7A" w:rsidRDefault="00947B7A" w:rsidP="000907D1">
      <w:pPr>
        <w:rPr>
          <w:rFonts w:eastAsiaTheme="minorEastAsia"/>
        </w:rPr>
      </w:pPr>
    </w:p>
    <w:p w14:paraId="3929AC30" w14:textId="526620AD" w:rsidR="005B5D87" w:rsidRDefault="005B5D87" w:rsidP="005B5D87">
      <w:pPr>
        <w:ind w:firstLine="420"/>
        <w:rPr>
          <w:rFonts w:eastAsiaTheme="minorEastAsia"/>
        </w:rPr>
      </w:pPr>
      <w:r>
        <w:rPr>
          <w:rFonts w:eastAsiaTheme="minorEastAsia"/>
        </w:rPr>
        <w:lastRenderedPageBreak/>
        <w:t xml:space="preserve">The COVID-19 evolving trend indicates a few hot spots in Maryland, especially in August. We can clearly identify the clusters near DC </w:t>
      </w:r>
      <w:r w:rsidR="001A5701">
        <w:rPr>
          <w:rFonts w:eastAsiaTheme="minorEastAsia"/>
        </w:rPr>
        <w:t>and the clusters near Baltimore.</w:t>
      </w:r>
    </w:p>
    <w:p w14:paraId="2762565B" w14:textId="5C6AE675" w:rsidR="005B5D87" w:rsidRDefault="001A5701" w:rsidP="00FB1C9A">
      <w:pPr>
        <w:pStyle w:val="Heading2"/>
        <w:rPr>
          <w:rFonts w:eastAsiaTheme="minorEastAsia"/>
        </w:rPr>
      </w:pPr>
      <w:r>
        <w:rPr>
          <w:rFonts w:eastAsiaTheme="minorEastAsia"/>
        </w:rPr>
        <w:t>4.2. Hotspot Analysis</w:t>
      </w:r>
    </w:p>
    <w:p w14:paraId="0C17FA16" w14:textId="03A9AB97" w:rsidR="001A5701" w:rsidRDefault="001A5701" w:rsidP="00150174">
      <w:pPr>
        <w:ind w:firstLine="420"/>
        <w:rPr>
          <w:rFonts w:eastAsiaTheme="minorEastAsia"/>
        </w:rPr>
      </w:pPr>
      <w:r>
        <w:rPr>
          <w:rFonts w:eastAsiaTheme="minorEastAsia"/>
        </w:rPr>
        <w:t>First, the histograms of the 2 study time periods are visualized in Figure 4.</w:t>
      </w:r>
      <w:r w:rsidR="00150174" w:rsidRPr="00150174">
        <w:rPr>
          <w:rFonts w:eastAsiaTheme="minorEastAsia"/>
        </w:rPr>
        <w:t xml:space="preserve"> </w:t>
      </w:r>
      <w:r w:rsidR="00150174">
        <w:rPr>
          <w:rFonts w:eastAsiaTheme="minorEastAsia"/>
        </w:rPr>
        <w:t>A visualization of the spatial distribution is shown in Figure 5.</w:t>
      </w:r>
    </w:p>
    <w:p w14:paraId="151CF39E" w14:textId="77777777" w:rsidR="00B07507" w:rsidRDefault="00B07507" w:rsidP="00B07507">
      <w:pPr>
        <w:rPr>
          <w:rFonts w:eastAsiaTheme="minorEastAsia"/>
          <w:noProof/>
        </w:rPr>
      </w:pPr>
    </w:p>
    <w:p w14:paraId="2CB48892" w14:textId="12BAC21A" w:rsidR="00B07507" w:rsidRDefault="00B07507" w:rsidP="00B07507">
      <w:pPr>
        <w:jc w:val="center"/>
        <w:rPr>
          <w:rFonts w:eastAsiaTheme="minorEastAsia"/>
        </w:rPr>
      </w:pPr>
      <w:r>
        <w:rPr>
          <w:rFonts w:eastAsiaTheme="minorEastAsia"/>
          <w:noProof/>
        </w:rPr>
        <w:drawing>
          <wp:inline distT="0" distB="0" distL="0" distR="0" wp14:anchorId="78A7D492" wp14:editId="061F4C1D">
            <wp:extent cx="5476875" cy="3705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131" b="6305"/>
                    <a:stretch/>
                  </pic:blipFill>
                  <pic:spPr bwMode="auto">
                    <a:xfrm>
                      <a:off x="0" y="0"/>
                      <a:ext cx="5476875" cy="3705225"/>
                    </a:xfrm>
                    <a:prstGeom prst="rect">
                      <a:avLst/>
                    </a:prstGeom>
                    <a:noFill/>
                    <a:ln>
                      <a:noFill/>
                    </a:ln>
                    <a:extLst>
                      <a:ext uri="{53640926-AAD7-44D8-BBD7-CCE9431645EC}">
                        <a14:shadowObscured xmlns:a14="http://schemas.microsoft.com/office/drawing/2010/main"/>
                      </a:ext>
                    </a:extLst>
                  </pic:spPr>
                </pic:pic>
              </a:graphicData>
            </a:graphic>
          </wp:inline>
        </w:drawing>
      </w:r>
    </w:p>
    <w:p w14:paraId="21B520C9" w14:textId="434BD83D" w:rsidR="00B07507" w:rsidRDefault="00B07507" w:rsidP="00B07507">
      <w:pPr>
        <w:jc w:val="center"/>
        <w:rPr>
          <w:rFonts w:eastAsiaTheme="minorEastAsia"/>
        </w:rPr>
      </w:pPr>
      <w:r>
        <w:rPr>
          <w:rFonts w:eastAsiaTheme="minorEastAsia"/>
        </w:rPr>
        <w:t xml:space="preserve">Figure 4. Histograms of new COVID-19 cases for the 2 time </w:t>
      </w:r>
      <w:r w:rsidR="003359C1">
        <w:rPr>
          <w:rFonts w:eastAsiaTheme="minorEastAsia"/>
        </w:rPr>
        <w:t>periods (March 15 to June 30 and July 1 to August 31).</w:t>
      </w:r>
    </w:p>
    <w:p w14:paraId="5F52DCCE" w14:textId="77777777" w:rsidR="00150174" w:rsidRDefault="00150174" w:rsidP="00150174">
      <w:pPr>
        <w:rPr>
          <w:rFonts w:eastAsiaTheme="minorEastAsia"/>
          <w:noProof/>
        </w:rPr>
      </w:pPr>
    </w:p>
    <w:p w14:paraId="08EDA3EE" w14:textId="77777777" w:rsidR="00150174" w:rsidRDefault="00150174" w:rsidP="00150174">
      <w:pPr>
        <w:jc w:val="center"/>
        <w:rPr>
          <w:rFonts w:eastAsiaTheme="minorEastAsia"/>
        </w:rPr>
      </w:pPr>
      <w:r>
        <w:rPr>
          <w:rFonts w:eastAsiaTheme="minorEastAsia"/>
          <w:noProof/>
        </w:rPr>
        <w:lastRenderedPageBreak/>
        <w:drawing>
          <wp:inline distT="0" distB="0" distL="0" distR="0" wp14:anchorId="6970F13E" wp14:editId="2CE3D81A">
            <wp:extent cx="5467350" cy="1762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119" b="17421"/>
                    <a:stretch/>
                  </pic:blipFill>
                  <pic:spPr bwMode="auto">
                    <a:xfrm>
                      <a:off x="0" y="0"/>
                      <a:ext cx="5467350" cy="176212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rPr>
        <w:t>(a)</w:t>
      </w:r>
    </w:p>
    <w:p w14:paraId="1FB693D1" w14:textId="77777777" w:rsidR="00150174" w:rsidRDefault="00150174" w:rsidP="00150174">
      <w:pPr>
        <w:jc w:val="center"/>
        <w:rPr>
          <w:rFonts w:eastAsiaTheme="minorEastAsia"/>
        </w:rPr>
      </w:pPr>
      <w:r>
        <w:rPr>
          <w:rFonts w:eastAsiaTheme="minorEastAsia"/>
          <w:noProof/>
        </w:rPr>
        <w:drawing>
          <wp:inline distT="0" distB="0" distL="0" distR="0" wp14:anchorId="3BE62B99" wp14:editId="0823515F">
            <wp:extent cx="546735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860" b="16725"/>
                    <a:stretch/>
                  </pic:blipFill>
                  <pic:spPr bwMode="auto">
                    <a:xfrm>
                      <a:off x="0" y="0"/>
                      <a:ext cx="5467350" cy="1733550"/>
                    </a:xfrm>
                    <a:prstGeom prst="rect">
                      <a:avLst/>
                    </a:prstGeom>
                    <a:noFill/>
                    <a:ln>
                      <a:noFill/>
                    </a:ln>
                    <a:extLst>
                      <a:ext uri="{53640926-AAD7-44D8-BBD7-CCE9431645EC}">
                        <a14:shadowObscured xmlns:a14="http://schemas.microsoft.com/office/drawing/2010/main"/>
                      </a:ext>
                    </a:extLst>
                  </pic:spPr>
                </pic:pic>
              </a:graphicData>
            </a:graphic>
          </wp:inline>
        </w:drawing>
      </w:r>
    </w:p>
    <w:p w14:paraId="3A516ECD" w14:textId="77777777" w:rsidR="00150174" w:rsidRDefault="00150174" w:rsidP="00150174">
      <w:pPr>
        <w:jc w:val="center"/>
        <w:rPr>
          <w:rFonts w:eastAsiaTheme="minorEastAsia"/>
        </w:rPr>
      </w:pPr>
      <w:r>
        <w:rPr>
          <w:rFonts w:eastAsiaTheme="minorEastAsia"/>
        </w:rPr>
        <w:t>(b)</w:t>
      </w:r>
    </w:p>
    <w:p w14:paraId="75084C04" w14:textId="57877865" w:rsidR="00B07507" w:rsidRDefault="00150174" w:rsidP="00150174">
      <w:pPr>
        <w:jc w:val="center"/>
        <w:rPr>
          <w:rFonts w:eastAsiaTheme="minorEastAsia"/>
        </w:rPr>
      </w:pPr>
      <w:r>
        <w:rPr>
          <w:rFonts w:eastAsiaTheme="minorEastAsia"/>
        </w:rPr>
        <w:t>Figure 5. New COVID-19 positive cases in (a) March 15 to June 30, and (b) July 1 to August 31.</w:t>
      </w:r>
    </w:p>
    <w:p w14:paraId="032292BC" w14:textId="77777777" w:rsidR="00150174" w:rsidRDefault="00150174" w:rsidP="00150174">
      <w:pPr>
        <w:rPr>
          <w:rFonts w:eastAsiaTheme="minorEastAsia"/>
        </w:rPr>
      </w:pPr>
    </w:p>
    <w:p w14:paraId="08C70166" w14:textId="63B36EB1" w:rsidR="00150174" w:rsidRDefault="003359C1" w:rsidP="00150174">
      <w:pPr>
        <w:ind w:firstLine="420"/>
        <w:rPr>
          <w:rFonts w:eastAsiaTheme="minorEastAsia"/>
        </w:rPr>
      </w:pPr>
      <w:r>
        <w:rPr>
          <w:rFonts w:eastAsiaTheme="minorEastAsia"/>
        </w:rPr>
        <w:t xml:space="preserve">Overall, the first </w:t>
      </w:r>
      <w:proofErr w:type="gramStart"/>
      <w:r>
        <w:rPr>
          <w:rFonts w:eastAsiaTheme="minorEastAsia"/>
        </w:rPr>
        <w:t>time period</w:t>
      </w:r>
      <w:proofErr w:type="gramEnd"/>
      <w:r>
        <w:rPr>
          <w:rFonts w:eastAsiaTheme="minorEastAsia"/>
        </w:rPr>
        <w:t xml:space="preserve"> has more cases since the histogram shows a higher range of distribution, while the case numbers cluster in the low value ranges in the second time period. </w:t>
      </w:r>
      <w:r w:rsidR="00B01AC0">
        <w:rPr>
          <w:rFonts w:eastAsiaTheme="minorEastAsia"/>
        </w:rPr>
        <w:t xml:space="preserve">From Figure 5, we can see that the second </w:t>
      </w:r>
      <w:proofErr w:type="gramStart"/>
      <w:r w:rsidR="00B01AC0">
        <w:rPr>
          <w:rFonts w:eastAsiaTheme="minorEastAsia"/>
        </w:rPr>
        <w:t>time period</w:t>
      </w:r>
      <w:proofErr w:type="gramEnd"/>
      <w:r w:rsidR="00B01AC0">
        <w:rPr>
          <w:rFonts w:eastAsiaTheme="minorEastAsia"/>
        </w:rPr>
        <w:t xml:space="preserve"> has </w:t>
      </w:r>
      <w:r w:rsidR="00810F1B">
        <w:rPr>
          <w:rFonts w:eastAsiaTheme="minorEastAsia"/>
        </w:rPr>
        <w:t>fewer</w:t>
      </w:r>
      <w:r w:rsidR="00B01AC0">
        <w:rPr>
          <w:rFonts w:eastAsiaTheme="minorEastAsia"/>
        </w:rPr>
        <w:t xml:space="preserve"> cases and </w:t>
      </w:r>
      <w:r w:rsidR="00810F1B">
        <w:rPr>
          <w:rFonts w:eastAsiaTheme="minorEastAsia"/>
        </w:rPr>
        <w:t>fewer</w:t>
      </w:r>
      <w:r w:rsidR="00B01AC0">
        <w:rPr>
          <w:rFonts w:eastAsiaTheme="minorEastAsia"/>
        </w:rPr>
        <w:t xml:space="preserve"> hot spots. Based on </w:t>
      </w:r>
      <w:r w:rsidR="00D87CBE">
        <w:rPr>
          <w:rFonts w:eastAsiaTheme="minorEastAsia"/>
        </w:rPr>
        <w:t xml:space="preserve">these preliminary analyses, I conduct hotspot analysis using Local Moran’s I to detect spatial hot spots and cold spots. The results are shown below in Figure 6. For the first time period, there is one big hot spot in the near DC to Ellicott City area, while in the second time period, there are about 5 separate locations of hot spots, which </w:t>
      </w:r>
      <w:r w:rsidR="00D87CBE">
        <w:rPr>
          <w:rFonts w:eastAsiaTheme="minorEastAsia"/>
        </w:rPr>
        <w:lastRenderedPageBreak/>
        <w:t>indicates the COVID-19 has been spread out.</w:t>
      </w:r>
    </w:p>
    <w:p w14:paraId="0BBF834A" w14:textId="77777777" w:rsidR="00D87CBE" w:rsidRDefault="00D87CBE" w:rsidP="00D87CBE">
      <w:pPr>
        <w:rPr>
          <w:rFonts w:eastAsiaTheme="minorEastAsia"/>
        </w:rPr>
      </w:pPr>
    </w:p>
    <w:p w14:paraId="65EAA172" w14:textId="4D1C609C" w:rsidR="00D87CBE" w:rsidRDefault="00D87CBE" w:rsidP="00D87CBE">
      <w:pPr>
        <w:jc w:val="center"/>
        <w:rPr>
          <w:rFonts w:eastAsiaTheme="minorEastAsia"/>
        </w:rPr>
      </w:pPr>
      <w:r>
        <w:rPr>
          <w:rFonts w:eastAsiaTheme="minorEastAsia"/>
          <w:noProof/>
        </w:rPr>
        <w:drawing>
          <wp:inline distT="0" distB="0" distL="0" distR="0" wp14:anchorId="0FFED4D1" wp14:editId="3C2EA74D">
            <wp:extent cx="546735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25" b="18467"/>
                    <a:stretch/>
                  </pic:blipFill>
                  <pic:spPr bwMode="auto">
                    <a:xfrm>
                      <a:off x="0" y="0"/>
                      <a:ext cx="5467350"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54B31963" w14:textId="0F93DF07" w:rsidR="00D87CBE" w:rsidRDefault="00D87CBE" w:rsidP="00D87CBE">
      <w:pPr>
        <w:jc w:val="center"/>
        <w:rPr>
          <w:rFonts w:eastAsiaTheme="minorEastAsia"/>
        </w:rPr>
      </w:pPr>
      <w:r>
        <w:rPr>
          <w:rFonts w:eastAsiaTheme="minorEastAsia"/>
        </w:rPr>
        <w:t>(a)</w:t>
      </w:r>
    </w:p>
    <w:p w14:paraId="614180F9" w14:textId="36DFD6CD" w:rsidR="00D87CBE" w:rsidRDefault="00D87CBE" w:rsidP="00D87CBE">
      <w:pPr>
        <w:jc w:val="center"/>
        <w:rPr>
          <w:rFonts w:eastAsiaTheme="minorEastAsia"/>
        </w:rPr>
      </w:pPr>
      <w:r>
        <w:rPr>
          <w:rFonts w:eastAsiaTheme="minorEastAsia"/>
          <w:noProof/>
        </w:rPr>
        <w:drawing>
          <wp:inline distT="0" distB="0" distL="0" distR="0" wp14:anchorId="1F78F33F" wp14:editId="0D44639A">
            <wp:extent cx="5467350"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375" b="19513"/>
                    <a:stretch/>
                  </pic:blipFill>
                  <pic:spPr bwMode="auto">
                    <a:xfrm>
                      <a:off x="0" y="0"/>
                      <a:ext cx="546735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44404659" w14:textId="44DD7D11" w:rsidR="00D87CBE" w:rsidRDefault="00D87CBE" w:rsidP="00D87CBE">
      <w:pPr>
        <w:jc w:val="center"/>
        <w:rPr>
          <w:rFonts w:eastAsiaTheme="minorEastAsia"/>
        </w:rPr>
      </w:pPr>
      <w:r>
        <w:rPr>
          <w:rFonts w:eastAsiaTheme="minorEastAsia"/>
        </w:rPr>
        <w:t>(b)</w:t>
      </w:r>
    </w:p>
    <w:p w14:paraId="0013CD85" w14:textId="4A047BA2" w:rsidR="00D87CBE" w:rsidRDefault="00D87CBE" w:rsidP="00D87CBE">
      <w:pPr>
        <w:jc w:val="center"/>
        <w:rPr>
          <w:rFonts w:eastAsiaTheme="minorEastAsia"/>
        </w:rPr>
      </w:pPr>
      <w:r>
        <w:rPr>
          <w:rFonts w:eastAsiaTheme="minorEastAsia"/>
        </w:rPr>
        <w:t xml:space="preserve">Figure 6. Hotspot analysis for new COVID-19 positive cases in </w:t>
      </w:r>
      <w:r>
        <w:rPr>
          <w:rFonts w:eastAsiaTheme="minorEastAsia"/>
        </w:rPr>
        <w:t>(a) March 15 to June 30, and (b) July 1 to August 31.</w:t>
      </w:r>
    </w:p>
    <w:p w14:paraId="2907D397" w14:textId="1C79F4D5" w:rsidR="00D87CBE" w:rsidRDefault="00D87CBE" w:rsidP="00D87CBE">
      <w:pPr>
        <w:rPr>
          <w:rFonts w:eastAsiaTheme="minorEastAsia"/>
        </w:rPr>
      </w:pPr>
    </w:p>
    <w:p w14:paraId="0DB25C09" w14:textId="631ED98A" w:rsidR="00BA6CFB" w:rsidRDefault="00BA6CFB" w:rsidP="00FB1C9A">
      <w:pPr>
        <w:pStyle w:val="Heading2"/>
        <w:rPr>
          <w:rFonts w:eastAsiaTheme="minorEastAsia"/>
        </w:rPr>
      </w:pPr>
      <w:r>
        <w:rPr>
          <w:rFonts w:eastAsiaTheme="minorEastAsia"/>
        </w:rPr>
        <w:t>4.3. OLS Model and RF Model</w:t>
      </w:r>
    </w:p>
    <w:p w14:paraId="318C5C60" w14:textId="4A6CD649" w:rsidR="00BA6CFB" w:rsidRDefault="00BA6CFB" w:rsidP="00BA6CFB">
      <w:pPr>
        <w:ind w:firstLine="420"/>
        <w:rPr>
          <w:rFonts w:eastAsiaTheme="minorEastAsia"/>
        </w:rPr>
      </w:pPr>
      <w:r>
        <w:rPr>
          <w:rFonts w:eastAsiaTheme="minorEastAsia"/>
        </w:rPr>
        <w:t>After running the OLS model with the standardized dataset, the R</w:t>
      </w:r>
      <w:r w:rsidRPr="00EE721C">
        <w:rPr>
          <w:rFonts w:eastAsiaTheme="minorEastAsia"/>
          <w:vertAlign w:val="superscript"/>
        </w:rPr>
        <w:t>2</w:t>
      </w:r>
      <w:r>
        <w:rPr>
          <w:rFonts w:eastAsiaTheme="minorEastAsia"/>
        </w:rPr>
        <w:t xml:space="preserve"> and</w:t>
      </w:r>
      <w:r w:rsidR="00EE721C">
        <w:rPr>
          <w:rFonts w:eastAsiaTheme="minorEastAsia"/>
        </w:rPr>
        <w:t xml:space="preserve"> the</w:t>
      </w:r>
      <w:r>
        <w:rPr>
          <w:rFonts w:eastAsiaTheme="minorEastAsia"/>
        </w:rPr>
        <w:t xml:space="preserve"> Adjusted R</w:t>
      </w:r>
      <w:r w:rsidRPr="00EE721C">
        <w:rPr>
          <w:rFonts w:eastAsiaTheme="minorEastAsia"/>
          <w:vertAlign w:val="superscript"/>
        </w:rPr>
        <w:t>2</w:t>
      </w:r>
      <w:r w:rsidR="00EE721C">
        <w:rPr>
          <w:rFonts w:eastAsiaTheme="minorEastAsia"/>
        </w:rPr>
        <w:t xml:space="preserve"> are the model performance measurements. Looking at the variable coefficients (significant variables with </w:t>
      </w:r>
      <w:r w:rsidR="00810F1B">
        <w:rPr>
          <w:rFonts w:eastAsiaTheme="minorEastAsia"/>
        </w:rPr>
        <w:t xml:space="preserve">the </w:t>
      </w:r>
      <w:r w:rsidR="00EE721C">
        <w:rPr>
          <w:rFonts w:eastAsiaTheme="minorEastAsia"/>
        </w:rPr>
        <w:t xml:space="preserve">p-value greater than 0.05), the top impacting variables, both </w:t>
      </w:r>
      <w:r w:rsidR="00EE721C">
        <w:rPr>
          <w:rFonts w:eastAsiaTheme="minorEastAsia"/>
        </w:rPr>
        <w:lastRenderedPageBreak/>
        <w:t>positive impacts</w:t>
      </w:r>
      <w:r w:rsidR="00810F1B">
        <w:rPr>
          <w:rFonts w:eastAsiaTheme="minorEastAsia"/>
        </w:rPr>
        <w:t>,</w:t>
      </w:r>
      <w:r w:rsidR="00EE721C">
        <w:rPr>
          <w:rFonts w:eastAsiaTheme="minorEastAsia"/>
        </w:rPr>
        <w:t xml:space="preserve"> and negative impacts, are selected. See Table 2 down below.</w:t>
      </w:r>
    </w:p>
    <w:p w14:paraId="0EAB22E5" w14:textId="56665560" w:rsidR="00EE721C" w:rsidRDefault="00EE721C" w:rsidP="00EE721C">
      <w:pPr>
        <w:rPr>
          <w:rFonts w:eastAsiaTheme="minorEastAsia"/>
        </w:rPr>
      </w:pPr>
    </w:p>
    <w:p w14:paraId="2EE627D5" w14:textId="16082BC5" w:rsidR="00EE721C" w:rsidRDefault="00EE721C" w:rsidP="00EE721C">
      <w:pPr>
        <w:jc w:val="center"/>
        <w:rPr>
          <w:rFonts w:eastAsiaTheme="minorEastAsia"/>
        </w:rPr>
      </w:pPr>
      <w:r>
        <w:rPr>
          <w:rFonts w:eastAsiaTheme="minorEastAsia"/>
        </w:rPr>
        <w:t>Table 2. OLS model performance and the top impacting variables.</w:t>
      </w:r>
    </w:p>
    <w:tbl>
      <w:tblPr>
        <w:tblW w:w="6000" w:type="dxa"/>
        <w:jc w:val="center"/>
        <w:tblCellMar>
          <w:left w:w="0" w:type="dxa"/>
          <w:right w:w="0" w:type="dxa"/>
        </w:tblCellMar>
        <w:tblLook w:val="0420" w:firstRow="1" w:lastRow="0" w:firstColumn="0" w:lastColumn="0" w:noHBand="0" w:noVBand="1"/>
      </w:tblPr>
      <w:tblGrid>
        <w:gridCol w:w="1260"/>
        <w:gridCol w:w="460"/>
        <w:gridCol w:w="2140"/>
        <w:gridCol w:w="2140"/>
      </w:tblGrid>
      <w:tr w:rsidR="00EE721C" w:rsidRPr="00EE721C" w14:paraId="5E74CEFC" w14:textId="77777777" w:rsidTr="00EE721C">
        <w:trPr>
          <w:trHeight w:val="584"/>
          <w:jc w:val="center"/>
        </w:trPr>
        <w:tc>
          <w:tcPr>
            <w:tcW w:w="1720" w:type="dxa"/>
            <w:gridSpan w:val="2"/>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6B2FEF9D" w14:textId="77777777" w:rsidR="00EE721C" w:rsidRPr="00EE721C" w:rsidRDefault="00EE721C" w:rsidP="00EE721C">
            <w:pPr>
              <w:rPr>
                <w:rFonts w:eastAsiaTheme="minorEastAsia"/>
              </w:rPr>
            </w:pPr>
          </w:p>
        </w:tc>
        <w:tc>
          <w:tcPr>
            <w:tcW w:w="21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290848C8" w14:textId="77777777" w:rsidR="00EE721C" w:rsidRPr="00EE721C" w:rsidRDefault="00EE721C" w:rsidP="00EE721C">
            <w:pPr>
              <w:rPr>
                <w:rFonts w:eastAsiaTheme="minorEastAsia"/>
              </w:rPr>
            </w:pPr>
            <w:r w:rsidRPr="00EE721C">
              <w:rPr>
                <w:rFonts w:eastAsiaTheme="minorEastAsia"/>
                <w:b/>
                <w:bCs/>
              </w:rPr>
              <w:t>03/15 – 06/30</w:t>
            </w:r>
          </w:p>
        </w:tc>
        <w:tc>
          <w:tcPr>
            <w:tcW w:w="21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3DDCE61E" w14:textId="77777777" w:rsidR="00EE721C" w:rsidRPr="00EE721C" w:rsidRDefault="00EE721C" w:rsidP="00EE721C">
            <w:pPr>
              <w:rPr>
                <w:rFonts w:eastAsiaTheme="minorEastAsia"/>
              </w:rPr>
            </w:pPr>
            <w:r w:rsidRPr="00EE721C">
              <w:rPr>
                <w:rFonts w:eastAsiaTheme="minorEastAsia"/>
                <w:b/>
                <w:bCs/>
              </w:rPr>
              <w:t>07/01 – 08/31</w:t>
            </w:r>
          </w:p>
        </w:tc>
      </w:tr>
      <w:tr w:rsidR="00EE721C" w:rsidRPr="00EE721C" w14:paraId="7F900A06" w14:textId="77777777" w:rsidTr="00EE721C">
        <w:trPr>
          <w:trHeight w:val="584"/>
          <w:jc w:val="center"/>
        </w:trPr>
        <w:tc>
          <w:tcPr>
            <w:tcW w:w="1720" w:type="dxa"/>
            <w:gridSpan w:val="2"/>
            <w:tcBorders>
              <w:top w:val="single" w:sz="8" w:space="0" w:color="000000"/>
              <w:left w:val="nil"/>
              <w:bottom w:val="nil"/>
              <w:right w:val="nil"/>
            </w:tcBorders>
            <w:shd w:val="clear" w:color="auto" w:fill="auto"/>
            <w:tcMar>
              <w:top w:w="72" w:type="dxa"/>
              <w:left w:w="144" w:type="dxa"/>
              <w:bottom w:w="72" w:type="dxa"/>
              <w:right w:w="144" w:type="dxa"/>
            </w:tcMar>
            <w:hideMark/>
          </w:tcPr>
          <w:p w14:paraId="42357B54" w14:textId="77777777" w:rsidR="00EE721C" w:rsidRPr="00EE721C" w:rsidRDefault="00EE721C" w:rsidP="00EE721C">
            <w:pPr>
              <w:rPr>
                <w:rFonts w:eastAsiaTheme="minorEastAsia"/>
              </w:rPr>
            </w:pPr>
            <w:r w:rsidRPr="00EE721C">
              <w:rPr>
                <w:rFonts w:eastAsiaTheme="minorEastAsia"/>
                <w:b/>
                <w:bCs/>
              </w:rPr>
              <w:t>R</w:t>
            </w:r>
            <w:r w:rsidRPr="00EE721C">
              <w:rPr>
                <w:rFonts w:eastAsiaTheme="minorEastAsia"/>
                <w:b/>
                <w:bCs/>
                <w:vertAlign w:val="superscript"/>
              </w:rPr>
              <w:t>2</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18C920EE" w14:textId="77777777" w:rsidR="00EE721C" w:rsidRPr="00EE721C" w:rsidRDefault="00EE721C" w:rsidP="00EE721C">
            <w:pPr>
              <w:rPr>
                <w:rFonts w:eastAsiaTheme="minorEastAsia"/>
              </w:rPr>
            </w:pPr>
            <w:r w:rsidRPr="00EE721C">
              <w:rPr>
                <w:rFonts w:eastAsiaTheme="minorEastAsia"/>
              </w:rPr>
              <w:t>0.4715</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77011503" w14:textId="77777777" w:rsidR="00EE721C" w:rsidRPr="00EE721C" w:rsidRDefault="00EE721C" w:rsidP="00EE721C">
            <w:pPr>
              <w:rPr>
                <w:rFonts w:eastAsiaTheme="minorEastAsia"/>
              </w:rPr>
            </w:pPr>
            <w:r w:rsidRPr="00EE721C">
              <w:rPr>
                <w:rFonts w:eastAsiaTheme="minorEastAsia"/>
              </w:rPr>
              <w:t>0.3840</w:t>
            </w:r>
          </w:p>
        </w:tc>
      </w:tr>
      <w:tr w:rsidR="00EE721C" w:rsidRPr="00EE721C" w14:paraId="5CCAD5D2" w14:textId="77777777" w:rsidTr="00EE721C">
        <w:trPr>
          <w:trHeight w:val="584"/>
          <w:jc w:val="center"/>
        </w:trPr>
        <w:tc>
          <w:tcPr>
            <w:tcW w:w="1720" w:type="dxa"/>
            <w:gridSpan w:val="2"/>
            <w:tcBorders>
              <w:top w:val="nil"/>
              <w:left w:val="nil"/>
              <w:bottom w:val="single" w:sz="8" w:space="0" w:color="000000"/>
              <w:right w:val="nil"/>
            </w:tcBorders>
            <w:shd w:val="clear" w:color="auto" w:fill="auto"/>
            <w:tcMar>
              <w:top w:w="72" w:type="dxa"/>
              <w:left w:w="144" w:type="dxa"/>
              <w:bottom w:w="72" w:type="dxa"/>
              <w:right w:w="144" w:type="dxa"/>
            </w:tcMar>
            <w:hideMark/>
          </w:tcPr>
          <w:p w14:paraId="53DD84C9" w14:textId="77777777" w:rsidR="00EE721C" w:rsidRPr="00EE721C" w:rsidRDefault="00EE721C" w:rsidP="00EE721C">
            <w:pPr>
              <w:rPr>
                <w:rFonts w:eastAsiaTheme="minorEastAsia"/>
              </w:rPr>
            </w:pPr>
            <w:r w:rsidRPr="00EE721C">
              <w:rPr>
                <w:rFonts w:eastAsiaTheme="minorEastAsia"/>
                <w:b/>
                <w:bCs/>
              </w:rPr>
              <w:t>Adjusted R</w:t>
            </w:r>
            <w:r w:rsidRPr="00EE721C">
              <w:rPr>
                <w:rFonts w:eastAsiaTheme="minorEastAsia"/>
                <w:b/>
                <w:bCs/>
                <w:vertAlign w:val="superscript"/>
              </w:rPr>
              <w:t>2</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743BEF8E" w14:textId="77777777" w:rsidR="00EE721C" w:rsidRPr="00EE721C" w:rsidRDefault="00EE721C" w:rsidP="00EE721C">
            <w:pPr>
              <w:rPr>
                <w:rFonts w:eastAsiaTheme="minorEastAsia"/>
              </w:rPr>
            </w:pPr>
            <w:r w:rsidRPr="00EE721C">
              <w:rPr>
                <w:rFonts w:eastAsiaTheme="minorEastAsia"/>
              </w:rPr>
              <w:t>0.4635</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3A6200F0" w14:textId="77777777" w:rsidR="00EE721C" w:rsidRPr="00EE721C" w:rsidRDefault="00EE721C" w:rsidP="00EE721C">
            <w:pPr>
              <w:rPr>
                <w:rFonts w:eastAsiaTheme="minorEastAsia"/>
              </w:rPr>
            </w:pPr>
            <w:r w:rsidRPr="00EE721C">
              <w:rPr>
                <w:rFonts w:eastAsiaTheme="minorEastAsia"/>
              </w:rPr>
              <w:t>0.3746</w:t>
            </w:r>
          </w:p>
        </w:tc>
      </w:tr>
      <w:tr w:rsidR="00EE721C" w:rsidRPr="00EE721C" w14:paraId="7A967C17" w14:textId="77777777" w:rsidTr="00EE721C">
        <w:trPr>
          <w:trHeight w:val="584"/>
          <w:jc w:val="center"/>
        </w:trPr>
        <w:tc>
          <w:tcPr>
            <w:tcW w:w="1260"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6C79C2F0" w14:textId="77777777" w:rsidR="00EE721C" w:rsidRPr="00EE721C" w:rsidRDefault="00EE721C" w:rsidP="00EE721C">
            <w:pPr>
              <w:rPr>
                <w:rFonts w:eastAsiaTheme="minorEastAsia"/>
              </w:rPr>
            </w:pPr>
            <w:r w:rsidRPr="00EE721C">
              <w:rPr>
                <w:rFonts w:eastAsiaTheme="minorEastAsia"/>
                <w:b/>
                <w:bCs/>
              </w:rPr>
              <w:t>Top</w:t>
            </w:r>
          </w:p>
          <w:p w14:paraId="16384F60" w14:textId="77777777" w:rsidR="00EE721C" w:rsidRPr="00EE721C" w:rsidRDefault="00EE721C" w:rsidP="00EE721C">
            <w:pPr>
              <w:rPr>
                <w:rFonts w:eastAsiaTheme="minorEastAsia"/>
              </w:rPr>
            </w:pPr>
            <w:r w:rsidRPr="00EE721C">
              <w:rPr>
                <w:rFonts w:eastAsiaTheme="minorEastAsia"/>
                <w:b/>
                <w:bCs/>
              </w:rPr>
              <w:t>Variables</w:t>
            </w:r>
          </w:p>
        </w:tc>
        <w:tc>
          <w:tcPr>
            <w:tcW w:w="46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0949D5CB" w14:textId="77777777" w:rsidR="00EE721C" w:rsidRPr="00EE721C" w:rsidRDefault="00EE721C" w:rsidP="00EE721C">
            <w:pPr>
              <w:rPr>
                <w:rFonts w:eastAsiaTheme="minorEastAsia"/>
              </w:rPr>
            </w:pPr>
            <w:r w:rsidRPr="00EE721C">
              <w:rPr>
                <w:rFonts w:eastAsiaTheme="minorEastAsia"/>
                <w:b/>
                <w:bCs/>
              </w:rPr>
              <w:t>1</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709B7DE5" w14:textId="77777777" w:rsidR="00EE721C" w:rsidRPr="00EE721C" w:rsidRDefault="00EE721C" w:rsidP="00EE721C">
            <w:pPr>
              <w:rPr>
                <w:rFonts w:eastAsiaTheme="minorEastAsia"/>
              </w:rPr>
            </w:pPr>
            <w:r w:rsidRPr="00EE721C">
              <w:rPr>
                <w:rFonts w:eastAsiaTheme="minorEastAsia"/>
              </w:rPr>
              <w:t>MHI (-)</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1839C064" w14:textId="77777777" w:rsidR="00EE721C" w:rsidRPr="00EE721C" w:rsidRDefault="00EE721C" w:rsidP="00EE721C">
            <w:pPr>
              <w:rPr>
                <w:rFonts w:eastAsiaTheme="minorEastAsia"/>
              </w:rPr>
            </w:pPr>
            <w:r w:rsidRPr="00EE721C">
              <w:rPr>
                <w:rFonts w:eastAsiaTheme="minorEastAsia"/>
              </w:rPr>
              <w:t>MHI (-)</w:t>
            </w:r>
          </w:p>
        </w:tc>
      </w:tr>
      <w:tr w:rsidR="00EE721C" w:rsidRPr="00EE721C" w14:paraId="7722A5AA" w14:textId="77777777" w:rsidTr="00EE721C">
        <w:trPr>
          <w:trHeight w:val="584"/>
          <w:jc w:val="center"/>
        </w:trPr>
        <w:tc>
          <w:tcPr>
            <w:tcW w:w="0" w:type="auto"/>
            <w:vMerge/>
            <w:tcBorders>
              <w:top w:val="single" w:sz="8" w:space="0" w:color="000000"/>
              <w:left w:val="nil"/>
              <w:bottom w:val="single" w:sz="8" w:space="0" w:color="000000"/>
              <w:right w:val="nil"/>
            </w:tcBorders>
            <w:vAlign w:val="center"/>
            <w:hideMark/>
          </w:tcPr>
          <w:p w14:paraId="7A236E4C" w14:textId="77777777" w:rsidR="00EE721C" w:rsidRPr="00EE721C" w:rsidRDefault="00EE721C" w:rsidP="00EE721C">
            <w:pPr>
              <w:rPr>
                <w:rFonts w:eastAsiaTheme="minorEastAsia"/>
              </w:rPr>
            </w:pPr>
          </w:p>
        </w:tc>
        <w:tc>
          <w:tcPr>
            <w:tcW w:w="460" w:type="dxa"/>
            <w:tcBorders>
              <w:top w:val="nil"/>
              <w:left w:val="nil"/>
              <w:bottom w:val="nil"/>
              <w:right w:val="nil"/>
            </w:tcBorders>
            <w:shd w:val="clear" w:color="auto" w:fill="auto"/>
            <w:tcMar>
              <w:top w:w="72" w:type="dxa"/>
              <w:left w:w="144" w:type="dxa"/>
              <w:bottom w:w="72" w:type="dxa"/>
              <w:right w:w="144" w:type="dxa"/>
            </w:tcMar>
            <w:hideMark/>
          </w:tcPr>
          <w:p w14:paraId="3C4B41D6" w14:textId="77777777" w:rsidR="00EE721C" w:rsidRPr="00EE721C" w:rsidRDefault="00EE721C" w:rsidP="00EE721C">
            <w:pPr>
              <w:rPr>
                <w:rFonts w:eastAsiaTheme="minorEastAsia"/>
              </w:rPr>
            </w:pPr>
            <w:r w:rsidRPr="00EE721C">
              <w:rPr>
                <w:rFonts w:eastAsiaTheme="minorEastAsia"/>
                <w:b/>
                <w:bCs/>
              </w:rPr>
              <w:t>2</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2E297BB2" w14:textId="77777777" w:rsidR="00EE721C" w:rsidRPr="00EE721C" w:rsidRDefault="00EE721C" w:rsidP="00EE721C">
            <w:pPr>
              <w:rPr>
                <w:rFonts w:eastAsiaTheme="minorEastAsia"/>
              </w:rPr>
            </w:pPr>
            <w:r w:rsidRPr="00EE721C">
              <w:rPr>
                <w:rFonts w:eastAsiaTheme="minorEastAsia"/>
              </w:rPr>
              <w:t>Bachelor (+)</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087B240C" w14:textId="77777777" w:rsidR="00EE721C" w:rsidRPr="00EE721C" w:rsidRDefault="00EE721C" w:rsidP="00EE721C">
            <w:pPr>
              <w:rPr>
                <w:rFonts w:eastAsiaTheme="minorEastAsia"/>
              </w:rPr>
            </w:pPr>
            <w:r w:rsidRPr="00EE721C">
              <w:rPr>
                <w:rFonts w:eastAsiaTheme="minorEastAsia"/>
              </w:rPr>
              <w:t>Unemployment (-)</w:t>
            </w:r>
          </w:p>
        </w:tc>
      </w:tr>
      <w:tr w:rsidR="00EE721C" w:rsidRPr="00EE721C" w14:paraId="2D762DDB" w14:textId="77777777" w:rsidTr="00EE721C">
        <w:trPr>
          <w:trHeight w:val="584"/>
          <w:jc w:val="center"/>
        </w:trPr>
        <w:tc>
          <w:tcPr>
            <w:tcW w:w="0" w:type="auto"/>
            <w:vMerge/>
            <w:tcBorders>
              <w:top w:val="single" w:sz="8" w:space="0" w:color="000000"/>
              <w:left w:val="nil"/>
              <w:bottom w:val="single" w:sz="8" w:space="0" w:color="000000"/>
              <w:right w:val="nil"/>
            </w:tcBorders>
            <w:vAlign w:val="center"/>
            <w:hideMark/>
          </w:tcPr>
          <w:p w14:paraId="073A6BA3" w14:textId="77777777" w:rsidR="00EE721C" w:rsidRPr="00EE721C" w:rsidRDefault="00EE721C" w:rsidP="00EE721C">
            <w:pPr>
              <w:rPr>
                <w:rFonts w:eastAsiaTheme="minorEastAsia"/>
              </w:rPr>
            </w:pPr>
          </w:p>
        </w:tc>
        <w:tc>
          <w:tcPr>
            <w:tcW w:w="460" w:type="dxa"/>
            <w:tcBorders>
              <w:top w:val="nil"/>
              <w:left w:val="nil"/>
              <w:bottom w:val="nil"/>
              <w:right w:val="nil"/>
            </w:tcBorders>
            <w:shd w:val="clear" w:color="auto" w:fill="auto"/>
            <w:tcMar>
              <w:top w:w="72" w:type="dxa"/>
              <w:left w:w="144" w:type="dxa"/>
              <w:bottom w:w="72" w:type="dxa"/>
              <w:right w:w="144" w:type="dxa"/>
            </w:tcMar>
            <w:hideMark/>
          </w:tcPr>
          <w:p w14:paraId="67400FDF" w14:textId="77777777" w:rsidR="00EE721C" w:rsidRPr="00EE721C" w:rsidRDefault="00EE721C" w:rsidP="00EE721C">
            <w:pPr>
              <w:rPr>
                <w:rFonts w:eastAsiaTheme="minorEastAsia"/>
              </w:rPr>
            </w:pPr>
            <w:r w:rsidRPr="00EE721C">
              <w:rPr>
                <w:rFonts w:eastAsiaTheme="minorEastAsia"/>
                <w:b/>
                <w:bCs/>
              </w:rPr>
              <w:t>3</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1FADDF0A" w14:textId="77777777" w:rsidR="00EE721C" w:rsidRPr="00EE721C" w:rsidRDefault="00EE721C" w:rsidP="00EE721C">
            <w:pPr>
              <w:rPr>
                <w:rFonts w:eastAsiaTheme="minorEastAsia"/>
              </w:rPr>
            </w:pPr>
            <w:r w:rsidRPr="00EE721C">
              <w:rPr>
                <w:rFonts w:eastAsiaTheme="minorEastAsia"/>
              </w:rPr>
              <w:t>Other (+)</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6C52543A" w14:textId="77777777" w:rsidR="00EE721C" w:rsidRPr="00EE721C" w:rsidRDefault="00EE721C" w:rsidP="00EE721C">
            <w:pPr>
              <w:rPr>
                <w:rFonts w:eastAsiaTheme="minorEastAsia"/>
              </w:rPr>
            </w:pPr>
            <w:r w:rsidRPr="00EE721C">
              <w:rPr>
                <w:rFonts w:eastAsiaTheme="minorEastAsia"/>
              </w:rPr>
              <w:t>Age 20-39 (+)</w:t>
            </w:r>
          </w:p>
        </w:tc>
      </w:tr>
      <w:tr w:rsidR="00EE721C" w:rsidRPr="00EE721C" w14:paraId="3EF2CF12" w14:textId="77777777" w:rsidTr="00EE721C">
        <w:trPr>
          <w:trHeight w:val="584"/>
          <w:jc w:val="center"/>
        </w:trPr>
        <w:tc>
          <w:tcPr>
            <w:tcW w:w="0" w:type="auto"/>
            <w:vMerge/>
            <w:tcBorders>
              <w:top w:val="single" w:sz="8" w:space="0" w:color="000000"/>
              <w:left w:val="nil"/>
              <w:bottom w:val="single" w:sz="8" w:space="0" w:color="000000"/>
              <w:right w:val="nil"/>
            </w:tcBorders>
            <w:vAlign w:val="center"/>
            <w:hideMark/>
          </w:tcPr>
          <w:p w14:paraId="29C9FCE8" w14:textId="77777777" w:rsidR="00EE721C" w:rsidRPr="00EE721C" w:rsidRDefault="00EE721C" w:rsidP="00EE721C">
            <w:pPr>
              <w:rPr>
                <w:rFonts w:eastAsiaTheme="minorEastAsia"/>
              </w:rPr>
            </w:pPr>
          </w:p>
        </w:tc>
        <w:tc>
          <w:tcPr>
            <w:tcW w:w="460" w:type="dxa"/>
            <w:tcBorders>
              <w:top w:val="nil"/>
              <w:left w:val="nil"/>
              <w:bottom w:val="nil"/>
              <w:right w:val="nil"/>
            </w:tcBorders>
            <w:shd w:val="clear" w:color="auto" w:fill="auto"/>
            <w:tcMar>
              <w:top w:w="72" w:type="dxa"/>
              <w:left w:w="144" w:type="dxa"/>
              <w:bottom w:w="72" w:type="dxa"/>
              <w:right w:w="144" w:type="dxa"/>
            </w:tcMar>
            <w:hideMark/>
          </w:tcPr>
          <w:p w14:paraId="44F81BA9" w14:textId="77777777" w:rsidR="00EE721C" w:rsidRPr="00EE721C" w:rsidRDefault="00EE721C" w:rsidP="00EE721C">
            <w:pPr>
              <w:rPr>
                <w:rFonts w:eastAsiaTheme="minorEastAsia"/>
              </w:rPr>
            </w:pPr>
            <w:r w:rsidRPr="00EE721C">
              <w:rPr>
                <w:rFonts w:eastAsiaTheme="minorEastAsia"/>
                <w:b/>
                <w:bCs/>
              </w:rPr>
              <w:t>4</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7D49F1E4" w14:textId="77777777" w:rsidR="00EE721C" w:rsidRPr="00EE721C" w:rsidRDefault="00EE721C" w:rsidP="00EE721C">
            <w:pPr>
              <w:rPr>
                <w:rFonts w:eastAsiaTheme="minorEastAsia"/>
              </w:rPr>
            </w:pPr>
            <w:r w:rsidRPr="00EE721C">
              <w:rPr>
                <w:rFonts w:eastAsiaTheme="minorEastAsia"/>
              </w:rPr>
              <w:t>Unemployment (-)</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18D1AD52" w14:textId="77777777" w:rsidR="00EE721C" w:rsidRPr="00EE721C" w:rsidRDefault="00EE721C" w:rsidP="00EE721C">
            <w:pPr>
              <w:rPr>
                <w:rFonts w:eastAsiaTheme="minorEastAsia"/>
              </w:rPr>
            </w:pPr>
            <w:r w:rsidRPr="00EE721C">
              <w:rPr>
                <w:rFonts w:eastAsiaTheme="minorEastAsia"/>
              </w:rPr>
              <w:t>Age 60-79 (+)</w:t>
            </w:r>
          </w:p>
        </w:tc>
      </w:tr>
      <w:tr w:rsidR="00EE721C" w:rsidRPr="00EE721C" w14:paraId="39652AF1" w14:textId="77777777" w:rsidTr="00EE721C">
        <w:trPr>
          <w:trHeight w:val="584"/>
          <w:jc w:val="center"/>
        </w:trPr>
        <w:tc>
          <w:tcPr>
            <w:tcW w:w="0" w:type="auto"/>
            <w:vMerge/>
            <w:tcBorders>
              <w:top w:val="single" w:sz="8" w:space="0" w:color="000000"/>
              <w:left w:val="nil"/>
              <w:bottom w:val="single" w:sz="8" w:space="0" w:color="000000"/>
              <w:right w:val="nil"/>
            </w:tcBorders>
            <w:vAlign w:val="center"/>
            <w:hideMark/>
          </w:tcPr>
          <w:p w14:paraId="03FECCCB" w14:textId="77777777" w:rsidR="00EE721C" w:rsidRPr="00EE721C" w:rsidRDefault="00EE721C" w:rsidP="00EE721C">
            <w:pPr>
              <w:rPr>
                <w:rFonts w:eastAsiaTheme="minorEastAsia"/>
              </w:rPr>
            </w:pPr>
          </w:p>
        </w:tc>
        <w:tc>
          <w:tcPr>
            <w:tcW w:w="46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610346C2" w14:textId="77777777" w:rsidR="00EE721C" w:rsidRPr="00EE721C" w:rsidRDefault="00EE721C" w:rsidP="00EE721C">
            <w:pPr>
              <w:rPr>
                <w:rFonts w:eastAsiaTheme="minorEastAsia"/>
              </w:rPr>
            </w:pPr>
            <w:r w:rsidRPr="00EE721C">
              <w:rPr>
                <w:rFonts w:eastAsiaTheme="minorEastAsia"/>
                <w:b/>
                <w:bCs/>
              </w:rPr>
              <w:t>5</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55BE7776" w14:textId="77777777" w:rsidR="00EE721C" w:rsidRPr="00EE721C" w:rsidRDefault="00EE721C" w:rsidP="00EE721C">
            <w:pPr>
              <w:rPr>
                <w:rFonts w:eastAsiaTheme="minorEastAsia"/>
              </w:rPr>
            </w:pPr>
            <w:r w:rsidRPr="00EE721C">
              <w:rPr>
                <w:rFonts w:eastAsiaTheme="minorEastAsia"/>
              </w:rPr>
              <w:t>Uninsured (+)</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06F9D4CB" w14:textId="77777777" w:rsidR="00EE721C" w:rsidRPr="00EE721C" w:rsidRDefault="00EE721C" w:rsidP="00EE721C">
            <w:pPr>
              <w:rPr>
                <w:rFonts w:eastAsiaTheme="minorEastAsia"/>
              </w:rPr>
            </w:pPr>
            <w:r w:rsidRPr="00EE721C">
              <w:rPr>
                <w:rFonts w:eastAsiaTheme="minorEastAsia"/>
              </w:rPr>
              <w:t>Bachelor (+)</w:t>
            </w:r>
          </w:p>
        </w:tc>
      </w:tr>
    </w:tbl>
    <w:p w14:paraId="240DBFD4" w14:textId="77777777" w:rsidR="00EE721C" w:rsidRDefault="00EE721C" w:rsidP="00EE721C">
      <w:pPr>
        <w:rPr>
          <w:rFonts w:eastAsiaTheme="minorEastAsia"/>
        </w:rPr>
      </w:pPr>
    </w:p>
    <w:p w14:paraId="26411241" w14:textId="5E1C146B" w:rsidR="00BA6CFB" w:rsidRDefault="00980662" w:rsidP="00980662">
      <w:pPr>
        <w:ind w:firstLine="420"/>
        <w:rPr>
          <w:rFonts w:eastAsiaTheme="minorEastAsia"/>
        </w:rPr>
      </w:pPr>
      <w:proofErr w:type="gramStart"/>
      <w:r>
        <w:rPr>
          <w:rFonts w:eastAsiaTheme="minorEastAsia"/>
        </w:rPr>
        <w:t>Similar to</w:t>
      </w:r>
      <w:proofErr w:type="gramEnd"/>
      <w:r>
        <w:rPr>
          <w:rFonts w:eastAsiaTheme="minorEastAsia"/>
        </w:rPr>
        <w:t xml:space="preserve"> OLS, the RF model also uses R</w:t>
      </w:r>
      <w:r w:rsidRPr="00980662">
        <w:rPr>
          <w:rFonts w:eastAsiaTheme="minorEastAsia"/>
          <w:vertAlign w:val="superscript"/>
        </w:rPr>
        <w:t>2</w:t>
      </w:r>
      <w:r>
        <w:rPr>
          <w:rFonts w:eastAsiaTheme="minorEastAsia"/>
        </w:rPr>
        <w:t xml:space="preserve"> as the model performance evaluation metrics. In addition, Root Mean Square Error (RMSE) and MAE (Mean Absolute Error) are also applied to evaluate the errors. Details are in Table 3 below.</w:t>
      </w:r>
    </w:p>
    <w:p w14:paraId="7648414F" w14:textId="526C3361" w:rsidR="00980662" w:rsidRDefault="00980662" w:rsidP="00980662">
      <w:pPr>
        <w:rPr>
          <w:rFonts w:eastAsiaTheme="minorEastAsia"/>
        </w:rPr>
      </w:pPr>
    </w:p>
    <w:p w14:paraId="1BFBF312" w14:textId="2BA8C36C" w:rsidR="00947B7A" w:rsidRDefault="00947B7A" w:rsidP="00980662">
      <w:pPr>
        <w:rPr>
          <w:rFonts w:eastAsiaTheme="minorEastAsia"/>
        </w:rPr>
      </w:pPr>
    </w:p>
    <w:p w14:paraId="045DBD76" w14:textId="1B3A0653" w:rsidR="00947B7A" w:rsidRDefault="00947B7A" w:rsidP="00980662">
      <w:pPr>
        <w:rPr>
          <w:rFonts w:eastAsiaTheme="minorEastAsia"/>
        </w:rPr>
      </w:pPr>
    </w:p>
    <w:p w14:paraId="1C11694F" w14:textId="77777777" w:rsidR="00947B7A" w:rsidRDefault="00947B7A" w:rsidP="00980662">
      <w:pPr>
        <w:rPr>
          <w:rFonts w:eastAsiaTheme="minorEastAsia"/>
        </w:rPr>
      </w:pPr>
    </w:p>
    <w:p w14:paraId="376B46A5" w14:textId="65931EA2" w:rsidR="00980662" w:rsidRDefault="00980662" w:rsidP="00980662">
      <w:pPr>
        <w:jc w:val="center"/>
        <w:rPr>
          <w:rFonts w:eastAsiaTheme="minorEastAsia"/>
        </w:rPr>
      </w:pPr>
      <w:r>
        <w:rPr>
          <w:rFonts w:eastAsiaTheme="minorEastAsia"/>
        </w:rPr>
        <w:lastRenderedPageBreak/>
        <w:t>Table 3. RF model performance and the top impacting variables.</w:t>
      </w:r>
    </w:p>
    <w:tbl>
      <w:tblPr>
        <w:tblW w:w="6000" w:type="dxa"/>
        <w:jc w:val="center"/>
        <w:tblCellMar>
          <w:left w:w="0" w:type="dxa"/>
          <w:right w:w="0" w:type="dxa"/>
        </w:tblCellMar>
        <w:tblLook w:val="0420" w:firstRow="1" w:lastRow="0" w:firstColumn="0" w:lastColumn="0" w:noHBand="0" w:noVBand="1"/>
      </w:tblPr>
      <w:tblGrid>
        <w:gridCol w:w="1260"/>
        <w:gridCol w:w="460"/>
        <w:gridCol w:w="2140"/>
        <w:gridCol w:w="2140"/>
      </w:tblGrid>
      <w:tr w:rsidR="00980662" w:rsidRPr="00980662" w14:paraId="3B78F38E" w14:textId="77777777" w:rsidTr="00980662">
        <w:trPr>
          <w:trHeight w:val="584"/>
          <w:jc w:val="center"/>
        </w:trPr>
        <w:tc>
          <w:tcPr>
            <w:tcW w:w="1720" w:type="dxa"/>
            <w:gridSpan w:val="2"/>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4A81EE0E" w14:textId="77777777" w:rsidR="00980662" w:rsidRPr="00980662" w:rsidRDefault="00980662" w:rsidP="00980662">
            <w:pPr>
              <w:rPr>
                <w:rFonts w:eastAsiaTheme="minorEastAsia"/>
              </w:rPr>
            </w:pPr>
          </w:p>
        </w:tc>
        <w:tc>
          <w:tcPr>
            <w:tcW w:w="21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75967429" w14:textId="77777777" w:rsidR="00980662" w:rsidRPr="00980662" w:rsidRDefault="00980662" w:rsidP="00980662">
            <w:pPr>
              <w:rPr>
                <w:rFonts w:eastAsiaTheme="minorEastAsia"/>
              </w:rPr>
            </w:pPr>
            <w:r w:rsidRPr="00980662">
              <w:rPr>
                <w:rFonts w:eastAsiaTheme="minorEastAsia"/>
                <w:b/>
                <w:bCs/>
              </w:rPr>
              <w:t>03/15 – 06/30</w:t>
            </w:r>
          </w:p>
        </w:tc>
        <w:tc>
          <w:tcPr>
            <w:tcW w:w="21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27F34A5F" w14:textId="77777777" w:rsidR="00980662" w:rsidRPr="00980662" w:rsidRDefault="00980662" w:rsidP="00980662">
            <w:pPr>
              <w:rPr>
                <w:rFonts w:eastAsiaTheme="minorEastAsia"/>
              </w:rPr>
            </w:pPr>
            <w:r w:rsidRPr="00980662">
              <w:rPr>
                <w:rFonts w:eastAsiaTheme="minorEastAsia"/>
                <w:b/>
                <w:bCs/>
              </w:rPr>
              <w:t>07/01 – 08/31</w:t>
            </w:r>
          </w:p>
        </w:tc>
      </w:tr>
      <w:tr w:rsidR="00980662" w:rsidRPr="00980662" w14:paraId="5A0D6E8F" w14:textId="77777777" w:rsidTr="00980662">
        <w:trPr>
          <w:trHeight w:val="584"/>
          <w:jc w:val="center"/>
        </w:trPr>
        <w:tc>
          <w:tcPr>
            <w:tcW w:w="1720" w:type="dxa"/>
            <w:gridSpan w:val="2"/>
            <w:tcBorders>
              <w:top w:val="single" w:sz="8" w:space="0" w:color="000000"/>
              <w:left w:val="nil"/>
              <w:bottom w:val="nil"/>
              <w:right w:val="nil"/>
            </w:tcBorders>
            <w:shd w:val="clear" w:color="auto" w:fill="auto"/>
            <w:tcMar>
              <w:top w:w="72" w:type="dxa"/>
              <w:left w:w="144" w:type="dxa"/>
              <w:bottom w:w="72" w:type="dxa"/>
              <w:right w:w="144" w:type="dxa"/>
            </w:tcMar>
            <w:hideMark/>
          </w:tcPr>
          <w:p w14:paraId="2A246EA5" w14:textId="77777777" w:rsidR="00980662" w:rsidRPr="00980662" w:rsidRDefault="00980662" w:rsidP="00980662">
            <w:pPr>
              <w:rPr>
                <w:rFonts w:eastAsiaTheme="minorEastAsia"/>
              </w:rPr>
            </w:pPr>
            <w:r w:rsidRPr="00980662">
              <w:rPr>
                <w:rFonts w:eastAsiaTheme="minorEastAsia"/>
                <w:b/>
                <w:bCs/>
              </w:rPr>
              <w:t>R</w:t>
            </w:r>
            <w:r w:rsidRPr="00980662">
              <w:rPr>
                <w:rFonts w:eastAsiaTheme="minorEastAsia"/>
                <w:b/>
                <w:bCs/>
                <w:vertAlign w:val="superscript"/>
              </w:rPr>
              <w:t>2</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52B58489" w14:textId="77777777" w:rsidR="00980662" w:rsidRPr="00980662" w:rsidRDefault="00980662" w:rsidP="00980662">
            <w:pPr>
              <w:rPr>
                <w:rFonts w:eastAsiaTheme="minorEastAsia"/>
              </w:rPr>
            </w:pPr>
            <w:r w:rsidRPr="00980662">
              <w:rPr>
                <w:rFonts w:eastAsiaTheme="minorEastAsia"/>
              </w:rPr>
              <w:t>0.4586</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18AA5862" w14:textId="77777777" w:rsidR="00980662" w:rsidRPr="00980662" w:rsidRDefault="00980662" w:rsidP="00980662">
            <w:pPr>
              <w:rPr>
                <w:rFonts w:eastAsiaTheme="minorEastAsia"/>
              </w:rPr>
            </w:pPr>
            <w:r w:rsidRPr="00980662">
              <w:rPr>
                <w:rFonts w:eastAsiaTheme="minorEastAsia"/>
              </w:rPr>
              <w:t>0.3893</w:t>
            </w:r>
          </w:p>
        </w:tc>
      </w:tr>
      <w:tr w:rsidR="00980662" w:rsidRPr="00980662" w14:paraId="0CBB71F8" w14:textId="77777777" w:rsidTr="00980662">
        <w:trPr>
          <w:trHeight w:val="584"/>
          <w:jc w:val="center"/>
        </w:trPr>
        <w:tc>
          <w:tcPr>
            <w:tcW w:w="1720" w:type="dxa"/>
            <w:gridSpan w:val="2"/>
            <w:tcBorders>
              <w:top w:val="nil"/>
              <w:left w:val="nil"/>
              <w:bottom w:val="nil"/>
              <w:right w:val="nil"/>
            </w:tcBorders>
            <w:shd w:val="clear" w:color="auto" w:fill="auto"/>
            <w:tcMar>
              <w:top w:w="72" w:type="dxa"/>
              <w:left w:w="144" w:type="dxa"/>
              <w:bottom w:w="72" w:type="dxa"/>
              <w:right w:w="144" w:type="dxa"/>
            </w:tcMar>
            <w:hideMark/>
          </w:tcPr>
          <w:p w14:paraId="50573E50" w14:textId="77777777" w:rsidR="00980662" w:rsidRPr="00980662" w:rsidRDefault="00980662" w:rsidP="00980662">
            <w:pPr>
              <w:rPr>
                <w:rFonts w:eastAsiaTheme="minorEastAsia"/>
              </w:rPr>
            </w:pPr>
            <w:r w:rsidRPr="00980662">
              <w:rPr>
                <w:rFonts w:eastAsiaTheme="minorEastAsia"/>
                <w:b/>
                <w:bCs/>
              </w:rPr>
              <w:t>RMSE</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3DFE5F26" w14:textId="77777777" w:rsidR="00980662" w:rsidRPr="00980662" w:rsidRDefault="00980662" w:rsidP="00980662">
            <w:pPr>
              <w:rPr>
                <w:rFonts w:eastAsiaTheme="minorEastAsia"/>
              </w:rPr>
            </w:pPr>
            <w:r w:rsidRPr="00980662">
              <w:rPr>
                <w:rFonts w:eastAsiaTheme="minorEastAsia"/>
              </w:rPr>
              <w:t>21.71</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629517B5" w14:textId="77777777" w:rsidR="00980662" w:rsidRPr="00980662" w:rsidRDefault="00980662" w:rsidP="00980662">
            <w:pPr>
              <w:rPr>
                <w:rFonts w:eastAsiaTheme="minorEastAsia"/>
              </w:rPr>
            </w:pPr>
            <w:r w:rsidRPr="00980662">
              <w:rPr>
                <w:rFonts w:eastAsiaTheme="minorEastAsia"/>
              </w:rPr>
              <w:t>10.17</w:t>
            </w:r>
          </w:p>
        </w:tc>
      </w:tr>
      <w:tr w:rsidR="00980662" w:rsidRPr="00980662" w14:paraId="29974F71" w14:textId="77777777" w:rsidTr="00980662">
        <w:trPr>
          <w:trHeight w:val="584"/>
          <w:jc w:val="center"/>
        </w:trPr>
        <w:tc>
          <w:tcPr>
            <w:tcW w:w="1720" w:type="dxa"/>
            <w:gridSpan w:val="2"/>
            <w:tcBorders>
              <w:top w:val="nil"/>
              <w:left w:val="nil"/>
              <w:bottom w:val="single" w:sz="8" w:space="0" w:color="000000"/>
              <w:right w:val="nil"/>
            </w:tcBorders>
            <w:shd w:val="clear" w:color="auto" w:fill="auto"/>
            <w:tcMar>
              <w:top w:w="72" w:type="dxa"/>
              <w:left w:w="144" w:type="dxa"/>
              <w:bottom w:w="72" w:type="dxa"/>
              <w:right w:w="144" w:type="dxa"/>
            </w:tcMar>
            <w:hideMark/>
          </w:tcPr>
          <w:p w14:paraId="0E0FEA33" w14:textId="77777777" w:rsidR="00980662" w:rsidRPr="00980662" w:rsidRDefault="00980662" w:rsidP="00980662">
            <w:pPr>
              <w:rPr>
                <w:rFonts w:eastAsiaTheme="minorEastAsia"/>
              </w:rPr>
            </w:pPr>
            <w:r w:rsidRPr="00980662">
              <w:rPr>
                <w:rFonts w:eastAsiaTheme="minorEastAsia"/>
                <w:b/>
                <w:bCs/>
              </w:rPr>
              <w:t>MAE</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1398555C" w14:textId="77777777" w:rsidR="00980662" w:rsidRPr="00980662" w:rsidRDefault="00980662" w:rsidP="00980662">
            <w:pPr>
              <w:rPr>
                <w:rFonts w:eastAsiaTheme="minorEastAsia"/>
              </w:rPr>
            </w:pPr>
            <w:r w:rsidRPr="00980662">
              <w:rPr>
                <w:rFonts w:eastAsiaTheme="minorEastAsia"/>
              </w:rPr>
              <w:t>15.81</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560F720D" w14:textId="77777777" w:rsidR="00980662" w:rsidRPr="00980662" w:rsidRDefault="00980662" w:rsidP="00980662">
            <w:pPr>
              <w:rPr>
                <w:rFonts w:eastAsiaTheme="minorEastAsia"/>
              </w:rPr>
            </w:pPr>
            <w:r w:rsidRPr="00980662">
              <w:rPr>
                <w:rFonts w:eastAsiaTheme="minorEastAsia"/>
              </w:rPr>
              <w:t>8.01</w:t>
            </w:r>
          </w:p>
        </w:tc>
      </w:tr>
      <w:tr w:rsidR="00980662" w:rsidRPr="00980662" w14:paraId="4FA58F96" w14:textId="77777777" w:rsidTr="00980662">
        <w:trPr>
          <w:trHeight w:val="584"/>
          <w:jc w:val="center"/>
        </w:trPr>
        <w:tc>
          <w:tcPr>
            <w:tcW w:w="1260" w:type="dxa"/>
            <w:vMerge w:val="restart"/>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2CCF590D" w14:textId="77777777" w:rsidR="00980662" w:rsidRPr="00980662" w:rsidRDefault="00980662" w:rsidP="00980662">
            <w:pPr>
              <w:rPr>
                <w:rFonts w:eastAsiaTheme="minorEastAsia"/>
              </w:rPr>
            </w:pPr>
            <w:r w:rsidRPr="00980662">
              <w:rPr>
                <w:rFonts w:eastAsiaTheme="minorEastAsia"/>
                <w:b/>
                <w:bCs/>
              </w:rPr>
              <w:t>Top</w:t>
            </w:r>
          </w:p>
          <w:p w14:paraId="299807A3" w14:textId="77777777" w:rsidR="00980662" w:rsidRPr="00980662" w:rsidRDefault="00980662" w:rsidP="00980662">
            <w:pPr>
              <w:rPr>
                <w:rFonts w:eastAsiaTheme="minorEastAsia"/>
              </w:rPr>
            </w:pPr>
            <w:r w:rsidRPr="00980662">
              <w:rPr>
                <w:rFonts w:eastAsiaTheme="minorEastAsia"/>
                <w:b/>
                <w:bCs/>
              </w:rPr>
              <w:t>Variables</w:t>
            </w:r>
          </w:p>
        </w:tc>
        <w:tc>
          <w:tcPr>
            <w:tcW w:w="46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4869CFBB" w14:textId="77777777" w:rsidR="00980662" w:rsidRPr="00980662" w:rsidRDefault="00980662" w:rsidP="00980662">
            <w:pPr>
              <w:rPr>
                <w:rFonts w:eastAsiaTheme="minorEastAsia"/>
              </w:rPr>
            </w:pPr>
            <w:r w:rsidRPr="00980662">
              <w:rPr>
                <w:rFonts w:eastAsiaTheme="minorEastAsia"/>
                <w:b/>
                <w:bCs/>
              </w:rPr>
              <w:t>1</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1E5318C5" w14:textId="77777777" w:rsidR="00980662" w:rsidRPr="00980662" w:rsidRDefault="00980662" w:rsidP="00980662">
            <w:pPr>
              <w:rPr>
                <w:rFonts w:eastAsiaTheme="minorEastAsia"/>
              </w:rPr>
            </w:pPr>
            <w:r w:rsidRPr="00980662">
              <w:rPr>
                <w:rFonts w:eastAsiaTheme="minorEastAsia"/>
              </w:rPr>
              <w:t>White</w:t>
            </w:r>
          </w:p>
        </w:tc>
        <w:tc>
          <w:tcPr>
            <w:tcW w:w="21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74E9FD41" w14:textId="77777777" w:rsidR="00980662" w:rsidRPr="00980662" w:rsidRDefault="00980662" w:rsidP="00980662">
            <w:pPr>
              <w:rPr>
                <w:rFonts w:eastAsiaTheme="minorEastAsia"/>
              </w:rPr>
            </w:pPr>
            <w:r w:rsidRPr="00980662">
              <w:rPr>
                <w:rFonts w:eastAsiaTheme="minorEastAsia"/>
              </w:rPr>
              <w:t>MHI</w:t>
            </w:r>
          </w:p>
        </w:tc>
      </w:tr>
      <w:tr w:rsidR="00980662" w:rsidRPr="00980662" w14:paraId="0E12B2DE" w14:textId="77777777" w:rsidTr="00980662">
        <w:trPr>
          <w:trHeight w:val="584"/>
          <w:jc w:val="center"/>
        </w:trPr>
        <w:tc>
          <w:tcPr>
            <w:tcW w:w="0" w:type="auto"/>
            <w:vMerge/>
            <w:tcBorders>
              <w:top w:val="single" w:sz="8" w:space="0" w:color="000000"/>
              <w:left w:val="nil"/>
              <w:bottom w:val="single" w:sz="8" w:space="0" w:color="000000"/>
              <w:right w:val="nil"/>
            </w:tcBorders>
            <w:vAlign w:val="center"/>
            <w:hideMark/>
          </w:tcPr>
          <w:p w14:paraId="1D8259C4" w14:textId="77777777" w:rsidR="00980662" w:rsidRPr="00980662" w:rsidRDefault="00980662" w:rsidP="00980662">
            <w:pPr>
              <w:rPr>
                <w:rFonts w:eastAsiaTheme="minorEastAsia"/>
              </w:rPr>
            </w:pPr>
          </w:p>
        </w:tc>
        <w:tc>
          <w:tcPr>
            <w:tcW w:w="460" w:type="dxa"/>
            <w:tcBorders>
              <w:top w:val="nil"/>
              <w:left w:val="nil"/>
              <w:bottom w:val="nil"/>
              <w:right w:val="nil"/>
            </w:tcBorders>
            <w:shd w:val="clear" w:color="auto" w:fill="auto"/>
            <w:tcMar>
              <w:top w:w="72" w:type="dxa"/>
              <w:left w:w="144" w:type="dxa"/>
              <w:bottom w:w="72" w:type="dxa"/>
              <w:right w:w="144" w:type="dxa"/>
            </w:tcMar>
            <w:hideMark/>
          </w:tcPr>
          <w:p w14:paraId="2CBA79BD" w14:textId="77777777" w:rsidR="00980662" w:rsidRPr="00980662" w:rsidRDefault="00980662" w:rsidP="00980662">
            <w:pPr>
              <w:rPr>
                <w:rFonts w:eastAsiaTheme="minorEastAsia"/>
              </w:rPr>
            </w:pPr>
            <w:r w:rsidRPr="00980662">
              <w:rPr>
                <w:rFonts w:eastAsiaTheme="minorEastAsia"/>
                <w:b/>
                <w:bCs/>
              </w:rPr>
              <w:t>2</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08DD10B8" w14:textId="77777777" w:rsidR="00980662" w:rsidRPr="00980662" w:rsidRDefault="00980662" w:rsidP="00980662">
            <w:pPr>
              <w:rPr>
                <w:rFonts w:eastAsiaTheme="minorEastAsia"/>
              </w:rPr>
            </w:pPr>
            <w:r w:rsidRPr="00980662">
              <w:rPr>
                <w:rFonts w:eastAsiaTheme="minorEastAsia"/>
              </w:rPr>
              <w:t>Unemployment</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23D71A25" w14:textId="77777777" w:rsidR="00980662" w:rsidRPr="00980662" w:rsidRDefault="00980662" w:rsidP="00980662">
            <w:pPr>
              <w:rPr>
                <w:rFonts w:eastAsiaTheme="minorEastAsia"/>
              </w:rPr>
            </w:pPr>
            <w:r w:rsidRPr="00980662">
              <w:rPr>
                <w:rFonts w:eastAsiaTheme="minorEastAsia"/>
              </w:rPr>
              <w:t>Unemployment</w:t>
            </w:r>
          </w:p>
        </w:tc>
      </w:tr>
      <w:tr w:rsidR="00980662" w:rsidRPr="00980662" w14:paraId="51FC67E4" w14:textId="77777777" w:rsidTr="00980662">
        <w:trPr>
          <w:trHeight w:val="584"/>
          <w:jc w:val="center"/>
        </w:trPr>
        <w:tc>
          <w:tcPr>
            <w:tcW w:w="0" w:type="auto"/>
            <w:vMerge/>
            <w:tcBorders>
              <w:top w:val="single" w:sz="8" w:space="0" w:color="000000"/>
              <w:left w:val="nil"/>
              <w:bottom w:val="single" w:sz="8" w:space="0" w:color="000000"/>
              <w:right w:val="nil"/>
            </w:tcBorders>
            <w:vAlign w:val="center"/>
            <w:hideMark/>
          </w:tcPr>
          <w:p w14:paraId="7E64B5AD" w14:textId="77777777" w:rsidR="00980662" w:rsidRPr="00980662" w:rsidRDefault="00980662" w:rsidP="00980662">
            <w:pPr>
              <w:rPr>
                <w:rFonts w:eastAsiaTheme="minorEastAsia"/>
              </w:rPr>
            </w:pPr>
          </w:p>
        </w:tc>
        <w:tc>
          <w:tcPr>
            <w:tcW w:w="460" w:type="dxa"/>
            <w:tcBorders>
              <w:top w:val="nil"/>
              <w:left w:val="nil"/>
              <w:bottom w:val="nil"/>
              <w:right w:val="nil"/>
            </w:tcBorders>
            <w:shd w:val="clear" w:color="auto" w:fill="auto"/>
            <w:tcMar>
              <w:top w:w="72" w:type="dxa"/>
              <w:left w:w="144" w:type="dxa"/>
              <w:bottom w:w="72" w:type="dxa"/>
              <w:right w:w="144" w:type="dxa"/>
            </w:tcMar>
            <w:hideMark/>
          </w:tcPr>
          <w:p w14:paraId="789AB58A" w14:textId="77777777" w:rsidR="00980662" w:rsidRPr="00980662" w:rsidRDefault="00980662" w:rsidP="00980662">
            <w:pPr>
              <w:rPr>
                <w:rFonts w:eastAsiaTheme="minorEastAsia"/>
              </w:rPr>
            </w:pPr>
            <w:r w:rsidRPr="00980662">
              <w:rPr>
                <w:rFonts w:eastAsiaTheme="minorEastAsia"/>
                <w:b/>
                <w:bCs/>
              </w:rPr>
              <w:t>3</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62336D89" w14:textId="77777777" w:rsidR="00980662" w:rsidRPr="00980662" w:rsidRDefault="00980662" w:rsidP="00980662">
            <w:pPr>
              <w:rPr>
                <w:rFonts w:eastAsiaTheme="minorEastAsia"/>
              </w:rPr>
            </w:pPr>
            <w:r w:rsidRPr="00980662">
              <w:rPr>
                <w:rFonts w:eastAsiaTheme="minorEastAsia"/>
              </w:rPr>
              <w:t>Other</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69FE0B17" w14:textId="77777777" w:rsidR="00980662" w:rsidRPr="00980662" w:rsidRDefault="00980662" w:rsidP="00980662">
            <w:pPr>
              <w:rPr>
                <w:rFonts w:eastAsiaTheme="minorEastAsia"/>
              </w:rPr>
            </w:pPr>
            <w:r w:rsidRPr="00980662">
              <w:rPr>
                <w:rFonts w:eastAsiaTheme="minorEastAsia"/>
              </w:rPr>
              <w:t>Black</w:t>
            </w:r>
          </w:p>
        </w:tc>
      </w:tr>
      <w:tr w:rsidR="00980662" w:rsidRPr="00980662" w14:paraId="2A206376" w14:textId="77777777" w:rsidTr="00980662">
        <w:trPr>
          <w:trHeight w:val="584"/>
          <w:jc w:val="center"/>
        </w:trPr>
        <w:tc>
          <w:tcPr>
            <w:tcW w:w="0" w:type="auto"/>
            <w:vMerge/>
            <w:tcBorders>
              <w:top w:val="single" w:sz="8" w:space="0" w:color="000000"/>
              <w:left w:val="nil"/>
              <w:bottom w:val="single" w:sz="8" w:space="0" w:color="000000"/>
              <w:right w:val="nil"/>
            </w:tcBorders>
            <w:vAlign w:val="center"/>
            <w:hideMark/>
          </w:tcPr>
          <w:p w14:paraId="5B2A7D4E" w14:textId="77777777" w:rsidR="00980662" w:rsidRPr="00980662" w:rsidRDefault="00980662" w:rsidP="00980662">
            <w:pPr>
              <w:rPr>
                <w:rFonts w:eastAsiaTheme="minorEastAsia"/>
              </w:rPr>
            </w:pPr>
          </w:p>
        </w:tc>
        <w:tc>
          <w:tcPr>
            <w:tcW w:w="460" w:type="dxa"/>
            <w:tcBorders>
              <w:top w:val="nil"/>
              <w:left w:val="nil"/>
              <w:bottom w:val="nil"/>
              <w:right w:val="nil"/>
            </w:tcBorders>
            <w:shd w:val="clear" w:color="auto" w:fill="auto"/>
            <w:tcMar>
              <w:top w:w="72" w:type="dxa"/>
              <w:left w:w="144" w:type="dxa"/>
              <w:bottom w:w="72" w:type="dxa"/>
              <w:right w:w="144" w:type="dxa"/>
            </w:tcMar>
            <w:hideMark/>
          </w:tcPr>
          <w:p w14:paraId="0815ED42" w14:textId="77777777" w:rsidR="00980662" w:rsidRPr="00980662" w:rsidRDefault="00980662" w:rsidP="00980662">
            <w:pPr>
              <w:rPr>
                <w:rFonts w:eastAsiaTheme="minorEastAsia"/>
              </w:rPr>
            </w:pPr>
            <w:r w:rsidRPr="00980662">
              <w:rPr>
                <w:rFonts w:eastAsiaTheme="minorEastAsia"/>
                <w:b/>
                <w:bCs/>
              </w:rPr>
              <w:t>4</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4C3BC13C" w14:textId="77777777" w:rsidR="00980662" w:rsidRPr="00980662" w:rsidRDefault="00980662" w:rsidP="00980662">
            <w:pPr>
              <w:rPr>
                <w:rFonts w:eastAsiaTheme="minorEastAsia"/>
              </w:rPr>
            </w:pPr>
            <w:r w:rsidRPr="00980662">
              <w:rPr>
                <w:rFonts w:eastAsiaTheme="minorEastAsia"/>
              </w:rPr>
              <w:t>MHI</w:t>
            </w:r>
          </w:p>
        </w:tc>
        <w:tc>
          <w:tcPr>
            <w:tcW w:w="2140" w:type="dxa"/>
            <w:tcBorders>
              <w:top w:val="nil"/>
              <w:left w:val="nil"/>
              <w:bottom w:val="nil"/>
              <w:right w:val="nil"/>
            </w:tcBorders>
            <w:shd w:val="clear" w:color="auto" w:fill="auto"/>
            <w:tcMar>
              <w:top w:w="72" w:type="dxa"/>
              <w:left w:w="144" w:type="dxa"/>
              <w:bottom w:w="72" w:type="dxa"/>
              <w:right w:w="144" w:type="dxa"/>
            </w:tcMar>
            <w:hideMark/>
          </w:tcPr>
          <w:p w14:paraId="2B7106D8" w14:textId="77777777" w:rsidR="00980662" w:rsidRPr="00980662" w:rsidRDefault="00980662" w:rsidP="00980662">
            <w:pPr>
              <w:rPr>
                <w:rFonts w:eastAsiaTheme="minorEastAsia"/>
              </w:rPr>
            </w:pPr>
            <w:r w:rsidRPr="00980662">
              <w:rPr>
                <w:rFonts w:eastAsiaTheme="minorEastAsia"/>
              </w:rPr>
              <w:t>White</w:t>
            </w:r>
          </w:p>
        </w:tc>
      </w:tr>
      <w:tr w:rsidR="00980662" w:rsidRPr="00980662" w14:paraId="0200C1B4" w14:textId="77777777" w:rsidTr="00980662">
        <w:trPr>
          <w:trHeight w:val="584"/>
          <w:jc w:val="center"/>
        </w:trPr>
        <w:tc>
          <w:tcPr>
            <w:tcW w:w="0" w:type="auto"/>
            <w:vMerge/>
            <w:tcBorders>
              <w:top w:val="single" w:sz="8" w:space="0" w:color="000000"/>
              <w:left w:val="nil"/>
              <w:bottom w:val="single" w:sz="8" w:space="0" w:color="000000"/>
              <w:right w:val="nil"/>
            </w:tcBorders>
            <w:vAlign w:val="center"/>
            <w:hideMark/>
          </w:tcPr>
          <w:p w14:paraId="37947B49" w14:textId="77777777" w:rsidR="00980662" w:rsidRPr="00980662" w:rsidRDefault="00980662" w:rsidP="00980662">
            <w:pPr>
              <w:rPr>
                <w:rFonts w:eastAsiaTheme="minorEastAsia"/>
              </w:rPr>
            </w:pPr>
          </w:p>
        </w:tc>
        <w:tc>
          <w:tcPr>
            <w:tcW w:w="46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564A7C0E" w14:textId="77777777" w:rsidR="00980662" w:rsidRPr="00980662" w:rsidRDefault="00980662" w:rsidP="00980662">
            <w:pPr>
              <w:rPr>
                <w:rFonts w:eastAsiaTheme="minorEastAsia"/>
              </w:rPr>
            </w:pPr>
            <w:r w:rsidRPr="00980662">
              <w:rPr>
                <w:rFonts w:eastAsiaTheme="minorEastAsia"/>
                <w:b/>
                <w:bCs/>
              </w:rPr>
              <w:t>5</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02860B71" w14:textId="77777777" w:rsidR="00980662" w:rsidRPr="00980662" w:rsidRDefault="00980662" w:rsidP="00980662">
            <w:pPr>
              <w:rPr>
                <w:rFonts w:eastAsiaTheme="minorEastAsia"/>
              </w:rPr>
            </w:pPr>
            <w:r w:rsidRPr="00980662">
              <w:rPr>
                <w:rFonts w:eastAsiaTheme="minorEastAsia"/>
              </w:rPr>
              <w:t>Black</w:t>
            </w:r>
          </w:p>
        </w:tc>
        <w:tc>
          <w:tcPr>
            <w:tcW w:w="21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6B71A62B" w14:textId="77777777" w:rsidR="00980662" w:rsidRPr="00980662" w:rsidRDefault="00980662" w:rsidP="00980662">
            <w:pPr>
              <w:rPr>
                <w:rFonts w:eastAsiaTheme="minorEastAsia"/>
              </w:rPr>
            </w:pPr>
            <w:r w:rsidRPr="00980662">
              <w:rPr>
                <w:rFonts w:eastAsiaTheme="minorEastAsia"/>
              </w:rPr>
              <w:t>Age 0-19</w:t>
            </w:r>
          </w:p>
        </w:tc>
      </w:tr>
    </w:tbl>
    <w:p w14:paraId="547E2708" w14:textId="77777777" w:rsidR="00980662" w:rsidRDefault="00980662" w:rsidP="00980662">
      <w:pPr>
        <w:rPr>
          <w:rFonts w:eastAsiaTheme="minorEastAsia"/>
        </w:rPr>
      </w:pPr>
    </w:p>
    <w:p w14:paraId="4BF089E7" w14:textId="4116D2F5" w:rsidR="00BA6CFB" w:rsidRDefault="000909F3" w:rsidP="00FB1C9A">
      <w:pPr>
        <w:pStyle w:val="Heading2"/>
        <w:rPr>
          <w:rFonts w:eastAsiaTheme="minorEastAsia"/>
        </w:rPr>
      </w:pPr>
      <w:r>
        <w:rPr>
          <w:rFonts w:eastAsiaTheme="minorEastAsia"/>
        </w:rPr>
        <w:t>4.4. GWR Results</w:t>
      </w:r>
    </w:p>
    <w:p w14:paraId="23A7C617" w14:textId="4C658656" w:rsidR="000909F3" w:rsidRDefault="000909F3" w:rsidP="000909F3">
      <w:pPr>
        <w:ind w:firstLine="420"/>
        <w:rPr>
          <w:rFonts w:eastAsiaTheme="minorEastAsia"/>
        </w:rPr>
      </w:pPr>
      <w:r>
        <w:rPr>
          <w:rFonts w:eastAsiaTheme="minorEastAsia"/>
        </w:rPr>
        <w:t xml:space="preserve">I select the top 6 variables that appear in both time periods as the features to fit the GWR model, which are (1) white population, (2) unemployment rate, (3) other population, (4) median household income, (5) black population, and (6) age group of 0 to 19. Using the python package, </w:t>
      </w:r>
      <w:proofErr w:type="spellStart"/>
      <w:r>
        <w:rPr>
          <w:rFonts w:eastAsiaTheme="minorEastAsia"/>
        </w:rPr>
        <w:t>PySAL</w:t>
      </w:r>
      <w:proofErr w:type="spellEnd"/>
      <w:r>
        <w:rPr>
          <w:rFonts w:eastAsiaTheme="minorEastAsia"/>
        </w:rPr>
        <w:t>, the optimal search bandwidth for GWR is 114.0 and 104.0, respectively. The GWR model results are shown below in Table 4.</w:t>
      </w:r>
    </w:p>
    <w:p w14:paraId="41D066ED" w14:textId="43BC59B5" w:rsidR="000909F3" w:rsidRDefault="000909F3" w:rsidP="000909F3">
      <w:pPr>
        <w:rPr>
          <w:rFonts w:eastAsiaTheme="minorEastAsia"/>
        </w:rPr>
      </w:pPr>
    </w:p>
    <w:p w14:paraId="2BCA400F" w14:textId="6A8C4F9D" w:rsidR="000909F3" w:rsidRDefault="000909F3" w:rsidP="000909F3">
      <w:pPr>
        <w:jc w:val="center"/>
        <w:rPr>
          <w:rFonts w:eastAsiaTheme="minorEastAsia"/>
        </w:rPr>
      </w:pPr>
      <w:r>
        <w:rPr>
          <w:rFonts w:eastAsiaTheme="minorEastAsia"/>
        </w:rPr>
        <w:lastRenderedPageBreak/>
        <w:t>Table 4. GWR model performance.</w:t>
      </w:r>
    </w:p>
    <w:tbl>
      <w:tblPr>
        <w:tblW w:w="4720" w:type="dxa"/>
        <w:jc w:val="center"/>
        <w:tblCellMar>
          <w:left w:w="0" w:type="dxa"/>
          <w:right w:w="0" w:type="dxa"/>
        </w:tblCellMar>
        <w:tblLook w:val="0420" w:firstRow="1" w:lastRow="0" w:firstColumn="0" w:lastColumn="0" w:noHBand="0" w:noVBand="1"/>
      </w:tblPr>
      <w:tblGrid>
        <w:gridCol w:w="920"/>
        <w:gridCol w:w="1760"/>
        <w:gridCol w:w="2040"/>
      </w:tblGrid>
      <w:tr w:rsidR="000909F3" w:rsidRPr="000909F3" w14:paraId="075C6074" w14:textId="77777777" w:rsidTr="000909F3">
        <w:trPr>
          <w:trHeight w:val="468"/>
          <w:jc w:val="center"/>
        </w:trPr>
        <w:tc>
          <w:tcPr>
            <w:tcW w:w="9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41464BC7" w14:textId="77777777" w:rsidR="000909F3" w:rsidRPr="000909F3" w:rsidRDefault="000909F3" w:rsidP="000909F3">
            <w:pPr>
              <w:rPr>
                <w:rFonts w:eastAsiaTheme="minorEastAsia"/>
              </w:rPr>
            </w:pPr>
          </w:p>
        </w:tc>
        <w:tc>
          <w:tcPr>
            <w:tcW w:w="176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40D5F8EB" w14:textId="77777777" w:rsidR="000909F3" w:rsidRPr="000909F3" w:rsidRDefault="000909F3" w:rsidP="000909F3">
            <w:pPr>
              <w:rPr>
                <w:rFonts w:eastAsiaTheme="minorEastAsia"/>
              </w:rPr>
            </w:pPr>
            <w:r w:rsidRPr="000909F3">
              <w:rPr>
                <w:rFonts w:eastAsiaTheme="minorEastAsia"/>
                <w:b/>
                <w:bCs/>
              </w:rPr>
              <w:t>03/15 – 06/30</w:t>
            </w:r>
          </w:p>
        </w:tc>
        <w:tc>
          <w:tcPr>
            <w:tcW w:w="20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14:paraId="6BBB313A" w14:textId="77777777" w:rsidR="000909F3" w:rsidRPr="000909F3" w:rsidRDefault="000909F3" w:rsidP="000909F3">
            <w:pPr>
              <w:rPr>
                <w:rFonts w:eastAsiaTheme="minorEastAsia"/>
              </w:rPr>
            </w:pPr>
            <w:r w:rsidRPr="000909F3">
              <w:rPr>
                <w:rFonts w:eastAsiaTheme="minorEastAsia"/>
                <w:b/>
                <w:bCs/>
              </w:rPr>
              <w:t>07/01 – 08/31</w:t>
            </w:r>
          </w:p>
        </w:tc>
      </w:tr>
      <w:tr w:rsidR="000909F3" w:rsidRPr="000909F3" w14:paraId="0AA30B31" w14:textId="77777777" w:rsidTr="000909F3">
        <w:trPr>
          <w:trHeight w:val="468"/>
          <w:jc w:val="center"/>
        </w:trPr>
        <w:tc>
          <w:tcPr>
            <w:tcW w:w="92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7DED08A5" w14:textId="77777777" w:rsidR="000909F3" w:rsidRPr="000909F3" w:rsidRDefault="000909F3" w:rsidP="000909F3">
            <w:pPr>
              <w:rPr>
                <w:rFonts w:eastAsiaTheme="minorEastAsia"/>
              </w:rPr>
            </w:pPr>
            <w:r w:rsidRPr="000909F3">
              <w:rPr>
                <w:rFonts w:eastAsiaTheme="minorEastAsia"/>
                <w:b/>
                <w:bCs/>
              </w:rPr>
              <w:t>R</w:t>
            </w:r>
            <w:r w:rsidRPr="000909F3">
              <w:rPr>
                <w:rFonts w:eastAsiaTheme="minorEastAsia"/>
                <w:b/>
                <w:bCs/>
                <w:vertAlign w:val="superscript"/>
              </w:rPr>
              <w:t>2</w:t>
            </w:r>
          </w:p>
        </w:tc>
        <w:tc>
          <w:tcPr>
            <w:tcW w:w="176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09719F3A" w14:textId="77777777" w:rsidR="000909F3" w:rsidRPr="000909F3" w:rsidRDefault="000909F3" w:rsidP="000909F3">
            <w:pPr>
              <w:rPr>
                <w:rFonts w:eastAsiaTheme="minorEastAsia"/>
              </w:rPr>
            </w:pPr>
            <w:r w:rsidRPr="000909F3">
              <w:rPr>
                <w:rFonts w:eastAsiaTheme="minorEastAsia"/>
              </w:rPr>
              <w:t>0.7323</w:t>
            </w:r>
          </w:p>
        </w:tc>
        <w:tc>
          <w:tcPr>
            <w:tcW w:w="2040" w:type="dxa"/>
            <w:tcBorders>
              <w:top w:val="single" w:sz="8" w:space="0" w:color="000000"/>
              <w:left w:val="nil"/>
              <w:bottom w:val="nil"/>
              <w:right w:val="nil"/>
            </w:tcBorders>
            <w:shd w:val="clear" w:color="auto" w:fill="auto"/>
            <w:tcMar>
              <w:top w:w="72" w:type="dxa"/>
              <w:left w:w="144" w:type="dxa"/>
              <w:bottom w:w="72" w:type="dxa"/>
              <w:right w:w="144" w:type="dxa"/>
            </w:tcMar>
            <w:hideMark/>
          </w:tcPr>
          <w:p w14:paraId="66F61C28" w14:textId="77777777" w:rsidR="000909F3" w:rsidRPr="000909F3" w:rsidRDefault="000909F3" w:rsidP="000909F3">
            <w:pPr>
              <w:rPr>
                <w:rFonts w:eastAsiaTheme="minorEastAsia"/>
              </w:rPr>
            </w:pPr>
            <w:r w:rsidRPr="000909F3">
              <w:rPr>
                <w:rFonts w:eastAsiaTheme="minorEastAsia"/>
              </w:rPr>
              <w:t>0.6870</w:t>
            </w:r>
          </w:p>
        </w:tc>
      </w:tr>
      <w:tr w:rsidR="000909F3" w:rsidRPr="000909F3" w14:paraId="64B9A7D5" w14:textId="77777777" w:rsidTr="000909F3">
        <w:trPr>
          <w:trHeight w:val="468"/>
          <w:jc w:val="center"/>
        </w:trPr>
        <w:tc>
          <w:tcPr>
            <w:tcW w:w="92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2BF1166B" w14:textId="77777777" w:rsidR="000909F3" w:rsidRPr="000909F3" w:rsidRDefault="000909F3" w:rsidP="000909F3">
            <w:pPr>
              <w:rPr>
                <w:rFonts w:eastAsiaTheme="minorEastAsia"/>
              </w:rPr>
            </w:pPr>
            <w:r w:rsidRPr="000909F3">
              <w:rPr>
                <w:rFonts w:eastAsiaTheme="minorEastAsia"/>
                <w:b/>
                <w:bCs/>
              </w:rPr>
              <w:t>AIC</w:t>
            </w:r>
          </w:p>
        </w:tc>
        <w:tc>
          <w:tcPr>
            <w:tcW w:w="176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5AF5C283" w14:textId="77777777" w:rsidR="000909F3" w:rsidRPr="000909F3" w:rsidRDefault="000909F3" w:rsidP="000909F3">
            <w:pPr>
              <w:rPr>
                <w:rFonts w:eastAsiaTheme="minorEastAsia"/>
              </w:rPr>
            </w:pPr>
            <w:r w:rsidRPr="000909F3">
              <w:rPr>
                <w:rFonts w:eastAsiaTheme="minorEastAsia"/>
              </w:rPr>
              <w:t>2496.21</w:t>
            </w:r>
          </w:p>
        </w:tc>
        <w:tc>
          <w:tcPr>
            <w:tcW w:w="2040" w:type="dxa"/>
            <w:tcBorders>
              <w:top w:val="nil"/>
              <w:left w:val="nil"/>
              <w:bottom w:val="single" w:sz="8" w:space="0" w:color="000000"/>
              <w:right w:val="nil"/>
            </w:tcBorders>
            <w:shd w:val="clear" w:color="auto" w:fill="auto"/>
            <w:tcMar>
              <w:top w:w="72" w:type="dxa"/>
              <w:left w:w="144" w:type="dxa"/>
              <w:bottom w:w="72" w:type="dxa"/>
              <w:right w:w="144" w:type="dxa"/>
            </w:tcMar>
            <w:hideMark/>
          </w:tcPr>
          <w:p w14:paraId="21340BE9" w14:textId="77777777" w:rsidR="000909F3" w:rsidRPr="000909F3" w:rsidRDefault="000909F3" w:rsidP="000909F3">
            <w:pPr>
              <w:rPr>
                <w:rFonts w:eastAsiaTheme="minorEastAsia"/>
              </w:rPr>
            </w:pPr>
            <w:r w:rsidRPr="000909F3">
              <w:rPr>
                <w:rFonts w:eastAsiaTheme="minorEastAsia"/>
              </w:rPr>
              <w:t>2745.86</w:t>
            </w:r>
          </w:p>
        </w:tc>
      </w:tr>
    </w:tbl>
    <w:p w14:paraId="4DDA4CB3" w14:textId="4ABD595A" w:rsidR="000909F3" w:rsidRDefault="000909F3" w:rsidP="000909F3">
      <w:pPr>
        <w:rPr>
          <w:rFonts w:eastAsiaTheme="minorEastAsia"/>
        </w:rPr>
      </w:pPr>
    </w:p>
    <w:p w14:paraId="5D19A1DE" w14:textId="15A0FBE5" w:rsidR="000909F3" w:rsidRDefault="000909F3" w:rsidP="000909F3">
      <w:pPr>
        <w:ind w:firstLine="420"/>
        <w:rPr>
          <w:rFonts w:eastAsiaTheme="minorEastAsia"/>
        </w:rPr>
      </w:pPr>
      <w:r>
        <w:rPr>
          <w:rFonts w:eastAsiaTheme="minorEastAsia"/>
        </w:rPr>
        <w:t>To compare the differences of the impacting features, the parameter surfaces are visualized using the same legend. The paired parameter surfaces can show the public health officials where the feature is impacting locally. For example, the white population surface maps are selected in Figure 7 below.</w:t>
      </w:r>
    </w:p>
    <w:p w14:paraId="5BEC41E7" w14:textId="6301B64B" w:rsidR="000909F3" w:rsidRDefault="000909F3" w:rsidP="000909F3">
      <w:pPr>
        <w:rPr>
          <w:rFonts w:eastAsiaTheme="minorEastAsia"/>
        </w:rPr>
      </w:pPr>
    </w:p>
    <w:p w14:paraId="53BB36BC" w14:textId="502F9BD1" w:rsidR="00947B7A" w:rsidRDefault="00947B7A" w:rsidP="000909F3">
      <w:pPr>
        <w:rPr>
          <w:rFonts w:eastAsiaTheme="minorEastAsia"/>
        </w:rPr>
      </w:pPr>
    </w:p>
    <w:p w14:paraId="4D7992BE" w14:textId="4BFF597E" w:rsidR="00947B7A" w:rsidRDefault="00947B7A" w:rsidP="000909F3">
      <w:pPr>
        <w:rPr>
          <w:rFonts w:eastAsiaTheme="minorEastAsia"/>
        </w:rPr>
      </w:pPr>
    </w:p>
    <w:p w14:paraId="1E1901C7" w14:textId="40660250" w:rsidR="00947B7A" w:rsidRDefault="00947B7A" w:rsidP="000909F3">
      <w:pPr>
        <w:rPr>
          <w:rFonts w:eastAsiaTheme="minorEastAsia"/>
        </w:rPr>
      </w:pPr>
    </w:p>
    <w:p w14:paraId="24739ACB" w14:textId="02062E86" w:rsidR="00947B7A" w:rsidRDefault="00947B7A" w:rsidP="000909F3">
      <w:pPr>
        <w:rPr>
          <w:rFonts w:eastAsiaTheme="minorEastAsia"/>
        </w:rPr>
      </w:pPr>
    </w:p>
    <w:p w14:paraId="423376D0" w14:textId="77777777" w:rsidR="00947B7A" w:rsidRDefault="00947B7A" w:rsidP="000909F3">
      <w:pPr>
        <w:rPr>
          <w:rFonts w:eastAsiaTheme="minorEastAsia"/>
        </w:rPr>
      </w:pPr>
    </w:p>
    <w:p w14:paraId="2045F45D" w14:textId="0858DE07" w:rsidR="000909F3" w:rsidRDefault="000909F3" w:rsidP="000909F3">
      <w:pPr>
        <w:jc w:val="center"/>
        <w:rPr>
          <w:rFonts w:eastAsiaTheme="minorEastAsia"/>
        </w:rPr>
      </w:pPr>
      <w:r>
        <w:rPr>
          <w:rFonts w:eastAsiaTheme="minorEastAsia"/>
          <w:noProof/>
        </w:rPr>
        <w:lastRenderedPageBreak/>
        <w:drawing>
          <wp:inline distT="0" distB="0" distL="0" distR="0" wp14:anchorId="051CA14C" wp14:editId="1095A1DD">
            <wp:extent cx="546735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755" b="11499"/>
                    <a:stretch/>
                  </pic:blipFill>
                  <pic:spPr bwMode="auto">
                    <a:xfrm>
                      <a:off x="0" y="0"/>
                      <a:ext cx="54673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544A6B6A" w14:textId="3AA4B866" w:rsidR="000909F3" w:rsidRDefault="000909F3" w:rsidP="000909F3">
      <w:pPr>
        <w:jc w:val="center"/>
        <w:rPr>
          <w:rFonts w:eastAsiaTheme="minorEastAsia"/>
        </w:rPr>
      </w:pPr>
      <w:r>
        <w:rPr>
          <w:rFonts w:eastAsiaTheme="minorEastAsia"/>
          <w:noProof/>
        </w:rPr>
        <w:drawing>
          <wp:inline distT="0" distB="0" distL="0" distR="0" wp14:anchorId="2DEB3DFF" wp14:editId="02DEDBD9">
            <wp:extent cx="546735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151" b="12195"/>
                    <a:stretch/>
                  </pic:blipFill>
                  <pic:spPr bwMode="auto">
                    <a:xfrm>
                      <a:off x="0" y="0"/>
                      <a:ext cx="546735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C42ED1C" w14:textId="6DDF6695" w:rsidR="000909F3" w:rsidRDefault="000909F3" w:rsidP="000909F3">
      <w:pPr>
        <w:jc w:val="center"/>
        <w:rPr>
          <w:rFonts w:eastAsiaTheme="minorEastAsia"/>
        </w:rPr>
      </w:pPr>
      <w:r>
        <w:rPr>
          <w:rFonts w:eastAsiaTheme="minorEastAsia"/>
        </w:rPr>
        <w:t xml:space="preserve">Figure 7. GWR parameter surface comparison for </w:t>
      </w:r>
      <w:r w:rsidR="00810F1B">
        <w:rPr>
          <w:rFonts w:eastAsiaTheme="minorEastAsia"/>
        </w:rPr>
        <w:t xml:space="preserve">the </w:t>
      </w:r>
      <w:r>
        <w:rPr>
          <w:rFonts w:eastAsiaTheme="minorEastAsia"/>
        </w:rPr>
        <w:t>white population.</w:t>
      </w:r>
    </w:p>
    <w:p w14:paraId="795C048B" w14:textId="5A27331E" w:rsidR="000909F3" w:rsidRDefault="000909F3" w:rsidP="000909F3">
      <w:pPr>
        <w:rPr>
          <w:rFonts w:eastAsiaTheme="minorEastAsia"/>
        </w:rPr>
      </w:pPr>
    </w:p>
    <w:p w14:paraId="2CE0F205" w14:textId="7FA4AE95" w:rsidR="000909F3" w:rsidRPr="000907D1" w:rsidRDefault="004A767B" w:rsidP="004A767B">
      <w:pPr>
        <w:ind w:firstLine="420"/>
        <w:rPr>
          <w:rFonts w:eastAsiaTheme="minorEastAsia"/>
        </w:rPr>
      </w:pPr>
      <w:r>
        <w:rPr>
          <w:rFonts w:eastAsiaTheme="minorEastAsia"/>
        </w:rPr>
        <w:t xml:space="preserve">We can see the obvious differences </w:t>
      </w:r>
      <w:r w:rsidR="00810F1B">
        <w:rPr>
          <w:rFonts w:eastAsiaTheme="minorEastAsia"/>
        </w:rPr>
        <w:t>in</w:t>
      </w:r>
      <w:r>
        <w:rPr>
          <w:rFonts w:eastAsiaTheme="minorEastAsia"/>
        </w:rPr>
        <w:t xml:space="preserve"> the impact of </w:t>
      </w:r>
      <w:r w:rsidR="00810F1B">
        <w:rPr>
          <w:rFonts w:eastAsiaTheme="minorEastAsia"/>
        </w:rPr>
        <w:t xml:space="preserve">the </w:t>
      </w:r>
      <w:r>
        <w:rPr>
          <w:rFonts w:eastAsiaTheme="minorEastAsia"/>
        </w:rPr>
        <w:t>white population on COVID-19 cases in the 2 study time periods. In the first time period, the white population is significantly impacting the Silver Spring and Bethesda area and the border area with Delaware, while in the second time period, everything changed and the white population is impacting the Annapolis area and Baltimore area, where they are close to oceans and harbors.</w:t>
      </w:r>
    </w:p>
    <w:p w14:paraId="22261AF0" w14:textId="389A19A4" w:rsidR="00A3724D" w:rsidRDefault="00A3724D" w:rsidP="006409FC">
      <w:pPr>
        <w:pStyle w:val="Heading1"/>
      </w:pPr>
      <w:r>
        <w:lastRenderedPageBreak/>
        <w:t>5. Discussion and Conclusion</w:t>
      </w:r>
    </w:p>
    <w:p w14:paraId="77CE7E95" w14:textId="006A41BE" w:rsidR="00A3724D" w:rsidRDefault="00972670" w:rsidP="00972670">
      <w:pPr>
        <w:ind w:firstLine="420"/>
      </w:pPr>
      <w:r>
        <w:t>There are 2 waves of COVID-19 outbreak and the third wave has arrived in Maryland. Some coun</w:t>
      </w:r>
      <w:r w:rsidR="00810F1B">
        <w:t>ti</w:t>
      </w:r>
      <w:r>
        <w:t xml:space="preserve">es, e.g. Prince George’s </w:t>
      </w:r>
      <w:r w:rsidR="00810F1B">
        <w:t>C</w:t>
      </w:r>
      <w:r>
        <w:t xml:space="preserve">ounty, Montgomery </w:t>
      </w:r>
      <w:r w:rsidR="00810F1B">
        <w:t>C</w:t>
      </w:r>
      <w:r>
        <w:t xml:space="preserve">ounty, Baltimore City, and Baltimore county, have the most cases in Maryland, which should draw the attention of Maryland public health officials. The confirmed cases were clustered near </w:t>
      </w:r>
      <w:r w:rsidR="00810F1B">
        <w:t xml:space="preserve">the </w:t>
      </w:r>
      <w:r>
        <w:t>DC area (i.e. Silver Spring and Bethesda) in the first time period from March 15 to June 30, and then spread to several hot spots later in the second time period f</w:t>
      </w:r>
      <w:r w:rsidR="00810F1B">
        <w:t>ro</w:t>
      </w:r>
      <w:r>
        <w:t>m July 1 to August 31.</w:t>
      </w:r>
    </w:p>
    <w:p w14:paraId="5C59D7CF" w14:textId="0768BFEA" w:rsidR="00972670" w:rsidRDefault="00972670" w:rsidP="00972670">
      <w:pPr>
        <w:ind w:firstLine="420"/>
      </w:pPr>
      <w:r>
        <w:t>The regression models, OLS model, RF model, and GWR model, show that some variables all ranked top</w:t>
      </w:r>
      <w:r w:rsidR="000F55A6">
        <w:t xml:space="preserve"> in terms of the variable impacts, e.g. white population, black population, other population, median household income, unemployment rate, population with </w:t>
      </w:r>
      <w:r w:rsidR="00810F1B">
        <w:t xml:space="preserve">a </w:t>
      </w:r>
      <w:r w:rsidR="000F55A6">
        <w:t>bachelor degree</w:t>
      </w:r>
      <w:r>
        <w:t xml:space="preserve"> </w:t>
      </w:r>
      <w:r w:rsidR="000F55A6">
        <w:t>or higher, etc., which meets the common sense and our expectations.</w:t>
      </w:r>
    </w:p>
    <w:p w14:paraId="30490AA5" w14:textId="48B64D55" w:rsidR="000F55A6" w:rsidRDefault="000F55A6" w:rsidP="00972670">
      <w:pPr>
        <w:ind w:firstLine="420"/>
      </w:pPr>
      <w:r>
        <w:t xml:space="preserve">Among the 3 regression models, </w:t>
      </w:r>
      <w:r w:rsidR="00810F1B">
        <w:t xml:space="preserve">the </w:t>
      </w:r>
      <w:r>
        <w:t>GWR model has the best model performance (R</w:t>
      </w:r>
      <w:r w:rsidRPr="000F55A6">
        <w:rPr>
          <w:vertAlign w:val="superscript"/>
        </w:rPr>
        <w:t>2</w:t>
      </w:r>
      <w:r>
        <w:t xml:space="preserve"> being 73.23% and 68.70% respectively). Also, the parameter surface maps show the localized variable importance</w:t>
      </w:r>
      <w:r w:rsidR="00810F1B">
        <w:t>,</w:t>
      </w:r>
      <w:r>
        <w:t xml:space="preserve"> and public health officials and stakeholders may take these maps as reference</w:t>
      </w:r>
      <w:r w:rsidR="00810F1B">
        <w:t>s</w:t>
      </w:r>
      <w:r>
        <w:t xml:space="preserve"> when making policies.</w:t>
      </w:r>
    </w:p>
    <w:p w14:paraId="20FAA95C" w14:textId="14C18F1F" w:rsidR="001B2446" w:rsidRPr="001B2446" w:rsidRDefault="000F55A6" w:rsidP="001B2446">
      <w:pPr>
        <w:ind w:firstLine="420"/>
      </w:pPr>
      <w:r>
        <w:t xml:space="preserve">Some drawbacks of this study include the RF model overfitting issue. After applying some techniques, e.g. regularization, oversampling, stratify splitting, </w:t>
      </w:r>
      <w:r w:rsidR="001B2446">
        <w:t>the overfitting has not been improved. Further studies on machine learning overfitting problem solutions are necessary. In addition, the results of regionalization are extremely unsatisfying due to unknown reasons. I will explore more in future work.</w:t>
      </w:r>
      <w:r w:rsidR="001B2446">
        <w:br w:type="page"/>
      </w:r>
    </w:p>
    <w:p w14:paraId="395A5B6E" w14:textId="70B3135C" w:rsidR="00A3724D" w:rsidRDefault="00A3724D" w:rsidP="006409FC">
      <w:pPr>
        <w:pStyle w:val="Heading1"/>
      </w:pPr>
      <w:r>
        <w:lastRenderedPageBreak/>
        <w:t>References</w:t>
      </w:r>
    </w:p>
    <w:p w14:paraId="25F97904" w14:textId="0AC04128" w:rsidR="00DA3252" w:rsidRPr="00DA3252" w:rsidRDefault="00CB3A7A" w:rsidP="00DA3252">
      <w:pPr>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DA3252" w:rsidRPr="00DA3252">
        <w:rPr>
          <w:rFonts w:cs="Times New Roman"/>
          <w:noProof/>
          <w:szCs w:val="24"/>
        </w:rPr>
        <w:t xml:space="preserve">Chen, Y., Jiao, J., Bai, S., &amp; Lindquist, J. (2020). Modeling the Spatial Factors of COVID-19 in New York City. </w:t>
      </w:r>
      <w:r w:rsidR="00DA3252" w:rsidRPr="00DA3252">
        <w:rPr>
          <w:rFonts w:cs="Times New Roman"/>
          <w:i/>
          <w:iCs/>
          <w:noProof/>
          <w:szCs w:val="24"/>
        </w:rPr>
        <w:t>SSRN Electronic Journal</w:t>
      </w:r>
      <w:r w:rsidR="00DA3252" w:rsidRPr="00DA3252">
        <w:rPr>
          <w:rFonts w:cs="Times New Roman"/>
          <w:noProof/>
          <w:szCs w:val="24"/>
        </w:rPr>
        <w:t>. https://doi.org/10.2139/ssrn.3606719</w:t>
      </w:r>
    </w:p>
    <w:p w14:paraId="6EA44CF1" w14:textId="77777777" w:rsidR="00DA3252" w:rsidRPr="00DA3252" w:rsidRDefault="00DA3252" w:rsidP="00DA3252">
      <w:pPr>
        <w:autoSpaceDE w:val="0"/>
        <w:autoSpaceDN w:val="0"/>
        <w:adjustRightInd w:val="0"/>
        <w:ind w:left="480" w:hanging="480"/>
        <w:rPr>
          <w:rFonts w:cs="Times New Roman"/>
          <w:noProof/>
          <w:szCs w:val="24"/>
        </w:rPr>
      </w:pPr>
      <w:r w:rsidRPr="00DA3252">
        <w:rPr>
          <w:rFonts w:cs="Times New Roman"/>
          <w:noProof/>
          <w:szCs w:val="24"/>
        </w:rPr>
        <w:t xml:space="preserve">Duque, J. C., Ramos, R., &amp; Suriñach, J. (2007). Supervised regionalization methods: A survey. </w:t>
      </w:r>
      <w:r w:rsidRPr="00DA3252">
        <w:rPr>
          <w:rFonts w:cs="Times New Roman"/>
          <w:i/>
          <w:iCs/>
          <w:noProof/>
          <w:szCs w:val="24"/>
        </w:rPr>
        <w:t>International Regional Science Review</w:t>
      </w:r>
      <w:r w:rsidRPr="00DA3252">
        <w:rPr>
          <w:rFonts w:cs="Times New Roman"/>
          <w:noProof/>
          <w:szCs w:val="24"/>
        </w:rPr>
        <w:t xml:space="preserve">, </w:t>
      </w:r>
      <w:r w:rsidRPr="00DA3252">
        <w:rPr>
          <w:rFonts w:cs="Times New Roman"/>
          <w:i/>
          <w:iCs/>
          <w:noProof/>
          <w:szCs w:val="24"/>
        </w:rPr>
        <w:t>30</w:t>
      </w:r>
      <w:r w:rsidRPr="00DA3252">
        <w:rPr>
          <w:rFonts w:cs="Times New Roman"/>
          <w:noProof/>
          <w:szCs w:val="24"/>
        </w:rPr>
        <w:t>(3), 195–220. https://doi.org/10.1177/0160017607301605</w:t>
      </w:r>
    </w:p>
    <w:p w14:paraId="3028A620" w14:textId="77777777" w:rsidR="00DA3252" w:rsidRPr="00DA3252" w:rsidRDefault="00DA3252" w:rsidP="00DA3252">
      <w:pPr>
        <w:autoSpaceDE w:val="0"/>
        <w:autoSpaceDN w:val="0"/>
        <w:adjustRightInd w:val="0"/>
        <w:ind w:left="480" w:hanging="480"/>
        <w:rPr>
          <w:rFonts w:cs="Times New Roman"/>
          <w:noProof/>
          <w:szCs w:val="24"/>
        </w:rPr>
      </w:pPr>
      <w:r w:rsidRPr="00DA3252">
        <w:rPr>
          <w:rFonts w:cs="Times New Roman"/>
          <w:noProof/>
          <w:szCs w:val="24"/>
        </w:rPr>
        <w:t xml:space="preserve">Espinoza, B., Castillo-Chavez, C., &amp; Perrings, C. (2020). Mobility Restrictions for the Control of Epidemics: When Do They Work? </w:t>
      </w:r>
      <w:r w:rsidRPr="00DA3252">
        <w:rPr>
          <w:rFonts w:cs="Times New Roman"/>
          <w:i/>
          <w:iCs/>
          <w:noProof/>
          <w:szCs w:val="24"/>
        </w:rPr>
        <w:t>SSRN Electronic Journal</w:t>
      </w:r>
      <w:r w:rsidRPr="00DA3252">
        <w:rPr>
          <w:rFonts w:cs="Times New Roman"/>
          <w:noProof/>
          <w:szCs w:val="24"/>
        </w:rPr>
        <w:t>, 1–14. https://doi.org/10.2139/ssrn.3496928</w:t>
      </w:r>
    </w:p>
    <w:p w14:paraId="2279D4BF" w14:textId="77777777" w:rsidR="00DA3252" w:rsidRPr="00DA3252" w:rsidRDefault="00DA3252" w:rsidP="00DA3252">
      <w:pPr>
        <w:autoSpaceDE w:val="0"/>
        <w:autoSpaceDN w:val="0"/>
        <w:adjustRightInd w:val="0"/>
        <w:ind w:left="480" w:hanging="480"/>
        <w:rPr>
          <w:rFonts w:cs="Times New Roman"/>
          <w:noProof/>
          <w:szCs w:val="24"/>
        </w:rPr>
      </w:pPr>
      <w:r w:rsidRPr="00DA3252">
        <w:rPr>
          <w:rFonts w:cs="Times New Roman"/>
          <w:noProof/>
          <w:szCs w:val="24"/>
        </w:rPr>
        <w:t xml:space="preserve">Gao, S., Rao, J., Kang, Y., Liang, Y., Kruse, J., Dopfer, D., … Patz, J. A. (2020). Association of Mobile Phone Location Data Indications of Travel and Stay-at-Home Mandates With COVID-19 Infection Rates in the US. </w:t>
      </w:r>
      <w:r w:rsidRPr="00DA3252">
        <w:rPr>
          <w:rFonts w:cs="Times New Roman"/>
          <w:i/>
          <w:iCs/>
          <w:noProof/>
          <w:szCs w:val="24"/>
        </w:rPr>
        <w:t>JAMA Network Open</w:t>
      </w:r>
      <w:r w:rsidRPr="00DA3252">
        <w:rPr>
          <w:rFonts w:cs="Times New Roman"/>
          <w:noProof/>
          <w:szCs w:val="24"/>
        </w:rPr>
        <w:t xml:space="preserve">, </w:t>
      </w:r>
      <w:r w:rsidRPr="00DA3252">
        <w:rPr>
          <w:rFonts w:cs="Times New Roman"/>
          <w:i/>
          <w:iCs/>
          <w:noProof/>
          <w:szCs w:val="24"/>
        </w:rPr>
        <w:t>3</w:t>
      </w:r>
      <w:r w:rsidRPr="00DA3252">
        <w:rPr>
          <w:rFonts w:cs="Times New Roman"/>
          <w:noProof/>
          <w:szCs w:val="24"/>
        </w:rPr>
        <w:t>(9), e2020485. https://doi.org/10.1001/jamanetworkopen.2020.20485</w:t>
      </w:r>
    </w:p>
    <w:p w14:paraId="36E362ED" w14:textId="77777777" w:rsidR="00DA3252" w:rsidRPr="00DA3252" w:rsidRDefault="00DA3252" w:rsidP="00DA3252">
      <w:pPr>
        <w:autoSpaceDE w:val="0"/>
        <w:autoSpaceDN w:val="0"/>
        <w:adjustRightInd w:val="0"/>
        <w:ind w:left="480" w:hanging="480"/>
        <w:rPr>
          <w:rFonts w:cs="Times New Roman"/>
          <w:noProof/>
          <w:szCs w:val="24"/>
        </w:rPr>
      </w:pPr>
      <w:r w:rsidRPr="00DA3252">
        <w:rPr>
          <w:rFonts w:cs="Times New Roman"/>
          <w:noProof/>
          <w:szCs w:val="24"/>
        </w:rPr>
        <w:t xml:space="preserve">Georganos, S., Grippa, T., Niang Gadiaga, A., Linard, C., Lennert, M., Vanhuysse, S., … Kalogirou, S. (2019). Geographical random forests: a spatial extension of the random forest algorithm to address spatial heterogeneity in remote sensing and population modelling. </w:t>
      </w:r>
      <w:r w:rsidRPr="00DA3252">
        <w:rPr>
          <w:rFonts w:cs="Times New Roman"/>
          <w:i/>
          <w:iCs/>
          <w:noProof/>
          <w:szCs w:val="24"/>
        </w:rPr>
        <w:t>Geocarto International</w:t>
      </w:r>
      <w:r w:rsidRPr="00DA3252">
        <w:rPr>
          <w:rFonts w:cs="Times New Roman"/>
          <w:noProof/>
          <w:szCs w:val="24"/>
        </w:rPr>
        <w:t xml:space="preserve">, </w:t>
      </w:r>
      <w:r w:rsidRPr="00DA3252">
        <w:rPr>
          <w:rFonts w:cs="Times New Roman"/>
          <w:i/>
          <w:iCs/>
          <w:noProof/>
          <w:szCs w:val="24"/>
        </w:rPr>
        <w:t>0</w:t>
      </w:r>
      <w:r w:rsidRPr="00DA3252">
        <w:rPr>
          <w:rFonts w:cs="Times New Roman"/>
          <w:noProof/>
          <w:szCs w:val="24"/>
        </w:rPr>
        <w:t>(0), 1–16. https://doi.org/10.1080/10106049.2019.1595177</w:t>
      </w:r>
    </w:p>
    <w:p w14:paraId="4C56F923" w14:textId="77777777" w:rsidR="00DA3252" w:rsidRPr="00DA3252" w:rsidRDefault="00DA3252" w:rsidP="00DA3252">
      <w:pPr>
        <w:autoSpaceDE w:val="0"/>
        <w:autoSpaceDN w:val="0"/>
        <w:adjustRightInd w:val="0"/>
        <w:ind w:left="480" w:hanging="480"/>
        <w:rPr>
          <w:rFonts w:cs="Times New Roman"/>
          <w:noProof/>
          <w:szCs w:val="24"/>
        </w:rPr>
      </w:pPr>
      <w:r w:rsidRPr="00DA3252">
        <w:rPr>
          <w:rFonts w:cs="Times New Roman"/>
          <w:noProof/>
          <w:szCs w:val="24"/>
        </w:rPr>
        <w:t xml:space="preserve">Mollalo, A., Rivera, K. M., &amp; Vahedi, B. (2020). Artificial neural network modeling of novel coronavirus (COVID-19) incidence rates across the continental United States. </w:t>
      </w:r>
      <w:r w:rsidRPr="00DA3252">
        <w:rPr>
          <w:rFonts w:cs="Times New Roman"/>
          <w:i/>
          <w:iCs/>
          <w:noProof/>
          <w:szCs w:val="24"/>
        </w:rPr>
        <w:lastRenderedPageBreak/>
        <w:t>International Journal of Environmental Research and Public Health</w:t>
      </w:r>
      <w:r w:rsidRPr="00DA3252">
        <w:rPr>
          <w:rFonts w:cs="Times New Roman"/>
          <w:noProof/>
          <w:szCs w:val="24"/>
        </w:rPr>
        <w:t xml:space="preserve">, </w:t>
      </w:r>
      <w:r w:rsidRPr="00DA3252">
        <w:rPr>
          <w:rFonts w:cs="Times New Roman"/>
          <w:i/>
          <w:iCs/>
          <w:noProof/>
          <w:szCs w:val="24"/>
        </w:rPr>
        <w:t>17</w:t>
      </w:r>
      <w:r w:rsidRPr="00DA3252">
        <w:rPr>
          <w:rFonts w:cs="Times New Roman"/>
          <w:noProof/>
          <w:szCs w:val="24"/>
        </w:rPr>
        <w:t>(12), 1–13. https://doi.org/10.3390/ijerph17124204</w:t>
      </w:r>
    </w:p>
    <w:p w14:paraId="3FA081CA" w14:textId="77777777" w:rsidR="00DA3252" w:rsidRPr="00DA3252" w:rsidRDefault="00DA3252" w:rsidP="00DA3252">
      <w:pPr>
        <w:autoSpaceDE w:val="0"/>
        <w:autoSpaceDN w:val="0"/>
        <w:adjustRightInd w:val="0"/>
        <w:ind w:left="480" w:hanging="480"/>
        <w:rPr>
          <w:rFonts w:cs="Times New Roman"/>
          <w:noProof/>
          <w:szCs w:val="24"/>
        </w:rPr>
      </w:pPr>
      <w:r w:rsidRPr="00DA3252">
        <w:rPr>
          <w:rFonts w:cs="Times New Roman"/>
          <w:noProof/>
          <w:szCs w:val="24"/>
        </w:rPr>
        <w:t xml:space="preserve">Mollalo, A., Vahedi, B., &amp; Rivera, K. M. (2020). GIS-based spatial modeling of COVID-19 incidence rate in the continental United States. </w:t>
      </w:r>
      <w:r w:rsidRPr="00DA3252">
        <w:rPr>
          <w:rFonts w:cs="Times New Roman"/>
          <w:i/>
          <w:iCs/>
          <w:noProof/>
          <w:szCs w:val="24"/>
        </w:rPr>
        <w:t>Science of the Total Environment</w:t>
      </w:r>
      <w:r w:rsidRPr="00DA3252">
        <w:rPr>
          <w:rFonts w:cs="Times New Roman"/>
          <w:noProof/>
          <w:szCs w:val="24"/>
        </w:rPr>
        <w:t xml:space="preserve">, </w:t>
      </w:r>
      <w:r w:rsidRPr="00DA3252">
        <w:rPr>
          <w:rFonts w:cs="Times New Roman"/>
          <w:i/>
          <w:iCs/>
          <w:noProof/>
          <w:szCs w:val="24"/>
        </w:rPr>
        <w:t>728</w:t>
      </w:r>
      <w:r w:rsidRPr="00DA3252">
        <w:rPr>
          <w:rFonts w:cs="Times New Roman"/>
          <w:noProof/>
          <w:szCs w:val="24"/>
        </w:rPr>
        <w:t>(April), 138884. https://doi.org/10.1016/j.scitotenv.2020.138884</w:t>
      </w:r>
    </w:p>
    <w:p w14:paraId="0BA00691" w14:textId="77777777" w:rsidR="00DA3252" w:rsidRPr="00DA3252" w:rsidRDefault="00DA3252" w:rsidP="00DA3252">
      <w:pPr>
        <w:autoSpaceDE w:val="0"/>
        <w:autoSpaceDN w:val="0"/>
        <w:adjustRightInd w:val="0"/>
        <w:ind w:left="480" w:hanging="480"/>
        <w:rPr>
          <w:rFonts w:cs="Times New Roman"/>
          <w:noProof/>
          <w:szCs w:val="24"/>
        </w:rPr>
      </w:pPr>
      <w:r w:rsidRPr="00DA3252">
        <w:rPr>
          <w:rFonts w:cs="Times New Roman"/>
          <w:noProof/>
          <w:szCs w:val="24"/>
        </w:rPr>
        <w:t xml:space="preserve">Oshan, T. M., Li, Z., Kang, W., Wolf, L. J., &amp; Stewart Fotheringham, A. (2019). MGWR: A python implementation of multiscale geographically weighted regression for investigating process spatial heterogeneity and scale. </w:t>
      </w:r>
      <w:r w:rsidRPr="00DA3252">
        <w:rPr>
          <w:rFonts w:cs="Times New Roman"/>
          <w:i/>
          <w:iCs/>
          <w:noProof/>
          <w:szCs w:val="24"/>
        </w:rPr>
        <w:t>ISPRS International Journal of Geo-Information</w:t>
      </w:r>
      <w:r w:rsidRPr="00DA3252">
        <w:rPr>
          <w:rFonts w:cs="Times New Roman"/>
          <w:noProof/>
          <w:szCs w:val="24"/>
        </w:rPr>
        <w:t xml:space="preserve">, </w:t>
      </w:r>
      <w:r w:rsidRPr="00DA3252">
        <w:rPr>
          <w:rFonts w:cs="Times New Roman"/>
          <w:i/>
          <w:iCs/>
          <w:noProof/>
          <w:szCs w:val="24"/>
        </w:rPr>
        <w:t>8</w:t>
      </w:r>
      <w:r w:rsidRPr="00DA3252">
        <w:rPr>
          <w:rFonts w:cs="Times New Roman"/>
          <w:noProof/>
          <w:szCs w:val="24"/>
        </w:rPr>
        <w:t>(6). https://doi.org/10.3390/ijgi8060269</w:t>
      </w:r>
    </w:p>
    <w:p w14:paraId="15289689" w14:textId="77777777" w:rsidR="00DA3252" w:rsidRPr="00DA3252" w:rsidRDefault="00DA3252" w:rsidP="00DA3252">
      <w:pPr>
        <w:autoSpaceDE w:val="0"/>
        <w:autoSpaceDN w:val="0"/>
        <w:adjustRightInd w:val="0"/>
        <w:ind w:left="480" w:hanging="480"/>
        <w:rPr>
          <w:rFonts w:cs="Times New Roman"/>
          <w:noProof/>
        </w:rPr>
      </w:pPr>
      <w:r w:rsidRPr="00DA3252">
        <w:rPr>
          <w:rFonts w:cs="Times New Roman"/>
          <w:noProof/>
          <w:szCs w:val="24"/>
        </w:rPr>
        <w:t xml:space="preserve">Oshan, T. M., Smith, J. P., &amp; Fotheringham, A. S. (2020). Targeting the spatial context of obesity determinants via multiscale geographically weighted regression. </w:t>
      </w:r>
      <w:r w:rsidRPr="00DA3252">
        <w:rPr>
          <w:rFonts w:cs="Times New Roman"/>
          <w:i/>
          <w:iCs/>
          <w:noProof/>
          <w:szCs w:val="24"/>
        </w:rPr>
        <w:t>International Journal of Health Geographics</w:t>
      </w:r>
      <w:r w:rsidRPr="00DA3252">
        <w:rPr>
          <w:rFonts w:cs="Times New Roman"/>
          <w:noProof/>
          <w:szCs w:val="24"/>
        </w:rPr>
        <w:t xml:space="preserve">, </w:t>
      </w:r>
      <w:r w:rsidRPr="00DA3252">
        <w:rPr>
          <w:rFonts w:cs="Times New Roman"/>
          <w:i/>
          <w:iCs/>
          <w:noProof/>
          <w:szCs w:val="24"/>
        </w:rPr>
        <w:t>19</w:t>
      </w:r>
      <w:r w:rsidRPr="00DA3252">
        <w:rPr>
          <w:rFonts w:cs="Times New Roman"/>
          <w:noProof/>
          <w:szCs w:val="24"/>
        </w:rPr>
        <w:t>(1). https://doi.org/10.1186/s12942-020-00204-6</w:t>
      </w:r>
    </w:p>
    <w:p w14:paraId="2B55CE87" w14:textId="2C0A6EED" w:rsidR="00553F48" w:rsidRPr="00553F48" w:rsidRDefault="00CB3A7A" w:rsidP="00CB3A7A">
      <w:r>
        <w:fldChar w:fldCharType="end"/>
      </w:r>
    </w:p>
    <w:sectPr w:rsidR="00553F48" w:rsidRPr="00553F48" w:rsidSect="000E0396">
      <w:pgSz w:w="12240" w:h="15840" w:code="1"/>
      <w:pgMar w:top="1440" w:right="1800" w:bottom="1440" w:left="1800" w:header="850" w:footer="994"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xMTcxMDM1MzU3MTFS0lEKTi0uzszPAykwqgUAx4lXBywAAAA="/>
  </w:docVars>
  <w:rsids>
    <w:rsidRoot w:val="00A85A2B"/>
    <w:rsid w:val="000907D1"/>
    <w:rsid w:val="000909F3"/>
    <w:rsid w:val="000E0396"/>
    <w:rsid w:val="000E3975"/>
    <w:rsid w:val="000F55A6"/>
    <w:rsid w:val="00150174"/>
    <w:rsid w:val="00186B3F"/>
    <w:rsid w:val="00187709"/>
    <w:rsid w:val="001A5701"/>
    <w:rsid w:val="001B2446"/>
    <w:rsid w:val="001E61E1"/>
    <w:rsid w:val="00203C1F"/>
    <w:rsid w:val="003359C1"/>
    <w:rsid w:val="00335E40"/>
    <w:rsid w:val="003C7718"/>
    <w:rsid w:val="00482E14"/>
    <w:rsid w:val="004A767B"/>
    <w:rsid w:val="004B0C2F"/>
    <w:rsid w:val="004B6A76"/>
    <w:rsid w:val="004F4AAD"/>
    <w:rsid w:val="00535F4C"/>
    <w:rsid w:val="00553F48"/>
    <w:rsid w:val="005B5D87"/>
    <w:rsid w:val="00622BF5"/>
    <w:rsid w:val="006409FC"/>
    <w:rsid w:val="006540FA"/>
    <w:rsid w:val="0068704E"/>
    <w:rsid w:val="00810F1B"/>
    <w:rsid w:val="00881449"/>
    <w:rsid w:val="008F626A"/>
    <w:rsid w:val="00947B7A"/>
    <w:rsid w:val="009653F5"/>
    <w:rsid w:val="00972670"/>
    <w:rsid w:val="00980662"/>
    <w:rsid w:val="00A3724D"/>
    <w:rsid w:val="00A85A2B"/>
    <w:rsid w:val="00A96670"/>
    <w:rsid w:val="00AA2259"/>
    <w:rsid w:val="00B01AC0"/>
    <w:rsid w:val="00B07507"/>
    <w:rsid w:val="00B54A6B"/>
    <w:rsid w:val="00BA6CFB"/>
    <w:rsid w:val="00BE0963"/>
    <w:rsid w:val="00C03313"/>
    <w:rsid w:val="00C230EB"/>
    <w:rsid w:val="00CB3A7A"/>
    <w:rsid w:val="00CC130A"/>
    <w:rsid w:val="00CC48B2"/>
    <w:rsid w:val="00CE5DB3"/>
    <w:rsid w:val="00D87CBE"/>
    <w:rsid w:val="00D9478B"/>
    <w:rsid w:val="00DA3252"/>
    <w:rsid w:val="00E536F6"/>
    <w:rsid w:val="00EB667E"/>
    <w:rsid w:val="00EB7881"/>
    <w:rsid w:val="00EE721C"/>
    <w:rsid w:val="00F27BED"/>
    <w:rsid w:val="00FB1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0975"/>
  <w15:chartTrackingRefBased/>
  <w15:docId w15:val="{34852F1A-53FE-4A9E-9543-F429B4EC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Calibri"/>
        <w:kern w:val="2"/>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A7A"/>
    <w:pPr>
      <w:widowControl w:val="0"/>
      <w:spacing w:line="480" w:lineRule="auto"/>
      <w:jc w:val="both"/>
    </w:pPr>
    <w:rPr>
      <w:rFonts w:ascii="Times New Roman" w:eastAsia="Times New Roman" w:hAnsi="Times New Roman"/>
      <w:sz w:val="24"/>
    </w:rPr>
  </w:style>
  <w:style w:type="paragraph" w:styleId="Heading1">
    <w:name w:val="heading 1"/>
    <w:basedOn w:val="Normal"/>
    <w:next w:val="Normal"/>
    <w:link w:val="Heading1Char"/>
    <w:uiPriority w:val="9"/>
    <w:qFormat/>
    <w:rsid w:val="006409FC"/>
    <w:pPr>
      <w:keepNext/>
      <w:keepLines/>
      <w:spacing w:before="240" w:after="240"/>
      <w:outlineLvl w:val="0"/>
    </w:pPr>
    <w:rPr>
      <w:rFonts w:cstheme="majorBidi"/>
      <w:b/>
      <w:szCs w:val="32"/>
    </w:rPr>
  </w:style>
  <w:style w:type="paragraph" w:styleId="Heading2">
    <w:name w:val="heading 2"/>
    <w:basedOn w:val="Normal"/>
    <w:next w:val="Normal"/>
    <w:link w:val="Heading2Char"/>
    <w:uiPriority w:val="9"/>
    <w:unhideWhenUsed/>
    <w:qFormat/>
    <w:rsid w:val="00FB1C9A"/>
    <w:pPr>
      <w:keepNext/>
      <w:keepLines/>
      <w:spacing w:before="240" w:after="240"/>
      <w:outlineLvl w:val="1"/>
    </w:pPr>
    <w:rPr>
      <w:rFonts w:cstheme="majorBidi"/>
      <w:b/>
      <w: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9FC"/>
    <w:rPr>
      <w:rFonts w:ascii="Times New Roman" w:eastAsia="Times New Roman" w:hAnsi="Times New Roman" w:cstheme="majorBidi"/>
      <w:b/>
      <w:sz w:val="24"/>
      <w:szCs w:val="32"/>
    </w:rPr>
  </w:style>
  <w:style w:type="character" w:customStyle="1" w:styleId="Heading2Char">
    <w:name w:val="Heading 2 Char"/>
    <w:basedOn w:val="DefaultParagraphFont"/>
    <w:link w:val="Heading2"/>
    <w:uiPriority w:val="9"/>
    <w:rsid w:val="00FB1C9A"/>
    <w:rPr>
      <w:rFonts w:ascii="Times New Roman" w:eastAsia="Times New Roman" w:hAnsi="Times New Roman" w:cstheme="majorBidi"/>
      <w:b/>
      <w:i/>
      <w:sz w:val="24"/>
      <w:szCs w:val="26"/>
    </w:rPr>
  </w:style>
  <w:style w:type="paragraph" w:styleId="BalloonText">
    <w:name w:val="Balloon Text"/>
    <w:basedOn w:val="Normal"/>
    <w:link w:val="BalloonTextChar"/>
    <w:uiPriority w:val="99"/>
    <w:semiHidden/>
    <w:unhideWhenUsed/>
    <w:rsid w:val="00535F4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F4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7857543">
      <w:bodyDiv w:val="1"/>
      <w:marLeft w:val="0"/>
      <w:marRight w:val="0"/>
      <w:marTop w:val="0"/>
      <w:marBottom w:val="0"/>
      <w:divBdr>
        <w:top w:val="none" w:sz="0" w:space="0" w:color="auto"/>
        <w:left w:val="none" w:sz="0" w:space="0" w:color="auto"/>
        <w:bottom w:val="none" w:sz="0" w:space="0" w:color="auto"/>
        <w:right w:val="none" w:sz="0" w:space="0" w:color="auto"/>
      </w:divBdr>
    </w:div>
    <w:div w:id="1318726074">
      <w:bodyDiv w:val="1"/>
      <w:marLeft w:val="0"/>
      <w:marRight w:val="0"/>
      <w:marTop w:val="0"/>
      <w:marBottom w:val="0"/>
      <w:divBdr>
        <w:top w:val="none" w:sz="0" w:space="0" w:color="auto"/>
        <w:left w:val="none" w:sz="0" w:space="0" w:color="auto"/>
        <w:bottom w:val="none" w:sz="0" w:space="0" w:color="auto"/>
        <w:right w:val="none" w:sz="0" w:space="0" w:color="auto"/>
      </w:divBdr>
    </w:div>
    <w:div w:id="1387412483">
      <w:bodyDiv w:val="1"/>
      <w:marLeft w:val="0"/>
      <w:marRight w:val="0"/>
      <w:marTop w:val="0"/>
      <w:marBottom w:val="0"/>
      <w:divBdr>
        <w:top w:val="none" w:sz="0" w:space="0" w:color="auto"/>
        <w:left w:val="none" w:sz="0" w:space="0" w:color="auto"/>
        <w:bottom w:val="none" w:sz="0" w:space="0" w:color="auto"/>
        <w:right w:val="none" w:sz="0" w:space="0" w:color="auto"/>
      </w:divBdr>
    </w:div>
    <w:div w:id="182092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9A3E6-9017-4578-BBB5-D2CA2A63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21</Pages>
  <Words>7364</Words>
  <Characters>41979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Guimin Zhu</dc:creator>
  <cp:keywords/>
  <dc:description/>
  <cp:lastModifiedBy>Guimin Zhu</cp:lastModifiedBy>
  <cp:revision>37</cp:revision>
  <dcterms:created xsi:type="dcterms:W3CDTF">2020-12-14T19:23:00Z</dcterms:created>
  <dcterms:modified xsi:type="dcterms:W3CDTF">2020-12-16T21:08:00Z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9dcc95fd-1499-3370-9696-6503018651bd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