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Arial" w:cs="Arial" w:eastAsia="Arial" w:hAnsi="Arial"/>
          <w:b/>
          <w:bCs/>
          <w:caps/>
          <w:color w:val="1B365D"/>
          <w:sz w:val="72"/>
          <w:szCs w:val="72"/>
        </w:rPr>
        <w:t xml:space="preserve">TAK-H</w:t>
      </w:r>
    </w:p>
    <w:p>
      <w:pPr>
        <w:pBdr>
          <w:bottom w:val="single" w:color="C92828" w:sz="12" w:space="8"/>
        </w:pBdr>
        <w:spacing w:before="0" w:after="80"/>
      </w:pPr>
      <w:r>
        <w:rPr>
          <w:rFonts w:ascii="Arial" w:cs="Arial" w:eastAsia="Arial" w:hAnsi="Arial"/>
          <w:caps/>
          <w:color w:val="C92828"/>
          <w:sz w:val="28"/>
          <w:szCs w:val="28"/>
        </w:rPr>
        <w:t xml:space="preserve">TACTICAL MOSAIC C2 THEATER SIMULATOR</w:t>
      </w:r>
    </w:p>
    <w:p>
      <w:pPr>
        <w:spacing w:before="0" w:after="0"/>
      </w:pPr>
      <w:r>
        <w:t xml:space="preserve"/>
      </w:r>
    </w:p>
    <w:p>
      <w:pPr>
        <w:spacing w:before="80" w:after="40"/>
      </w:pPr>
      <w:r>
        <w:rPr>
          <w:rFonts w:ascii="Courier New" w:cs="Courier New" w:eastAsia="Courier New" w:hAnsi="Courier New"/>
          <w:caps/>
          <w:color w:val="888888"/>
          <w:sz w:val="20"/>
          <w:szCs w:val="20"/>
        </w:rPr>
        <w:t xml:space="preserve">PRODUCT REQUIREMENTS DOCUMENT</w:t>
      </w:r>
    </w:p>
    <w:p>
      <w:pPr>
        <w:spacing w:before="0" w:after="40"/>
      </w:pPr>
      <w:r>
        <w:rPr>
          <w:rFonts w:ascii="Courier New" w:cs="Courier New" w:eastAsia="Courier New" w:hAnsi="Courier New"/>
          <w:color w:val="888888"/>
          <w:sz w:val="20"/>
          <w:szCs w:val="20"/>
        </w:rPr>
        <w:t xml:space="preserve">Phase 20 Forward · Legibility Instrument Specification</w:t>
      </w:r>
    </w:p>
    <w:p>
      <w:pPr>
        <w:spacing w:before="0" w:after="480"/>
      </w:pPr>
      <w:r>
        <w:rPr>
          <w:rFonts w:ascii="Courier New" w:cs="Courier New" w:eastAsia="Courier New" w:hAnsi="Courier New"/>
          <w:color w:val="888888"/>
          <w:sz w:val="18"/>
          <w:szCs w:val="18"/>
        </w:rPr>
        <w:t xml:space="preserve">Classification: Internal · Rev 1.0</w:t>
      </w:r>
    </w:p>
    <w:p>
      <w:pPr>
        <w:spacing w:before="80" w:after="80"/>
      </w:pPr>
      <w:r>
        <w:rPr>
          <w:rFonts w:ascii="Courier New" w:cs="Courier New" w:eastAsia="Courier New" w:hAnsi="Courier New"/>
          <w:b/>
          <w:bCs/>
          <w:caps/>
          <w:color w:val="C92828"/>
          <w:sz w:val="17"/>
          <w:szCs w:val="17"/>
        </w:rPr>
        <w:t xml:space="preserve">THESIS:  </w:t>
      </w:r>
      <w:r>
        <w:rPr>
          <w:rFonts w:ascii="Arial" w:cs="Arial" w:eastAsia="Arial" w:hAnsi="Arial"/>
          <w:color w:val="1A1A1A"/>
          <w:sz w:val="20"/>
          <w:szCs w:val="20"/>
        </w:rPr>
        <w:t xml:space="preserve">Emergent collective behavior under operational constraint requires a legibility instrument, not a visualization.</w:t>
      </w:r>
    </w:p>
    <w:p>
      <w:pPr>
        <w:spacing w:before="80" w:after="80"/>
      </w:pPr>
      <w:r>
        <w:rPr>
          <w:rFonts w:ascii="Courier New" w:cs="Courier New" w:eastAsia="Courier New" w:hAnsi="Courier New"/>
          <w:b/>
          <w:bCs/>
          <w:caps/>
          <w:color w:val="C92828"/>
          <w:sz w:val="17"/>
          <w:szCs w:val="17"/>
        </w:rPr>
        <w:t xml:space="preserve">CURRENT PHASE:  </w:t>
      </w:r>
      <w:r>
        <w:rPr>
          <w:rFonts w:ascii="Arial" w:cs="Arial" w:eastAsia="Arial" w:hAnsi="Arial"/>
          <w:color w:val="1A1A1A"/>
          <w:sz w:val="20"/>
          <w:szCs w:val="20"/>
        </w:rPr>
        <w:t xml:space="preserve">19 — Uncertain Pointer Framework (UPF) complete</w:t>
      </w:r>
    </w:p>
    <w:p>
      <w:pPr>
        <w:spacing w:before="80" w:after="80"/>
      </w:pPr>
      <w:r>
        <w:rPr>
          <w:rFonts w:ascii="Courier New" w:cs="Courier New" w:eastAsia="Courier New" w:hAnsi="Courier New"/>
          <w:b/>
          <w:bCs/>
          <w:caps/>
          <w:color w:val="C92828"/>
          <w:sz w:val="17"/>
          <w:szCs w:val="17"/>
        </w:rPr>
        <w:t xml:space="preserve">THIS DOCUMENT:  </w:t>
      </w:r>
      <w:r>
        <w:rPr>
          <w:rFonts w:ascii="Arial" w:cs="Arial" w:eastAsia="Arial" w:hAnsi="Arial"/>
          <w:color w:val="1A1A1A"/>
          <w:sz w:val="20"/>
          <w:szCs w:val="20"/>
        </w:rPr>
        <w:t xml:space="preserve">Specifies Phase 20–22 implementation: Deterministic Replay, Ghost-Track RF Profiles, Automated Scenario Tests, and Legibility Instrument UI Audit</w:t>
      </w:r>
    </w:p>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1. Context and Thesis</w:t>
      </w:r>
    </w:p>
    <w:p>
      <w:pPr>
        <w:spacing w:before="60" w:after="100"/>
      </w:pPr>
      <w:r>
        <w:rPr>
          <w:rFonts w:ascii="Arial" w:cs="Arial" w:eastAsia="Arial" w:hAnsi="Arial"/>
          <w:color w:val="1A1A1A"/>
          <w:sz w:val="20"/>
          <w:szCs w:val="20"/>
        </w:rPr>
        <w:t xml:space="preserve">TAK-H is a legibility instrument for swarm threat geometry. It is not a map, a dashboard, or a visualization. It encodes the gap between raw track state and operationally meaningful structure as a designed artifact, performing that interpretation continuously, at 60fps, across a degraded information environment.</w:t>
      </w:r>
    </w:p>
    <w:p>
      <w:pPr>
        <w:spacing w:before="0" w:after="0"/>
      </w:pPr>
      <w:r>
        <w:t xml:space="preserve"/>
      </w:r>
    </w:p>
    <w:p>
      <w:pPr>
        <w:spacing w:before="60" w:after="100"/>
      </w:pPr>
      <w:r>
        <w:rPr>
          <w:rFonts w:ascii="Arial" w:cs="Arial" w:eastAsia="Arial" w:hAnsi="Arial"/>
          <w:color w:val="1A1A1A"/>
          <w:sz w:val="20"/>
          <w:szCs w:val="20"/>
        </w:rPr>
        <w:t xml:space="preserve">The distinction matters for every design decision in this document. A visualization renders data. A legibility instrument makes emergent structure readable at the speed the structure demands. Every feature, every UI element, every rendering decision in TAK-H must be evaluated against that requirement — not against feature completeness, aesthetic preference, or engineering convenience.</w:t>
      </w:r>
    </w:p>
    <w:p>
      <w:pPr>
        <w:spacing w:before="0" w:after="0"/>
      </w:pPr>
      <w:r>
        <w:t xml:space="preserve"/>
      </w:r>
    </w:p>
    <w:p>
      <w:pPr>
        <w:spacing w:before="60" w:after="100"/>
      </w:pPr>
      <w:r>
        <w:rPr>
          <w:rFonts w:ascii="Arial" w:cs="Arial" w:eastAsia="Arial" w:hAnsi="Arial"/>
          <w:color w:val="1A1A1A"/>
          <w:sz w:val="20"/>
          <w:szCs w:val="20"/>
        </w:rPr>
        <w:t xml:space="preserve">The STARFLAG KNN Boids engine produces the same class of phenomenon as Flow-Lenia: globally coherent macro-structure precipitating from locally simple rules with no global encoding anywhere in the system. A wedge. A milling ring. A fragmentation event. These are not programmed. They emerge. The operational problem is making them readable in real time, from a display, by a human who has seconds to act.</w:t>
      </w:r>
    </w:p>
    <w:p>
      <w:pPr>
        <w:spacing w:before="0" w:after="0"/>
      </w:pPr>
      <w:r>
        <w:t xml:space="preserve"/>
      </w:r>
    </w:p>
    <w:p>
      <w:pPr>
        <w:spacing w:before="60" w:after="100"/>
      </w:pPr>
      <w:r>
        <w:rPr>
          <w:rFonts w:ascii="Arial" w:cs="Arial" w:eastAsia="Arial" w:hAnsi="Arial"/>
          <w:color w:val="1A1A1A"/>
          <w:sz w:val="20"/>
          <w:szCs w:val="20"/>
        </w:rPr>
        <w:t xml:space="preserve">Phases 1–19 have delivered the core instrument. This document specifies the Phase 20–22 work that closes the remaining legibility gaps and hardens the system for after-action use.</w:t>
      </w:r>
    </w:p>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2. Current System State (Phase 19 Complete)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200"/>
      </w:tblGrid>
      <w:tr>
        <w:tc>
          <w:tcPr>
            <w:tcW w:type="dxa" w:w="28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SYSTEM / FEATURE</w:t>
            </w:r>
          </w:p>
        </w:tc>
        <w:tc>
          <w:tcPr>
            <w:tcW w:type="dxa" w:w="14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PHASE</w:t>
            </w:r>
          </w:p>
        </w:tc>
        <w:tc>
          <w:tcPr>
            <w:tcW w:type="dxa" w:w="14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STATUS</w:t>
            </w:r>
          </w:p>
        </w:tc>
        <w:tc>
          <w:tcPr>
            <w:tcW w:type="dxa" w:w="32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NEXT ACTION</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STARFLAG KNN Boids (K=7)</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11–12</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No action required</w:t>
            </w:r>
          </w:p>
        </w:tc>
      </w:tr>
      <w:tr>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Order Parameter Telemetry HUD</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4A6FA5"/>
                <w:sz w:val="17"/>
                <w:szCs w:val="17"/>
              </w:rPr>
              <w:t xml:space="preserve">12</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Expand export schema — PRD §5.3</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EMCON Alpha-Decay Shaders</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13–14</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Validate decay curve per PRD §4.1</w:t>
            </w:r>
          </w:p>
        </w:tc>
      </w:tr>
      <w:tr>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Zero-Trust SIGINT Ghost Tracks</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4A6FA5"/>
                <w:sz w:val="17"/>
                <w:szCs w:val="17"/>
              </w:rPr>
              <w:t xml:space="preserve">13–14</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Expand RF profiles — PRD §5.2</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Designation Guardrails (&lt;0.6 block)</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13–14</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No action required</w:t>
            </w:r>
          </w:p>
        </w:tc>
      </w:tr>
      <w:tr>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V-JEPA Anxiety Warning Gate</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4A6FA5"/>
                <w:sz w:val="17"/>
                <w:szCs w:val="17"/>
              </w:rPr>
              <w:t xml:space="preserve">18</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Wire to replay capture — PRD §5.1</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Recommended Actions Panel</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18</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Supersession test — PRD §5.4</w:t>
            </w:r>
          </w:p>
        </w:tc>
      </w:tr>
      <w:tr>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3DGS Counterfactual Binding</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4A6FA5"/>
                <w:sz w:val="17"/>
                <w:szCs w:val="17"/>
              </w:rPr>
              <w:t xml:space="preserve">18</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action required</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Uncertain Pointer Framework (UPF)</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19</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2E7D32"/>
                <w:sz w:val="19"/>
                <w:szCs w:val="19"/>
              </w:rPr>
              <w:t xml:space="preserve">COMPLETE</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Cone aperture test — PRD §5.4</w:t>
            </w:r>
          </w:p>
        </w:tc>
      </w:tr>
      <w:tr>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Deterministic Replay</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4A6FA5"/>
                <w:sz w:val="17"/>
                <w:szCs w:val="17"/>
              </w:rPr>
              <w:t xml:space="preserve">—</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bCs/>
                <w:color w:val="1B365D"/>
                <w:sz w:val="19"/>
                <w:szCs w:val="19"/>
              </w:rPr>
              <w:t xml:space="preserve">PLANNED</w:t>
            </w:r>
          </w:p>
        </w:tc>
        <w:tc>
          <w:tcPr>
            <w:tcW w:type="dxa" w:w="32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spec — PRD §4</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Expanded Ghost-Track RF Profiles</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1B365D"/>
                <w:sz w:val="19"/>
                <w:szCs w:val="19"/>
              </w:rPr>
              <w:t xml:space="preserve">PLANNED</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spec — PRD §5</w:t>
            </w:r>
          </w:p>
        </w:tc>
      </w:tr>
      <w:tr>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Automated Scenario Tests</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4A6FA5"/>
                <w:sz w:val="17"/>
                <w:szCs w:val="17"/>
              </w:rPr>
              <w:t xml:space="preserve">—</w:t>
            </w:r>
          </w:p>
        </w:tc>
        <w:tc>
          <w:tcPr>
            <w:tcW w:type="dxa" w:w="1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bCs/>
                <w:color w:val="1B365D"/>
                <w:sz w:val="19"/>
                <w:szCs w:val="19"/>
              </w:rPr>
              <w:t xml:space="preserve">PLANNED</w:t>
            </w:r>
          </w:p>
        </w:tc>
        <w:tc>
          <w:tcPr>
            <w:tcW w:type="dxa" w:w="32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spec — PRD §6</w:t>
            </w:r>
          </w:p>
        </w:tc>
      </w:tr>
      <w:tr>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Legibility Instrument UI Audit</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4A6FA5"/>
                <w:sz w:val="17"/>
                <w:szCs w:val="17"/>
              </w:rPr>
              <w:t xml:space="preserve">—</w:t>
            </w:r>
          </w:p>
        </w:tc>
        <w:tc>
          <w:tcPr>
            <w:tcW w:type="dxa" w:w="1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bCs/>
                <w:color w:val="1B365D"/>
                <w:sz w:val="19"/>
                <w:szCs w:val="19"/>
              </w:rPr>
              <w:t xml:space="preserve">PLANNED</w:t>
            </w:r>
          </w:p>
        </w:tc>
        <w:tc>
          <w:tcPr>
            <w:tcW w:type="dxa" w:w="32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spec — PRD §7</w:t>
            </w:r>
          </w:p>
        </w:tc>
      </w:tr>
    </w:tbl>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3. Design Principles</w:t>
      </w:r>
    </w:p>
    <w:p>
      <w:pPr>
        <w:spacing w:before="60" w:after="100"/>
      </w:pPr>
      <w:r>
        <w:rPr>
          <w:rFonts w:ascii="Arial" w:cs="Arial" w:eastAsia="Arial" w:hAnsi="Arial"/>
          <w:color w:val="1A1A1A"/>
          <w:sz w:val="20"/>
          <w:szCs w:val="20"/>
        </w:rPr>
        <w:t xml:space="preserve">All implementation decisions are evaluated against these principles in order. Higher principles override lower ones.</w:t>
      </w:r>
    </w:p>
    <w:p>
      <w:pPr>
        <w:spacing w:before="0" w:after="0"/>
      </w:pPr>
      <w:r>
        <w:t xml:space="preserve"/>
      </w:r>
    </w:p>
    <w:p>
      <w:pPr>
        <w:spacing w:before="240" w:after="80"/>
      </w:pPr>
      <w:r>
        <w:rPr>
          <w:rFonts w:ascii="Arial" w:cs="Arial" w:eastAsia="Arial" w:hAnsi="Arial"/>
          <w:b/>
          <w:bCs/>
          <w:color w:val="4A6FA5"/>
          <w:sz w:val="18"/>
          <w:szCs w:val="18"/>
        </w:rPr>
        <w:t xml:space="preserve">P1 — Encode Uncertainty, Never Hide It</w:t>
      </w:r>
    </w:p>
    <w:p>
      <w:pPr>
        <w:spacing w:before="60" w:after="100"/>
      </w:pPr>
      <w:r>
        <w:rPr>
          <w:rFonts w:ascii="Arial" w:cs="Arial" w:eastAsia="Arial" w:hAnsi="Arial"/>
          <w:color w:val="1A1A1A"/>
          <w:sz w:val="20"/>
          <w:szCs w:val="20"/>
        </w:rPr>
        <w:t xml:space="preserve">The display must communicate confidence levels, decay rates, and epistemic status as first-class visual properties. A missing track is not the same as an uncertain track. An unverified SIGINT source is not the same as a corroborated sensor. These distinctions must be visible at a glance without operator query.</w:t>
      </w:r>
    </w:p>
    <w:p>
      <w:pPr>
        <w:spacing w:before="240" w:after="80"/>
      </w:pPr>
      <w:r>
        <w:rPr>
          <w:rFonts w:ascii="Arial" w:cs="Arial" w:eastAsia="Arial" w:hAnsi="Arial"/>
          <w:b/>
          <w:bCs/>
          <w:color w:val="4A6FA5"/>
          <w:sz w:val="18"/>
          <w:szCs w:val="18"/>
        </w:rPr>
        <w:t xml:space="preserve">P2 — Emergence Requires Temporal Legibility</w:t>
      </w:r>
    </w:p>
    <w:p>
      <w:pPr>
        <w:spacing w:before="60" w:after="100"/>
      </w:pPr>
      <w:r>
        <w:rPr>
          <w:rFonts w:ascii="Arial" w:cs="Arial" w:eastAsia="Arial" w:hAnsi="Arial"/>
          <w:color w:val="1A1A1A"/>
          <w:sz w:val="20"/>
          <w:szCs w:val="20"/>
        </w:rPr>
        <w:t xml:space="preserve">Formation geometry is a temporal phenomenon. A wedge is not a spatial arrangement of icons — it is a convergence of velocity vectors over time. The display must make the direction of change as legible as the current state. Phase transitions (milling → cohesion, cohesion → fragmentation) must be visible before they complete, not after.</w:t>
      </w:r>
    </w:p>
    <w:p>
      <w:pPr>
        <w:spacing w:before="240" w:after="80"/>
      </w:pPr>
      <w:r>
        <w:rPr>
          <w:rFonts w:ascii="Arial" w:cs="Arial" w:eastAsia="Arial" w:hAnsi="Arial"/>
          <w:b/>
          <w:bCs/>
          <w:color w:val="4A6FA5"/>
          <w:sz w:val="18"/>
          <w:szCs w:val="18"/>
        </w:rPr>
        <w:t xml:space="preserve">P3 — Operator Intent Precedes Precision</w:t>
      </w:r>
    </w:p>
    <w:p>
      <w:pPr>
        <w:spacing w:before="60" w:after="100"/>
      </w:pPr>
      <w:r>
        <w:rPr>
          <w:rFonts w:ascii="Arial" w:cs="Arial" w:eastAsia="Arial" w:hAnsi="Arial"/>
          <w:color w:val="1A1A1A"/>
          <w:sz w:val="20"/>
          <w:szCs w:val="20"/>
        </w:rPr>
        <w:t xml:space="preserve">Pixel-perfect interaction is not a realistic model for a 1,500-entity field under time pressure. The UPF cone is the correct model: match the interaction geometry to what the data can actually support. Extend this principle to all operator-facing controls. No feature should require precision the context cannot provide.</w:t>
      </w:r>
    </w:p>
    <w:p>
      <w:pPr>
        <w:spacing w:before="240" w:after="80"/>
      </w:pPr>
      <w:r>
        <w:rPr>
          <w:rFonts w:ascii="Arial" w:cs="Arial" w:eastAsia="Arial" w:hAnsi="Arial"/>
          <w:b/>
          <w:bCs/>
          <w:color w:val="4A6FA5"/>
          <w:sz w:val="18"/>
          <w:szCs w:val="18"/>
        </w:rPr>
        <w:t xml:space="preserve">P4 — The Map Stays Uncluttered</w:t>
      </w:r>
    </w:p>
    <w:p>
      <w:pPr>
        <w:spacing w:before="60" w:after="100"/>
      </w:pPr>
      <w:r>
        <w:rPr>
          <w:rFonts w:ascii="Arial" w:cs="Arial" w:eastAsia="Arial" w:hAnsi="Arial"/>
          <w:color w:val="1A1A1A"/>
          <w:sz w:val="20"/>
          <w:szCs w:val="20"/>
        </w:rPr>
        <w:t xml:space="preserve">All data density is carried in panels. The 3D viewport is a threat geometry surface, not an information display. Any feature that adds persistent visual elements to the map must justify the cost against P2 before implementation.</w:t>
      </w:r>
    </w:p>
    <w:p>
      <w:pPr>
        <w:spacing w:before="240" w:after="80"/>
      </w:pPr>
      <w:r>
        <w:rPr>
          <w:rFonts w:ascii="Arial" w:cs="Arial" w:eastAsia="Arial" w:hAnsi="Arial"/>
          <w:b/>
          <w:bCs/>
          <w:color w:val="4A6FA5"/>
          <w:sz w:val="18"/>
          <w:szCs w:val="18"/>
        </w:rPr>
        <w:t xml:space="preserve">P5 — Audit Everything</w:t>
      </w:r>
    </w:p>
    <w:p>
      <w:pPr>
        <w:spacing w:before="60" w:after="100"/>
      </w:pPr>
      <w:r>
        <w:rPr>
          <w:rFonts w:ascii="Arial" w:cs="Arial" w:eastAsia="Arial" w:hAnsi="Arial"/>
          <w:color w:val="1A1A1A"/>
          <w:sz w:val="20"/>
          <w:szCs w:val="20"/>
        </w:rPr>
        <w:t xml:space="preserve">Every designation, every override, every advisory escalation is logged to OpsLog with timestamp and operator ID. The after-action trace must be complete. This is not a compliance requirement — it is a legibility requirement for the post-mission review.</w:t>
      </w:r>
    </w:p>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4. Phase 20 — Deterministic Replay</w:t>
      </w:r>
    </w:p>
    <w:p>
      <w:pPr>
        <w:spacing w:before="60" w:after="100"/>
      </w:pPr>
      <w:r>
        <w:rPr>
          <w:rFonts w:ascii="Arial" w:cs="Arial" w:eastAsia="Arial" w:hAnsi="Arial"/>
          <w:color w:val="1A1A1A"/>
          <w:sz w:val="20"/>
          <w:szCs w:val="20"/>
        </w:rPr>
        <w:t xml:space="preserve">The highest-value diagnostic gap in the current system is the absence of a scrubable replay. V-JEPA advisory onset, UPF resolution events, designation decisions, and counterfactual macro executions all occur in real time and leave only OpsLog text entries. The after-action review cannot reconstruct the visual state the operator was reading when a decision was made.</w:t>
      </w:r>
    </w:p>
    <w:p>
      <w:pPr>
        <w:spacing w:before="60" w:after="100"/>
      </w:pPr>
      <w:r>
        <w:rPr>
          <w:rFonts w:ascii="Arial" w:cs="Arial" w:eastAsia="Arial" w:hAnsi="Arial"/>
          <w:color w:val="1A1A1A"/>
          <w:sz w:val="20"/>
          <w:szCs w:val="20"/>
        </w:rPr>
        <w:t xml:space="preserve">Deterministic Replay closes this gap. It captures a complete, scrubable record of system state at sufficient resolution to reconstruct any display frame, and exposes that record through a playback interface that makes the operator’s decision trace legible post-mission.</w:t>
      </w:r>
    </w:p>
    <w:p>
      <w:pPr>
        <w:spacing w:before="0" w:after="0"/>
      </w:pPr>
      <w:r>
        <w:t xml:space="preserve"/>
      </w:r>
    </w:p>
    <w:p>
      <w:pPr>
        <w:pStyle w:val="Heading2"/>
        <w:spacing w:before="320" w:after="120"/>
      </w:pPr>
      <w:r>
        <w:rPr>
          <w:rFonts w:ascii="Arial" w:cs="Arial" w:eastAsia="Arial" w:hAnsi="Arial"/>
          <w:b/>
          <w:bCs/>
          <w:color w:val="1B365D"/>
          <w:sz w:val="22"/>
          <w:szCs w:val="22"/>
        </w:rPr>
        <w:t xml:space="preserve">4.1 Capture Layer</w:t>
      </w:r>
    </w:p>
    <w:p>
      <w:pPr>
        <w:spacing w:before="60" w:after="100"/>
      </w:pPr>
      <w:r>
        <w:rPr>
          <w:rFonts w:ascii="Arial" w:cs="Arial" w:eastAsia="Arial" w:hAnsi="Arial"/>
          <w:color w:val="1A1A1A"/>
          <w:sz w:val="20"/>
          <w:szCs w:val="20"/>
        </w:rPr>
        <w:t xml:space="preserve">The capture layer records state snapshots at fixed intervals and event-triggered checkpoints.</w:t>
      </w:r>
    </w:p>
    <w:p>
      <w:pPr>
        <w:spacing w:before="0" w:after="0"/>
      </w:pPr>
      <w:r>
        <w:t xml:space="preserve"/>
      </w:r>
    </w:p>
    <w:p>
      <w:pPr>
        <w:spacing w:before="240" w:after="80"/>
      </w:pPr>
      <w:r>
        <w:rPr>
          <w:rFonts w:ascii="Arial" w:cs="Arial" w:eastAsia="Arial" w:hAnsi="Arial"/>
          <w:b/>
          <w:bCs/>
          <w:color w:val="4A6FA5"/>
          <w:sz w:val="18"/>
          <w:szCs w:val="18"/>
        </w:rPr>
        <w:t xml:space="preserve">Tick Rate</w:t>
      </w:r>
    </w:p>
    <w:p>
      <w:pPr>
        <w:pStyle w:val="ListParagraph"/>
        <w:numPr>
          <w:ilvl w:val="0"/>
          <w:numId w:val="2"/>
        </w:numPr>
        <w:spacing w:before="40" w:after="60"/>
      </w:pPr>
      <w:r>
        <w:rPr>
          <w:rFonts w:ascii="Arial" w:cs="Arial" w:eastAsia="Arial" w:hAnsi="Arial"/>
          <w:color w:val="1A1A1A"/>
          <w:sz w:val="20"/>
          <w:szCs w:val="20"/>
        </w:rPr>
        <w:t xml:space="preserve">Baseline capture at 4Hz (250ms intervals) — sufficient to reconstruct swarm formation geometry between frames</w:t>
      </w:r>
    </w:p>
    <w:p>
      <w:pPr>
        <w:pStyle w:val="ListParagraph"/>
        <w:numPr>
          <w:ilvl w:val="0"/>
          <w:numId w:val="2"/>
        </w:numPr>
        <w:spacing w:before="40" w:after="60"/>
      </w:pPr>
      <w:r>
        <w:rPr>
          <w:rFonts w:ascii="Arial" w:cs="Arial" w:eastAsia="Arial" w:hAnsi="Arial"/>
          <w:color w:val="1A1A1A"/>
          <w:sz w:val="20"/>
          <w:szCs w:val="20"/>
        </w:rPr>
        <w:t xml:space="preserve">Event-triggered captures at exact timestamp for: V-JEPA gate state change (onset / clear), designation action (initiate / confirm / override / cancel), UPF primary target resolution, Recommended Actions panel supersession, 3DGS macro execution</w:t>
      </w:r>
    </w:p>
    <w:p>
      <w:pPr>
        <w:spacing w:before="0" w:after="0"/>
      </w:pPr>
      <w:r>
        <w:t xml:space="preserve"/>
      </w:r>
    </w:p>
    <w:p>
      <w:pPr>
        <w:spacing w:before="240" w:after="80"/>
      </w:pPr>
      <w:r>
        <w:rPr>
          <w:rFonts w:ascii="Arial" w:cs="Arial" w:eastAsia="Arial" w:hAnsi="Arial"/>
          <w:b/>
          <w:bCs/>
          <w:color w:val="4A6FA5"/>
          <w:sz w:val="18"/>
          <w:szCs w:val="18"/>
        </w:rPr>
        <w:t xml:space="preserve">Snapshot Schema</w:t>
      </w:r>
    </w:p>
    <w:p>
      <w:pPr>
        <w:spacing w:before="60" w:after="100"/>
      </w:pPr>
      <w:r>
        <w:rPr>
          <w:rFonts w:ascii="Arial" w:cs="Arial" w:eastAsia="Arial" w:hAnsi="Arial"/>
          <w:color w:val="1A1A1A"/>
          <w:sz w:val="20"/>
          <w:szCs w:val="20"/>
        </w:rPr>
        <w:t xml:space="preserve">Each snapshot is a serialized object containing:</w:t>
      </w:r>
    </w:p>
    <w:p>
      <w:pPr>
        <w:pStyle w:val="ListParagraph"/>
        <w:numPr>
          <w:ilvl w:val="0"/>
          <w:numId w:val="2"/>
        </w:numPr>
        <w:spacing w:before="40" w:after="60"/>
      </w:pPr>
      <w:r>
        <w:rPr>
          <w:rFonts w:ascii="Arial" w:cs="Arial" w:eastAsia="Arial" w:hAnsi="Arial"/>
          <w:color w:val="1A1A1A"/>
          <w:sz w:val="20"/>
          <w:szCs w:val="20"/>
        </w:rPr>
        <w:t xml:space="preserve">timestamp — monotonic ms since session start</w:t>
      </w:r>
    </w:p>
    <w:p>
      <w:pPr>
        <w:pStyle w:val="ListParagraph"/>
        <w:numPr>
          <w:ilvl w:val="0"/>
          <w:numId w:val="2"/>
        </w:numPr>
        <w:spacing w:before="40" w:after="60"/>
      </w:pPr>
      <w:r>
        <w:rPr>
          <w:rFonts w:ascii="Arial" w:cs="Arial" w:eastAsia="Arial" w:hAnsi="Arial"/>
          <w:color w:val="1A1A1A"/>
          <w:sz w:val="20"/>
          <w:szCs w:val="20"/>
        </w:rPr>
        <w:t xml:space="preserve">trackState — per-track array: [id, x, y, z, vx, vy, vz, confidence, domain, emconState, isSigint]</w:t>
      </w:r>
    </w:p>
    <w:p>
      <w:pPr>
        <w:pStyle w:val="ListParagraph"/>
        <w:numPr>
          <w:ilvl w:val="0"/>
          <w:numId w:val="2"/>
        </w:numPr>
        <w:spacing w:before="40" w:after="60"/>
      </w:pPr>
      <w:r>
        <w:rPr>
          <w:rFonts w:ascii="Arial" w:cs="Arial" w:eastAsia="Arial" w:hAnsi="Arial"/>
          <w:color w:val="1A1A1A"/>
          <w:sz w:val="20"/>
          <w:szCs w:val="20"/>
        </w:rPr>
        <w:t xml:space="preserve">orderParams — { polarization, milling, cohesion, activeCount }</w:t>
      </w:r>
    </w:p>
    <w:p>
      <w:pPr>
        <w:pStyle w:val="ListParagraph"/>
        <w:numPr>
          <w:ilvl w:val="0"/>
          <w:numId w:val="2"/>
        </w:numPr>
        <w:spacing w:before="40" w:after="60"/>
      </w:pPr>
      <w:r>
        <w:rPr>
          <w:rFonts w:ascii="Arial" w:cs="Arial" w:eastAsia="Arial" w:hAnsi="Arial"/>
          <w:color w:val="1A1A1A"/>
          <w:sz w:val="20"/>
          <w:szCs w:val="20"/>
        </w:rPr>
        <w:t xml:space="preserve">vejpaGate — { active: bool, onset: timestamp | null }</w:t>
      </w:r>
    </w:p>
    <w:p>
      <w:pPr>
        <w:pStyle w:val="ListParagraph"/>
        <w:numPr>
          <w:ilvl w:val="0"/>
          <w:numId w:val="2"/>
        </w:numPr>
        <w:spacing w:before="40" w:after="60"/>
      </w:pPr>
      <w:r>
        <w:rPr>
          <w:rFonts w:ascii="Arial" w:cs="Arial" w:eastAsia="Arial" w:hAnsi="Arial"/>
          <w:color w:val="1A1A1A"/>
          <w:sz w:val="20"/>
          <w:szCs w:val="20"/>
        </w:rPr>
        <w:t xml:space="preserve">ufpState — { primaryId: string | null, coneAngleDeg: number, candidates: id[] }</w:t>
      </w:r>
    </w:p>
    <w:p>
      <w:pPr>
        <w:pStyle w:val="ListParagraph"/>
        <w:numPr>
          <w:ilvl w:val="0"/>
          <w:numId w:val="2"/>
        </w:numPr>
        <w:spacing w:before="40" w:after="60"/>
      </w:pPr>
      <w:r>
        <w:rPr>
          <w:rFonts w:ascii="Arial" w:cs="Arial" w:eastAsia="Arial" w:hAnsi="Arial"/>
          <w:color w:val="1A1A1A"/>
          <w:sz w:val="20"/>
          <w:szCs w:val="20"/>
        </w:rPr>
        <w:t xml:space="preserve">opsLogDelta — new entries since last snapshot</w:t>
      </w:r>
    </w:p>
    <w:p>
      <w:pPr>
        <w:pStyle w:val="ListParagraph"/>
        <w:numPr>
          <w:ilvl w:val="0"/>
          <w:numId w:val="2"/>
        </w:numPr>
        <w:spacing w:before="40" w:after="60"/>
      </w:pPr>
      <w:r>
        <w:rPr>
          <w:rFonts w:ascii="Arial" w:cs="Arial" w:eastAsia="Arial" w:hAnsi="Arial"/>
          <w:color w:val="1A1A1A"/>
          <w:sz w:val="20"/>
          <w:szCs w:val="20"/>
        </w:rPr>
        <w:t xml:space="preserve">recommendedAction — { active: bool, type: string, counterfactualBound: bool }</w:t>
      </w:r>
    </w:p>
    <w:p>
      <w:pPr>
        <w:pStyle w:val="ListParagraph"/>
        <w:numPr>
          <w:ilvl w:val="0"/>
          <w:numId w:val="2"/>
        </w:numPr>
        <w:spacing w:before="40" w:after="60"/>
      </w:pPr>
      <w:r>
        <w:rPr>
          <w:rFonts w:ascii="Arial" w:cs="Arial" w:eastAsia="Arial" w:hAnsi="Arial"/>
          <w:color w:val="1A1A1A"/>
          <w:sz w:val="20"/>
          <w:szCs w:val="20"/>
        </w:rPr>
        <w:t xml:space="preserve">designationQueue — current designation state per active target</w:t>
      </w:r>
    </w:p>
    <w:p>
      <w:pPr>
        <w:spacing w:before="0" w:after="0"/>
      </w:pPr>
      <w:r>
        <w:t xml:space="preserve"/>
      </w:r>
    </w:p>
    <w:p>
      <w:pPr>
        <w:spacing w:before="240" w:after="80"/>
      </w:pPr>
      <w:r>
        <w:rPr>
          <w:rFonts w:ascii="Arial" w:cs="Arial" w:eastAsia="Arial" w:hAnsi="Arial"/>
          <w:b/>
          <w:bCs/>
          <w:color w:val="4A6FA5"/>
          <w:sz w:val="18"/>
          <w:szCs w:val="18"/>
        </w:rPr>
        <w:t xml:space="preserve">Storage Target</w:t>
      </w:r>
    </w:p>
    <w:p>
      <w:pPr>
        <w:pStyle w:val="ListParagraph"/>
        <w:numPr>
          <w:ilvl w:val="0"/>
          <w:numId w:val="2"/>
        </w:numPr>
        <w:spacing w:before="40" w:after="60"/>
      </w:pPr>
      <w:r>
        <w:rPr>
          <w:rFonts w:ascii="Arial" w:cs="Arial" w:eastAsia="Arial" w:hAnsi="Arial"/>
          <w:color w:val="1A1A1A"/>
          <w:sz w:val="20"/>
          <w:szCs w:val="20"/>
        </w:rPr>
        <w:t xml:space="preserve">In-memory ring buffer during session: 60 minutes at 4Hz = 14,400 snapshots</w:t>
      </w:r>
    </w:p>
    <w:p>
      <w:pPr>
        <w:pStyle w:val="ListParagraph"/>
        <w:numPr>
          <w:ilvl w:val="0"/>
          <w:numId w:val="2"/>
        </w:numPr>
        <w:spacing w:before="40" w:after="60"/>
      </w:pPr>
      <w:r>
        <w:rPr>
          <w:rFonts w:ascii="Arial" w:cs="Arial" w:eastAsia="Arial" w:hAnsi="Arial"/>
          <w:color w:val="1A1A1A"/>
          <w:sz w:val="20"/>
          <w:szCs w:val="20"/>
        </w:rPr>
        <w:t xml:space="preserve">Event snapshots appended outside ring buffer cadence — not subject to eviction</w:t>
      </w:r>
    </w:p>
    <w:p>
      <w:pPr>
        <w:pStyle w:val="ListParagraph"/>
        <w:numPr>
          <w:ilvl w:val="0"/>
          <w:numId w:val="2"/>
        </w:numPr>
        <w:spacing w:before="40" w:after="60"/>
      </w:pPr>
      <w:r>
        <w:rPr>
          <w:rFonts w:ascii="Arial" w:cs="Arial" w:eastAsia="Arial" w:hAnsi="Arial"/>
          <w:color w:val="1A1A1A"/>
          <w:sz w:val="20"/>
          <w:szCs w:val="20"/>
        </w:rPr>
        <w:t xml:space="preserve">Export to JSON on session end or manual trigger: replay.tak-h.[sessionId].[timestamp].json</w:t>
      </w:r>
    </w:p>
    <w:p>
      <w:pPr>
        <w:pStyle w:val="ListParagraph"/>
        <w:numPr>
          <w:ilvl w:val="0"/>
          <w:numId w:val="2"/>
        </w:numPr>
        <w:spacing w:before="40" w:after="60"/>
      </w:pPr>
      <w:r>
        <w:rPr>
          <w:rFonts w:ascii="Arial" w:cs="Arial" w:eastAsia="Arial" w:hAnsi="Arial"/>
          <w:color w:val="1A1A1A"/>
          <w:sz w:val="20"/>
          <w:szCs w:val="20"/>
        </w:rPr>
        <w:t xml:space="preserve">Compressed with structuredClone + JSON.stringify — no external dependency</w:t>
      </w:r>
    </w:p>
    <w:p>
      <w:pPr>
        <w:spacing w:before="0" w:after="0"/>
      </w:pPr>
      <w:r>
        <w:t xml:space="preserve"/>
      </w:r>
    </w:p>
    <w:p>
      <w:pPr>
        <w:spacing w:before="60" w:after="100"/>
        <w:ind w:left="560"/>
      </w:pPr>
      <w:r>
        <w:rPr>
          <w:rFonts w:ascii="Arial" w:cs="Arial" w:eastAsia="Arial" w:hAnsi="Arial"/>
          <w:i/>
          <w:iCs/>
          <w:color w:val="888888"/>
          <w:sz w:val="18"/>
          <w:szCs w:val="18"/>
        </w:rPr>
        <w:t xml:space="preserve">Implementation target: ReplayCapture class in src/core/. Injected into TrackManager tick loop. Zero impact on render performance — capture runs on the same tick as order parameter calculation.</w:t>
      </w:r>
    </w:p>
    <w:p>
      <w:pPr>
        <w:spacing w:before="0" w:after="0"/>
      </w:pPr>
      <w:r>
        <w:t xml:space="preserve"/>
      </w:r>
    </w:p>
    <w:p>
      <w:pPr>
        <w:pStyle w:val="Heading2"/>
        <w:spacing w:before="320" w:after="120"/>
      </w:pPr>
      <w:r>
        <w:rPr>
          <w:rFonts w:ascii="Arial" w:cs="Arial" w:eastAsia="Arial" w:hAnsi="Arial"/>
          <w:b/>
          <w:bCs/>
          <w:color w:val="1B365D"/>
          <w:sz w:val="22"/>
          <w:szCs w:val="22"/>
        </w:rPr>
        <w:t xml:space="preserve">4.2 Playback Interface</w:t>
      </w:r>
    </w:p>
    <w:p>
      <w:pPr>
        <w:spacing w:before="60" w:after="100"/>
      </w:pPr>
      <w:r>
        <w:rPr>
          <w:rFonts w:ascii="Arial" w:cs="Arial" w:eastAsia="Arial" w:hAnsi="Arial"/>
          <w:color w:val="1A1A1A"/>
          <w:sz w:val="20"/>
          <w:szCs w:val="20"/>
        </w:rPr>
        <w:t xml:space="preserve">The playback interface is a separate panel mode, not a modal overlay. It replaces the live feed panels while active without modifying the 3D viewport renderer.</w:t>
      </w:r>
    </w:p>
    <w:p>
      <w:pPr>
        <w:spacing w:before="0" w:after="0"/>
      </w:pPr>
      <w:r>
        <w:t xml:space="preserve"/>
      </w:r>
    </w:p>
    <w:p>
      <w:pPr>
        <w:spacing w:before="240" w:after="80"/>
      </w:pPr>
      <w:r>
        <w:rPr>
          <w:rFonts w:ascii="Arial" w:cs="Arial" w:eastAsia="Arial" w:hAnsi="Arial"/>
          <w:b/>
          <w:bCs/>
          <w:color w:val="4A6FA5"/>
          <w:sz w:val="18"/>
          <w:szCs w:val="18"/>
        </w:rPr>
        <w:t xml:space="preserve">Transport Controls</w:t>
      </w:r>
    </w:p>
    <w:p>
      <w:pPr>
        <w:pStyle w:val="ListParagraph"/>
        <w:numPr>
          <w:ilvl w:val="0"/>
          <w:numId w:val="2"/>
        </w:numPr>
        <w:spacing w:before="40" w:after="60"/>
      </w:pPr>
      <w:r>
        <w:rPr>
          <w:rFonts w:ascii="Arial" w:cs="Arial" w:eastAsia="Arial" w:hAnsi="Arial"/>
          <w:color w:val="1A1A1A"/>
          <w:sz w:val="20"/>
          <w:szCs w:val="20"/>
        </w:rPr>
        <w:t xml:space="preserve">Scrub bar: full session timeline, tick marks at V-JEPA events (amber) and designation events (red)</w:t>
      </w:r>
    </w:p>
    <w:p>
      <w:pPr>
        <w:pStyle w:val="ListParagraph"/>
        <w:numPr>
          <w:ilvl w:val="0"/>
          <w:numId w:val="2"/>
        </w:numPr>
        <w:spacing w:before="40" w:after="60"/>
      </w:pPr>
      <w:r>
        <w:rPr>
          <w:rFonts w:ascii="Arial" w:cs="Arial" w:eastAsia="Arial" w:hAnsi="Arial"/>
          <w:color w:val="1A1A1A"/>
          <w:sz w:val="20"/>
          <w:szCs w:val="20"/>
        </w:rPr>
        <w:t xml:space="preserve">Playback speed: 0.25× / 0.5× / 1× / 2× / 4×</w:t>
      </w:r>
    </w:p>
    <w:p>
      <w:pPr>
        <w:pStyle w:val="ListParagraph"/>
        <w:numPr>
          <w:ilvl w:val="0"/>
          <w:numId w:val="2"/>
        </w:numPr>
        <w:spacing w:before="40" w:after="60"/>
      </w:pPr>
      <w:r>
        <w:rPr>
          <w:rFonts w:ascii="Arial" w:cs="Arial" w:eastAsia="Arial" w:hAnsi="Arial"/>
          <w:color w:val="1A1A1A"/>
          <w:sz w:val="20"/>
          <w:szCs w:val="20"/>
        </w:rPr>
        <w:t xml:space="preserve">Frame step: single snapshot forward / backward (keyboard: ← →)</w:t>
      </w:r>
    </w:p>
    <w:p>
      <w:pPr>
        <w:pStyle w:val="ListParagraph"/>
        <w:numPr>
          <w:ilvl w:val="0"/>
          <w:numId w:val="2"/>
        </w:numPr>
        <w:spacing w:before="40" w:after="60"/>
      </w:pPr>
      <w:r>
        <w:rPr>
          <w:rFonts w:ascii="Arial" w:cs="Arial" w:eastAsia="Arial" w:hAnsi="Arial"/>
          <w:color w:val="1A1A1A"/>
          <w:sz w:val="20"/>
          <w:szCs w:val="20"/>
        </w:rPr>
        <w:t xml:space="preserve">Jump to event: dropdown of all event-triggered captures with timestamp and event type</w:t>
      </w:r>
    </w:p>
    <w:p>
      <w:pPr>
        <w:spacing w:before="0" w:after="0"/>
      </w:pPr>
      <w:r>
        <w:t xml:space="preserve"/>
      </w:r>
    </w:p>
    <w:p>
      <w:pPr>
        <w:spacing w:before="240" w:after="80"/>
      </w:pPr>
      <w:r>
        <w:rPr>
          <w:rFonts w:ascii="Arial" w:cs="Arial" w:eastAsia="Arial" w:hAnsi="Arial"/>
          <w:b/>
          <w:bCs/>
          <w:color w:val="4A6FA5"/>
          <w:sz w:val="18"/>
          <w:szCs w:val="18"/>
        </w:rPr>
        <w:t xml:space="preserve">Viewport Reconstruction</w:t>
      </w:r>
    </w:p>
    <w:p>
      <w:pPr>
        <w:pStyle w:val="ListParagraph"/>
        <w:numPr>
          <w:ilvl w:val="0"/>
          <w:numId w:val="2"/>
        </w:numPr>
        <w:spacing w:before="40" w:after="60"/>
      </w:pPr>
      <w:r>
        <w:rPr>
          <w:rFonts w:ascii="Arial" w:cs="Arial" w:eastAsia="Arial" w:hAnsi="Arial"/>
          <w:color w:val="1A1A1A"/>
          <w:sz w:val="20"/>
          <w:szCs w:val="20"/>
        </w:rPr>
        <w:t xml:space="preserve">At each playback frame: restore TrackManager state from snapshot, re-render InstancedMesh positions and confidence attributes, restore EMCON shader aConfidence values, restore UPF cone geometry, restore V-JEPA gate visual state</w:t>
      </w:r>
    </w:p>
    <w:p>
      <w:pPr>
        <w:pStyle w:val="ListParagraph"/>
        <w:numPr>
          <w:ilvl w:val="0"/>
          <w:numId w:val="2"/>
        </w:numPr>
        <w:spacing w:before="40" w:after="60"/>
      </w:pPr>
      <w:r>
        <w:rPr>
          <w:rFonts w:ascii="Arial" w:cs="Arial" w:eastAsia="Arial" w:hAnsi="Arial"/>
          <w:color w:val="1A1A1A"/>
          <w:sz w:val="20"/>
          <w:szCs w:val="20"/>
        </w:rPr>
        <w:t xml:space="preserve">OpsLog panel shows entries up to playback timestamp — not full session log</w:t>
      </w:r>
    </w:p>
    <w:p>
      <w:pPr>
        <w:pStyle w:val="ListParagraph"/>
        <w:numPr>
          <w:ilvl w:val="0"/>
          <w:numId w:val="2"/>
        </w:numPr>
        <w:spacing w:before="40" w:after="60"/>
      </w:pPr>
      <w:r>
        <w:rPr>
          <w:rFonts w:ascii="Arial" w:cs="Arial" w:eastAsia="Arial" w:hAnsi="Arial"/>
          <w:color w:val="1A1A1A"/>
          <w:sz w:val="20"/>
          <w:szCs w:val="20"/>
        </w:rPr>
        <w:t xml:space="preserve">SWARM KINEMATICS panel shows historical order parameters at playback timestamp</w:t>
      </w:r>
    </w:p>
    <w:p>
      <w:pPr>
        <w:spacing w:before="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800"/>
      </w:tblGrid>
      <w:tr>
        <w:tc>
          <w:tcPr>
            <w:tcW w:type="dxa" w:w="16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REQ ID</w:t>
            </w:r>
          </w:p>
        </w:tc>
        <w:tc>
          <w:tcPr>
            <w:tcW w:type="dxa" w:w="44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REQUIREMENT</w:t>
            </w:r>
          </w:p>
        </w:tc>
        <w:tc>
          <w:tcPr>
            <w:tcW w:type="dxa" w:w="28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ACCEPTANCE CRITERIA</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REP-01</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 capture begins automatically on scenario load with no operator action required.</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OpsLog entry 'REPLAY CAPTURE ACTIVE' appears within 500ms of scenario load.</w:t>
            </w:r>
          </w:p>
        </w:tc>
      </w:tr>
      <w:tr>
        <w:tc>
          <w:tcPr>
            <w:tcW w:type="dxa" w:w="16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REP-02</w:t>
            </w:r>
          </w:p>
        </w:tc>
        <w:tc>
          <w:tcPr>
            <w:tcW w:type="dxa" w:w="4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V-JEPA onset and clear events are captured at exact timestamp, not interpolated to nearest tick.</w:t>
            </w:r>
          </w:p>
        </w:tc>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Playback scrub bar shows amber tick mark. Stepping to that frame shows gate state change in SWARM KINEMATICS panel.</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REP-03</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Designation decisions are reconstructable: which track, what confidence level, whether override was used.</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Stepping to designation frame shows correct track highlighted with correct confidence readout and any amber override warning.</w:t>
            </w:r>
          </w:p>
        </w:tc>
      </w:tr>
      <w:tr>
        <w:tc>
          <w:tcPr>
            <w:tcW w:type="dxa" w:w="16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REP-04</w:t>
            </w:r>
          </w:p>
        </w:tc>
        <w:tc>
          <w:tcPr>
            <w:tcW w:type="dxa" w:w="4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Playback speed changes do not drop frames or desync OpsLog from viewport.</w:t>
            </w:r>
          </w:p>
        </w:tc>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At 4× speed, OpsLog entries appear at correct playback timestamps relative to track state.</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REP-05</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Export produces a valid JSON file that can be re-imported in a fresh session.</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Imported replay file loads without error and produces identical playback to original session.</w:t>
            </w:r>
          </w:p>
        </w:tc>
      </w:tr>
    </w:tbl>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5. Phase 21 — Expanded Ghost-Track RF Profiles</w:t>
      </w:r>
    </w:p>
    <w:p>
      <w:pPr>
        <w:spacing w:before="60" w:after="100"/>
      </w:pPr>
      <w:r>
        <w:rPr>
          <w:rFonts w:ascii="Arial" w:cs="Arial" w:eastAsia="Arial" w:hAnsi="Arial"/>
          <w:color w:val="1A1A1A"/>
          <w:sz w:val="20"/>
          <w:szCs w:val="20"/>
        </w:rPr>
        <w:t xml:space="preserve">Current SIGINT ghost track injection simulates a single spoofing modality: synthetic low-confidence tracks with non-kinematic position jumps. Real-world electronic deception operates across multiple RF signature families with different temporal signatures, decay behaviors, and operator recognition patterns.</w:t>
      </w:r>
    </w:p>
    <w:p>
      <w:pPr>
        <w:spacing w:before="60" w:after="100"/>
      </w:pPr>
      <w:r>
        <w:rPr>
          <w:rFonts w:ascii="Arial" w:cs="Arial" w:eastAsia="Arial" w:hAnsi="Arial"/>
          <w:color w:val="1A1A1A"/>
          <w:sz w:val="20"/>
          <w:szCs w:val="20"/>
        </w:rPr>
        <w:t xml:space="preserve">Phase 21 expands the ghost-track system to three RF profile families and adds timed spoof windows with operator training presets.</w:t>
      </w:r>
    </w:p>
    <w:p>
      <w:pPr>
        <w:spacing w:before="0" w:after="0"/>
      </w:pPr>
      <w:r>
        <w:t xml:space="preserve"/>
      </w:r>
    </w:p>
    <w:p>
      <w:pPr>
        <w:pStyle w:val="Heading2"/>
        <w:spacing w:before="320" w:after="120"/>
      </w:pPr>
      <w:r>
        <w:rPr>
          <w:rFonts w:ascii="Arial" w:cs="Arial" w:eastAsia="Arial" w:hAnsi="Arial"/>
          <w:b/>
          <w:bCs/>
          <w:color w:val="1B365D"/>
          <w:sz w:val="22"/>
          <w:szCs w:val="22"/>
        </w:rPr>
        <w:t xml:space="preserve">5.1 RF Profile Families</w:t>
      </w:r>
    </w:p>
    <w:p>
      <w:pPr>
        <w:spacing w:before="0" w:after="0"/>
      </w:pPr>
      <w:r>
        <w:t xml:space="preserve"/>
      </w:r>
    </w:p>
    <w:p>
      <w:pPr>
        <w:spacing w:before="240" w:after="80"/>
      </w:pPr>
      <w:r>
        <w:rPr>
          <w:rFonts w:ascii="Arial" w:cs="Arial" w:eastAsia="Arial" w:hAnsi="Arial"/>
          <w:b/>
          <w:bCs/>
          <w:color w:val="4A6FA5"/>
          <w:sz w:val="18"/>
          <w:szCs w:val="18"/>
        </w:rPr>
        <w:t xml:space="preserve">PROFILE A — Continuous Low-Power Emission (CLPE)</w:t>
      </w:r>
    </w:p>
    <w:p>
      <w:pPr>
        <w:spacing w:before="60" w:after="100"/>
      </w:pPr>
      <w:r>
        <w:rPr>
          <w:rFonts w:ascii="Arial" w:cs="Arial" w:eastAsia="Arial" w:hAnsi="Arial"/>
          <w:color w:val="1A1A1A"/>
          <w:sz w:val="20"/>
          <w:szCs w:val="20"/>
        </w:rPr>
        <w:t xml:space="preserve">Simulates a persistent low-confidence emitter that does not jump but drifts. Confidence oscillates between 0.25 and 0.45 on a 30–60 second cycle. Position updates arrive at 0.5Hz instead of the standard 2Hz. Visual signature: slow alpha pulse, position updates visibly lag heading vector.</w:t>
      </w:r>
    </w:p>
    <w:p>
      <w:pPr>
        <w:pStyle w:val="ListParagraph"/>
        <w:numPr>
          <w:ilvl w:val="0"/>
          <w:numId w:val="2"/>
        </w:numPr>
        <w:spacing w:before="40" w:after="60"/>
      </w:pPr>
      <w:r>
        <w:rPr>
          <w:rFonts w:ascii="Arial" w:cs="Arial" w:eastAsia="Arial" w:hAnsi="Arial"/>
          <w:color w:val="1A1A1A"/>
          <w:sz w:val="20"/>
          <w:szCs w:val="20"/>
        </w:rPr>
        <w:t xml:space="preserve">Intended operator recognition failure mode: treated as a valid but degraded track rather than a spoof.</w:t>
      </w:r>
    </w:p>
    <w:p>
      <w:pPr>
        <w:pStyle w:val="ListParagraph"/>
        <w:numPr>
          <w:ilvl w:val="0"/>
          <w:numId w:val="2"/>
        </w:numPr>
        <w:spacing w:before="40" w:after="60"/>
      </w:pPr>
      <w:r>
        <w:rPr>
          <w:rFonts w:ascii="Arial" w:cs="Arial" w:eastAsia="Arial" w:hAnsi="Arial"/>
          <w:color w:val="1A1A1A"/>
          <w:sz w:val="20"/>
          <w:szCs w:val="20"/>
        </w:rPr>
        <w:t xml:space="preserve">Training objective: operators learn to identify the confidence oscillation signature as synthetic.</w:t>
      </w:r>
    </w:p>
    <w:p>
      <w:pPr>
        <w:spacing w:before="0" w:after="0"/>
      </w:pPr>
      <w:r>
        <w:t xml:space="preserve"/>
      </w:r>
    </w:p>
    <w:p>
      <w:pPr>
        <w:spacing w:before="240" w:after="80"/>
      </w:pPr>
      <w:r>
        <w:rPr>
          <w:rFonts w:ascii="Arial" w:cs="Arial" w:eastAsia="Arial" w:hAnsi="Arial"/>
          <w:b/>
          <w:bCs/>
          <w:color w:val="4A6FA5"/>
          <w:sz w:val="18"/>
          <w:szCs w:val="18"/>
        </w:rPr>
        <w:t xml:space="preserve">PROFILE B — Burst Emission (BRST)</w:t>
      </w:r>
    </w:p>
    <w:p>
      <w:pPr>
        <w:spacing w:before="60" w:after="100"/>
      </w:pPr>
      <w:r>
        <w:rPr>
          <w:rFonts w:ascii="Arial" w:cs="Arial" w:eastAsia="Arial" w:hAnsi="Arial"/>
          <w:color w:val="1A1A1A"/>
          <w:sz w:val="20"/>
          <w:szCs w:val="20"/>
        </w:rPr>
        <w:t xml:space="preserve">Simulates a decoy that emits in timed bursts and goes silent. Position injections arrive in clusters of 3–7 updates over 4–8 seconds, then silence for 20–40 seconds. During silence the track decays per standard EMCON alpha-decay. Confidence during burst: 0.35–0.55. Visual signature: rapid position updates followed by visible decay.</w:t>
      </w:r>
    </w:p>
    <w:p>
      <w:pPr>
        <w:pStyle w:val="ListParagraph"/>
        <w:numPr>
          <w:ilvl w:val="0"/>
          <w:numId w:val="2"/>
        </w:numPr>
        <w:spacing w:before="40" w:after="60"/>
      </w:pPr>
      <w:r>
        <w:rPr>
          <w:rFonts w:ascii="Arial" w:cs="Arial" w:eastAsia="Arial" w:hAnsi="Arial"/>
          <w:color w:val="1A1A1A"/>
          <w:sz w:val="20"/>
          <w:szCs w:val="20"/>
        </w:rPr>
        <w:t xml:space="preserve">Intended operator recognition failure mode: burst window creates momentary urgency that drives premature designation.</w:t>
      </w:r>
    </w:p>
    <w:p>
      <w:pPr>
        <w:pStyle w:val="ListParagraph"/>
        <w:numPr>
          <w:ilvl w:val="0"/>
          <w:numId w:val="2"/>
        </w:numPr>
        <w:spacing w:before="40" w:after="60"/>
      </w:pPr>
      <w:r>
        <w:rPr>
          <w:rFonts w:ascii="Arial" w:cs="Arial" w:eastAsia="Arial" w:hAnsi="Arial"/>
          <w:color w:val="1A1A1A"/>
          <w:sz w:val="20"/>
          <w:szCs w:val="20"/>
        </w:rPr>
        <w:t xml:space="preserve">Training objective: operators learn to wait for burst completion before acting on BRST-class tracks.</w:t>
      </w:r>
    </w:p>
    <w:p>
      <w:pPr>
        <w:spacing w:before="0" w:after="0"/>
      </w:pPr>
      <w:r>
        <w:t xml:space="preserve"/>
      </w:r>
    </w:p>
    <w:p>
      <w:pPr>
        <w:spacing w:before="240" w:after="80"/>
      </w:pPr>
      <w:r>
        <w:rPr>
          <w:rFonts w:ascii="Arial" w:cs="Arial" w:eastAsia="Arial" w:hAnsi="Arial"/>
          <w:b/>
          <w:bCs/>
          <w:color w:val="4A6FA5"/>
          <w:sz w:val="18"/>
          <w:szCs w:val="18"/>
        </w:rPr>
        <w:t xml:space="preserve">PROFILE C — Kinematic Spoof (KMSP)</w:t>
      </w:r>
    </w:p>
    <w:p>
      <w:pPr>
        <w:spacing w:before="60" w:after="100"/>
      </w:pPr>
      <w:r>
        <w:rPr>
          <w:rFonts w:ascii="Arial" w:cs="Arial" w:eastAsia="Arial" w:hAnsi="Arial"/>
          <w:color w:val="1A1A1A"/>
          <w:sz w:val="20"/>
          <w:szCs w:val="20"/>
        </w:rPr>
        <w:t xml:space="preserve">Current behavior extended and formalized. Non-kinematic position jumps of 2–12km per update. Confidence 0.2–0.5. Jump vectors do not follow a consistent heading. Visual signature: erratic track history line.</w:t>
      </w:r>
    </w:p>
    <w:p>
      <w:pPr>
        <w:pStyle w:val="ListParagraph"/>
        <w:numPr>
          <w:ilvl w:val="0"/>
          <w:numId w:val="2"/>
        </w:numPr>
        <w:spacing w:before="40" w:after="60"/>
      </w:pPr>
      <w:r>
        <w:rPr>
          <w:rFonts w:ascii="Arial" w:cs="Arial" w:eastAsia="Arial" w:hAnsi="Arial"/>
          <w:color w:val="1A1A1A"/>
          <w:sz w:val="20"/>
          <w:szCs w:val="20"/>
        </w:rPr>
        <w:t xml:space="preserve">Confidence hard-capped at 0.5 — designation block remains active for all KMSP tracks.</w:t>
      </w:r>
    </w:p>
    <w:p>
      <w:pPr>
        <w:pStyle w:val="ListParagraph"/>
        <w:numPr>
          <w:ilvl w:val="0"/>
          <w:numId w:val="2"/>
        </w:numPr>
        <w:spacing w:before="40" w:after="60"/>
      </w:pPr>
      <w:r>
        <w:rPr>
          <w:rFonts w:ascii="Arial" w:cs="Arial" w:eastAsia="Arial" w:hAnsi="Arial"/>
          <w:color w:val="1A1A1A"/>
          <w:sz w:val="20"/>
          <w:szCs w:val="20"/>
        </w:rPr>
        <w:t xml:space="preserve">Training objective: operators learn to identify non-kinematic jump signatures as synthetic regardless of apparent threat geometry.</w:t>
      </w:r>
    </w:p>
    <w:p>
      <w:pPr>
        <w:spacing w:before="0" w:after="0"/>
      </w:pPr>
      <w:r>
        <w:t xml:space="preserve"/>
      </w:r>
    </w:p>
    <w:p>
      <w:pPr>
        <w:pStyle w:val="Heading2"/>
        <w:spacing w:before="320" w:after="120"/>
      </w:pPr>
      <w:r>
        <w:rPr>
          <w:rFonts w:ascii="Arial" w:cs="Arial" w:eastAsia="Arial" w:hAnsi="Arial"/>
          <w:b/>
          <w:bCs/>
          <w:color w:val="1B365D"/>
          <w:sz w:val="22"/>
          <w:szCs w:val="22"/>
        </w:rPr>
        <w:t xml:space="preserve">5.2 Timed Spoof Windows</w:t>
      </w:r>
    </w:p>
    <w:p>
      <w:pPr>
        <w:spacing w:before="60" w:after="100"/>
      </w:pPr>
      <w:r>
        <w:rPr>
          <w:rFonts w:ascii="Arial" w:cs="Arial" w:eastAsia="Arial" w:hAnsi="Arial"/>
          <w:color w:val="1A1A1A"/>
          <w:sz w:val="20"/>
          <w:szCs w:val="20"/>
        </w:rPr>
        <w:t xml:space="preserve">Spoof injection now operates on configurable time windows rather than continuous injection. Each window has a profile assignment, start offset, duration, track count, and spatial anchor.</w:t>
      </w:r>
    </w:p>
    <w:p>
      <w:pPr>
        <w:spacing w:before="0" w:after="0"/>
      </w:pPr>
      <w:r>
        <w:t xml:space="preserve"/>
      </w:r>
    </w:p>
    <w:p>
      <w:pPr>
        <w:pStyle w:val="ListParagraph"/>
        <w:numPr>
          <w:ilvl w:val="0"/>
          <w:numId w:val="2"/>
        </w:numPr>
        <w:spacing w:before="40" w:after="60"/>
      </w:pPr>
      <w:r>
        <w:rPr>
          <w:rFonts w:ascii="Arial" w:cs="Arial" w:eastAsia="Arial" w:hAnsi="Arial"/>
          <w:color w:val="1A1A1A"/>
          <w:sz w:val="20"/>
          <w:szCs w:val="20"/>
        </w:rPr>
        <w:t xml:space="preserve">Window schema: { profile: 'CLPE'|'BRST'|'KMSP', startOffsetSec: number, durationSec: number, trackCount: number, anchorX: number, anchorY: number, spreadKm: number }</w:t>
      </w:r>
    </w:p>
    <w:p>
      <w:pPr>
        <w:pStyle w:val="ListParagraph"/>
        <w:numPr>
          <w:ilvl w:val="0"/>
          <w:numId w:val="2"/>
        </w:numPr>
        <w:spacing w:before="40" w:after="60"/>
      </w:pPr>
      <w:r>
        <w:rPr>
          <w:rFonts w:ascii="Arial" w:cs="Arial" w:eastAsia="Arial" w:hAnsi="Arial"/>
          <w:color w:val="1A1A1A"/>
          <w:sz w:val="20"/>
          <w:szCs w:val="20"/>
        </w:rPr>
        <w:t xml:space="preserve">Windows are defined in scenario files alongside kinematic Boids parameters</w:t>
      </w:r>
    </w:p>
    <w:p>
      <w:pPr>
        <w:pStyle w:val="ListParagraph"/>
        <w:numPr>
          <w:ilvl w:val="0"/>
          <w:numId w:val="2"/>
        </w:numPr>
        <w:spacing w:before="40" w:after="60"/>
      </w:pPr>
      <w:r>
        <w:rPr>
          <w:rFonts w:ascii="Arial" w:cs="Arial" w:eastAsia="Arial" w:hAnsi="Arial"/>
          <w:color w:val="1A1A1A"/>
          <w:sz w:val="20"/>
          <w:szCs w:val="20"/>
        </w:rPr>
        <w:t xml:space="preserve">OpsLog records spoof window start and end events with profile type (visible in replay)</w:t>
      </w:r>
    </w:p>
    <w:p>
      <w:pPr>
        <w:pStyle w:val="ListParagraph"/>
        <w:numPr>
          <w:ilvl w:val="0"/>
          <w:numId w:val="2"/>
        </w:numPr>
        <w:spacing w:before="40" w:after="60"/>
      </w:pPr>
      <w:r>
        <w:rPr>
          <w:rFonts w:ascii="Arial" w:cs="Arial" w:eastAsia="Arial" w:hAnsi="Arial"/>
          <w:color w:val="1A1A1A"/>
          <w:sz w:val="20"/>
          <w:szCs w:val="20"/>
        </w:rPr>
        <w:t xml:space="preserve">Instructor panel exposes window configuration for manual injection during live sessions</w:t>
      </w:r>
    </w:p>
    <w:p>
      <w:pPr>
        <w:spacing w:before="0" w:after="0"/>
      </w:pPr>
      <w:r>
        <w:t xml:space="preserve"/>
      </w:r>
    </w:p>
    <w:p>
      <w:pPr>
        <w:pStyle w:val="Heading2"/>
        <w:spacing w:before="320" w:after="120"/>
      </w:pPr>
      <w:r>
        <w:rPr>
          <w:rFonts w:ascii="Arial" w:cs="Arial" w:eastAsia="Arial" w:hAnsi="Arial"/>
          <w:b/>
          <w:bCs/>
          <w:color w:val="1B365D"/>
          <w:sz w:val="22"/>
          <w:szCs w:val="22"/>
        </w:rPr>
        <w:t xml:space="preserve">5.3 Operator Training Presets</w:t>
      </w:r>
    </w:p>
    <w:p>
      <w:pPr>
        <w:spacing w:before="60" w:after="100"/>
      </w:pPr>
      <w:r>
        <w:rPr>
          <w:rFonts w:ascii="Arial" w:cs="Arial" w:eastAsia="Arial" w:hAnsi="Arial"/>
          <w:color w:val="1A1A1A"/>
          <w:sz w:val="20"/>
          <w:szCs w:val="20"/>
        </w:rPr>
        <w:t xml:space="preserve">Three scenario presets exercise the ghost-track recognition curriculum in sequence.</w:t>
      </w:r>
    </w:p>
    <w:p>
      <w:pPr>
        <w:spacing w:before="0" w:after="0"/>
      </w:pPr>
      <w:r>
        <w:t xml:space="preserve"/>
      </w:r>
    </w:p>
    <w:p>
      <w:pPr>
        <w:pStyle w:val="ListParagraph"/>
        <w:numPr>
          <w:ilvl w:val="0"/>
          <w:numId w:val="2"/>
        </w:numPr>
        <w:spacing w:before="40" w:after="60"/>
      </w:pPr>
      <w:r>
        <w:rPr>
          <w:rFonts w:ascii="Arial" w:cs="Arial" w:eastAsia="Arial" w:hAnsi="Arial"/>
          <w:color w:val="1A1A1A"/>
          <w:sz w:val="20"/>
          <w:szCs w:val="20"/>
        </w:rPr>
        <w:t xml:space="preserve">PRESET 1 — SINGLE VECTOR: One CLPE track injected near a genuine hostile cluster. No Boids swarm active. Objective: identify the CLPE signature without swarm cognitive load.</w:t>
      </w:r>
    </w:p>
    <w:p>
      <w:pPr>
        <w:pStyle w:val="ListParagraph"/>
        <w:numPr>
          <w:ilvl w:val="0"/>
          <w:numId w:val="2"/>
        </w:numPr>
        <w:spacing w:before="40" w:after="60"/>
      </w:pPr>
      <w:r>
        <w:rPr>
          <w:rFonts w:ascii="Arial" w:cs="Arial" w:eastAsia="Arial" w:hAnsi="Arial"/>
          <w:color w:val="1A1A1A"/>
          <w:sz w:val="20"/>
          <w:szCs w:val="20"/>
        </w:rPr>
        <w:t xml:space="preserve">PRESET 2 — BURST UNDER PRESSURE: BRST injection timed to coincide with V-JEPA gate onset. Objective: resist designation during burst window while managing swarm fracture advisory.</w:t>
      </w:r>
    </w:p>
    <w:p>
      <w:pPr>
        <w:pStyle w:val="ListParagraph"/>
        <w:numPr>
          <w:ilvl w:val="0"/>
          <w:numId w:val="2"/>
        </w:numPr>
        <w:spacing w:before="40" w:after="60"/>
      </w:pPr>
      <w:r>
        <w:rPr>
          <w:rFonts w:ascii="Arial" w:cs="Arial" w:eastAsia="Arial" w:hAnsi="Arial"/>
          <w:color w:val="1A1A1A"/>
          <w:sz w:val="20"/>
          <w:szCs w:val="20"/>
        </w:rPr>
        <w:t xml:space="preserve">PRESET 3 — MIXED ENVIRONMENT: All three profiles active simultaneously, Boids swarm at full density. Objective: maintain zero false-positive designations across a full 10-minute scenario.</w:t>
      </w:r>
    </w:p>
    <w:p>
      <w:pPr>
        <w:spacing w:before="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800"/>
      </w:tblGrid>
      <w:tr>
        <w:tc>
          <w:tcPr>
            <w:tcW w:type="dxa" w:w="16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REQ ID</w:t>
            </w:r>
          </w:p>
        </w:tc>
        <w:tc>
          <w:tcPr>
            <w:tcW w:type="dxa" w:w="44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REQUIREMENT</w:t>
            </w:r>
          </w:p>
        </w:tc>
        <w:tc>
          <w:tcPr>
            <w:tcW w:type="dxa" w:w="28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ACCEPTANCE CRITERIA</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RF-01</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Profile type is rendered as a distinct visual signature distinguishable from kinematic tracks without text labels.</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Observer can identify CLPE, BRST, and KMSP tracks from visual signature alone in user test with 80% accuracy at 60 seconds.</w:t>
            </w:r>
          </w:p>
        </w:tc>
      </w:tr>
      <w:tr>
        <w:tc>
          <w:tcPr>
            <w:tcW w:type="dxa" w:w="16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RF-02</w:t>
            </w:r>
          </w:p>
        </w:tc>
        <w:tc>
          <w:tcPr>
            <w:tcW w:type="dxa" w:w="4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Designation block is enforced for all ghost-track profiles regardless of momentary confidence spike.</w:t>
            </w:r>
          </w:p>
        </w:tc>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Clicking any ghost track during a BRST confidence spike produces amber guardrail warning, not designation initiation.</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RF-03</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OpsLog records profile type for every ghost-track event.</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Replay of PRESET 2 shows BRST window open/close events in OpsLog with timestamp.</w:t>
            </w:r>
          </w:p>
        </w:tc>
      </w:tr>
      <w:tr>
        <w:tc>
          <w:tcPr>
            <w:tcW w:type="dxa" w:w="16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RF-04</w:t>
            </w:r>
          </w:p>
        </w:tc>
        <w:tc>
          <w:tcPr>
            <w:tcW w:type="dxa" w:w="4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Spoof windows are configurable in scenario files with no code change.</w:t>
            </w:r>
          </w:p>
        </w:tc>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window definition added to scenario JSON loads and executes without source modification.</w:t>
            </w:r>
          </w:p>
        </w:tc>
      </w:tr>
    </w:tbl>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6. Phase 22 — Automated Scenario Tests</w:t>
      </w:r>
    </w:p>
    <w:p>
      <w:pPr>
        <w:spacing w:before="60" w:after="100"/>
      </w:pPr>
      <w:r>
        <w:rPr>
          <w:rFonts w:ascii="Arial" w:cs="Arial" w:eastAsia="Arial" w:hAnsi="Arial"/>
          <w:color w:val="1A1A1A"/>
          <w:sz w:val="20"/>
          <w:szCs w:val="20"/>
        </w:rPr>
        <w:t xml:space="preserve">TAK-H has no automated test coverage. All validation is manual. This is acceptable for exploratory development phases but creates regression risk as the system approaches training use. Phase 22 introduces browser-level scenario tests for the three highest-risk legibility subsystems.</w:t>
      </w:r>
    </w:p>
    <w:p>
      <w:pPr>
        <w:spacing w:before="0" w:after="0"/>
      </w:pPr>
      <w:r>
        <w:t xml:space="preserve"/>
      </w:r>
    </w:p>
    <w:p>
      <w:pPr>
        <w:pStyle w:val="Heading2"/>
        <w:spacing w:before="320" w:after="120"/>
      </w:pPr>
      <w:r>
        <w:rPr>
          <w:rFonts w:ascii="Arial" w:cs="Arial" w:eastAsia="Arial" w:hAnsi="Arial"/>
          <w:b/>
          <w:bCs/>
          <w:color w:val="1B365D"/>
          <w:sz w:val="22"/>
          <w:szCs w:val="22"/>
        </w:rPr>
        <w:t xml:space="preserve">6.1 Test Architecture</w:t>
      </w:r>
    </w:p>
    <w:p>
      <w:pPr>
        <w:spacing w:before="60" w:after="100"/>
      </w:pPr>
      <w:r>
        <w:rPr>
          <w:rFonts w:ascii="Arial" w:cs="Arial" w:eastAsia="Arial" w:hAnsi="Arial"/>
          <w:color w:val="1A1A1A"/>
          <w:sz w:val="20"/>
          <w:szCs w:val="20"/>
        </w:rPr>
        <w:t xml:space="preserve">Tests run in Playwright against a headless Chromium instance. Each test loads a deterministic scenario seed, runs the simulation for a fixed duration, and asserts on observable state via DOM queries and captured OpsLog entries. No mocking of Three.js internals.</w:t>
      </w:r>
    </w:p>
    <w:p>
      <w:pPr>
        <w:spacing w:before="0" w:after="0"/>
      </w:pPr>
      <w:r>
        <w:t xml:space="preserve"/>
      </w:r>
    </w:p>
    <w:p>
      <w:pPr>
        <w:pStyle w:val="ListParagraph"/>
        <w:numPr>
          <w:ilvl w:val="0"/>
          <w:numId w:val="2"/>
        </w:numPr>
        <w:spacing w:before="40" w:after="60"/>
      </w:pPr>
      <w:r>
        <w:rPr>
          <w:rFonts w:ascii="Arial" w:cs="Arial" w:eastAsia="Arial" w:hAnsi="Arial"/>
          <w:color w:val="1A1A1A"/>
          <w:sz w:val="20"/>
          <w:szCs w:val="20"/>
        </w:rPr>
        <w:t xml:space="preserve">Test runner: Playwright 1.40+</w:t>
      </w:r>
    </w:p>
    <w:p>
      <w:pPr>
        <w:pStyle w:val="ListParagraph"/>
        <w:numPr>
          <w:ilvl w:val="0"/>
          <w:numId w:val="2"/>
        </w:numPr>
        <w:spacing w:before="40" w:after="60"/>
      </w:pPr>
      <w:r>
        <w:rPr>
          <w:rFonts w:ascii="Arial" w:cs="Arial" w:eastAsia="Arial" w:hAnsi="Arial"/>
          <w:color w:val="1A1A1A"/>
          <w:sz w:val="20"/>
          <w:szCs w:val="20"/>
        </w:rPr>
        <w:t xml:space="preserve">Entry point: tests/ directory at repo root</w:t>
      </w:r>
    </w:p>
    <w:p>
      <w:pPr>
        <w:pStyle w:val="ListParagraph"/>
        <w:numPr>
          <w:ilvl w:val="0"/>
          <w:numId w:val="2"/>
        </w:numPr>
        <w:spacing w:before="40" w:after="60"/>
      </w:pPr>
      <w:r>
        <w:rPr>
          <w:rFonts w:ascii="Arial" w:cs="Arial" w:eastAsia="Arial" w:hAnsi="Arial"/>
          <w:color w:val="1A1A1A"/>
          <w:sz w:val="20"/>
          <w:szCs w:val="20"/>
        </w:rPr>
        <w:t xml:space="preserve">Scenario seeds: deterministic RNG seed passed to TrackManager constructor via URL parameter (?seed=N)</w:t>
      </w:r>
    </w:p>
    <w:p>
      <w:pPr>
        <w:pStyle w:val="ListParagraph"/>
        <w:numPr>
          <w:ilvl w:val="0"/>
          <w:numId w:val="2"/>
        </w:numPr>
        <w:spacing w:before="40" w:after="60"/>
      </w:pPr>
      <w:r>
        <w:rPr>
          <w:rFonts w:ascii="Arial" w:cs="Arial" w:eastAsia="Arial" w:hAnsi="Arial"/>
          <w:color w:val="1A1A1A"/>
          <w:sz w:val="20"/>
          <w:szCs w:val="20"/>
        </w:rPr>
        <w:t xml:space="preserve">All tests run headless; CI-compatible</w:t>
      </w:r>
    </w:p>
    <w:p>
      <w:pPr>
        <w:spacing w:before="0" w:after="0"/>
      </w:pPr>
      <w:r>
        <w:t xml:space="preserve"/>
      </w:r>
    </w:p>
    <w:p>
      <w:pPr>
        <w:pStyle w:val="Heading2"/>
        <w:spacing w:before="320" w:after="120"/>
      </w:pPr>
      <w:r>
        <w:rPr>
          <w:rFonts w:ascii="Arial" w:cs="Arial" w:eastAsia="Arial" w:hAnsi="Arial"/>
          <w:b/>
          <w:bCs/>
          <w:color w:val="1B365D"/>
          <w:sz w:val="22"/>
          <w:szCs w:val="22"/>
        </w:rPr>
        <w:t xml:space="preserve">6.2 Test Suite Specification</w:t>
      </w:r>
    </w:p>
    <w:p>
      <w:pPr>
        <w:spacing w:before="0" w:after="0"/>
      </w:pPr>
      <w:r>
        <w:t xml:space="preserve"/>
      </w:r>
    </w:p>
    <w:p>
      <w:pPr>
        <w:spacing w:before="240" w:after="80"/>
      </w:pPr>
      <w:r>
        <w:rPr>
          <w:rFonts w:ascii="Arial" w:cs="Arial" w:eastAsia="Arial" w:hAnsi="Arial"/>
          <w:b/>
          <w:bCs/>
          <w:color w:val="4A6FA5"/>
          <w:sz w:val="18"/>
          <w:szCs w:val="18"/>
        </w:rPr>
        <w:t xml:space="preserve">Suite 1 — V-JEPA Gate</w:t>
      </w:r>
    </w:p>
    <w:p>
      <w:pPr>
        <w:pStyle w:val="ListParagraph"/>
        <w:numPr>
          <w:ilvl w:val="0"/>
          <w:numId w:val="2"/>
        </w:numPr>
        <w:spacing w:before="40" w:after="60"/>
      </w:pPr>
      <w:r>
        <w:rPr>
          <w:rFonts w:ascii="Arial" w:cs="Arial" w:eastAsia="Arial" w:hAnsi="Arial"/>
          <w:color w:val="1A1A1A"/>
          <w:sz w:val="20"/>
          <w:szCs w:val="20"/>
        </w:rPr>
        <w:t xml:space="preserve">TEST-VJEPA-01: Gate fires when cohesion &lt;= 0.05, milling &gt;= 0.40, activeCount &gt; 100. Assert: amber advisory visible in Recommended Actions panel within 500ms of threshold crossing.</w:t>
      </w:r>
    </w:p>
    <w:p>
      <w:pPr>
        <w:pStyle w:val="ListParagraph"/>
        <w:numPr>
          <w:ilvl w:val="0"/>
          <w:numId w:val="2"/>
        </w:numPr>
        <w:spacing w:before="40" w:after="60"/>
      </w:pPr>
      <w:r>
        <w:rPr>
          <w:rFonts w:ascii="Arial" w:cs="Arial" w:eastAsia="Arial" w:hAnsi="Arial"/>
          <w:color w:val="1A1A1A"/>
          <w:sz w:val="20"/>
          <w:szCs w:val="20"/>
        </w:rPr>
        <w:t xml:space="preserve">TEST-VJEPA-02: Gate clears when conditions no longer met. Assert: advisory disappears, no residual amber state in panel.</w:t>
      </w:r>
    </w:p>
    <w:p>
      <w:pPr>
        <w:pStyle w:val="ListParagraph"/>
        <w:numPr>
          <w:ilvl w:val="0"/>
          <w:numId w:val="2"/>
        </w:numPr>
        <w:spacing w:before="40" w:after="60"/>
      </w:pPr>
      <w:r>
        <w:rPr>
          <w:rFonts w:ascii="Arial" w:cs="Arial" w:eastAsia="Arial" w:hAnsi="Arial"/>
          <w:color w:val="1A1A1A"/>
          <w:sz w:val="20"/>
          <w:szCs w:val="20"/>
        </w:rPr>
        <w:t xml:space="preserve">TEST-VJEPA-03: Gate advisory supersedes generic decoy guidance. Assert: V-JEPA entry appears above any active decoy guidance entries in Recommended Actions panel.</w:t>
      </w:r>
    </w:p>
    <w:p>
      <w:pPr>
        <w:pStyle w:val="ListParagraph"/>
        <w:numPr>
          <w:ilvl w:val="0"/>
          <w:numId w:val="2"/>
        </w:numPr>
        <w:spacing w:before="40" w:after="60"/>
      </w:pPr>
      <w:r>
        <w:rPr>
          <w:rFonts w:ascii="Arial" w:cs="Arial" w:eastAsia="Arial" w:hAnsi="Arial"/>
          <w:color w:val="1A1A1A"/>
          <w:sz w:val="20"/>
          <w:szCs w:val="20"/>
        </w:rPr>
        <w:t xml:space="preserve">TEST-VJEPA-04: Gate onset captured in replay at exact timestamp. Assert: replay JSON contains vejpaGate.onset within 50ms of DOM advisory appearance.</w:t>
      </w:r>
    </w:p>
    <w:p>
      <w:pPr>
        <w:spacing w:before="0" w:after="0"/>
      </w:pPr>
      <w:r>
        <w:t xml:space="preserve"/>
      </w:r>
    </w:p>
    <w:p>
      <w:pPr>
        <w:spacing w:before="240" w:after="80"/>
      </w:pPr>
      <w:r>
        <w:rPr>
          <w:rFonts w:ascii="Arial" w:cs="Arial" w:eastAsia="Arial" w:hAnsi="Arial"/>
          <w:b/>
          <w:bCs/>
          <w:color w:val="4A6FA5"/>
          <w:sz w:val="18"/>
          <w:szCs w:val="18"/>
        </w:rPr>
        <w:t xml:space="preserve">Suite 2 — UPF Candidate Resolution</w:t>
      </w:r>
    </w:p>
    <w:p>
      <w:pPr>
        <w:pStyle w:val="ListParagraph"/>
        <w:numPr>
          <w:ilvl w:val="0"/>
          <w:numId w:val="2"/>
        </w:numPr>
        <w:spacing w:before="40" w:after="60"/>
      </w:pPr>
      <w:r>
        <w:rPr>
          <w:rFonts w:ascii="Arial" w:cs="Arial" w:eastAsia="Arial" w:hAnsi="Arial"/>
          <w:color w:val="1A1A1A"/>
          <w:sz w:val="20"/>
          <w:szCs w:val="20"/>
        </w:rPr>
        <w:t xml:space="preserve">TEST-UPF-01: Highest-confidence track within cone is promoted to primary. Assert: amber pulsing hex-bracket appears on correct track ID.</w:t>
      </w:r>
    </w:p>
    <w:p>
      <w:pPr>
        <w:pStyle w:val="ListParagraph"/>
        <w:numPr>
          <w:ilvl w:val="0"/>
          <w:numId w:val="2"/>
        </w:numPr>
        <w:spacing w:before="40" w:after="60"/>
      </w:pPr>
      <w:r>
        <w:rPr>
          <w:rFonts w:ascii="Arial" w:cs="Arial" w:eastAsia="Arial" w:hAnsi="Arial"/>
          <w:color w:val="1A1A1A"/>
          <w:sz w:val="20"/>
          <w:szCs w:val="20"/>
        </w:rPr>
        <w:t xml:space="preserve">TEST-UPF-02: Non-primary candidates are dampened. Assert: non-primary tracks within cone have reduced opacity relative to baseline.</w:t>
      </w:r>
    </w:p>
    <w:p>
      <w:pPr>
        <w:pStyle w:val="ListParagraph"/>
        <w:numPr>
          <w:ilvl w:val="0"/>
          <w:numId w:val="2"/>
        </w:numPr>
        <w:spacing w:before="40" w:after="60"/>
      </w:pPr>
      <w:r>
        <w:rPr>
          <w:rFonts w:ascii="Arial" w:cs="Arial" w:eastAsia="Arial" w:hAnsi="Arial"/>
          <w:color w:val="1A1A1A"/>
          <w:sz w:val="20"/>
          <w:szCs w:val="20"/>
        </w:rPr>
        <w:t xml:space="preserve">TEST-UPF-03: Click inside cone resolves to primary target without pixel-perfect hit. Assert: designation initiation fires for primary track ID when click lands 20px from track center.</w:t>
      </w:r>
    </w:p>
    <w:p>
      <w:pPr>
        <w:pStyle w:val="ListParagraph"/>
        <w:numPr>
          <w:ilvl w:val="0"/>
          <w:numId w:val="2"/>
        </w:numPr>
        <w:spacing w:before="40" w:after="60"/>
      </w:pPr>
      <w:r>
        <w:rPr>
          <w:rFonts w:ascii="Arial" w:cs="Arial" w:eastAsia="Arial" w:hAnsi="Arial"/>
          <w:color w:val="1A1A1A"/>
          <w:sz w:val="20"/>
          <w:szCs w:val="20"/>
        </w:rPr>
        <w:t xml:space="preserve">TEST-UPF-04: Cone aperture scales with track density. Assert: cone angle is measurably wider in a 200-track cluster than in a 20-track cluster.</w:t>
      </w:r>
    </w:p>
    <w:p>
      <w:pPr>
        <w:spacing w:before="0" w:after="0"/>
      </w:pPr>
      <w:r>
        <w:t xml:space="preserve"/>
      </w:r>
    </w:p>
    <w:p>
      <w:pPr>
        <w:spacing w:before="240" w:after="80"/>
      </w:pPr>
      <w:r>
        <w:rPr>
          <w:rFonts w:ascii="Arial" w:cs="Arial" w:eastAsia="Arial" w:hAnsi="Arial"/>
          <w:b/>
          <w:bCs/>
          <w:color w:val="4A6FA5"/>
          <w:sz w:val="18"/>
          <w:szCs w:val="18"/>
        </w:rPr>
        <w:t xml:space="preserve">Suite 3 — Designation Guardrails</w:t>
      </w:r>
    </w:p>
    <w:p>
      <w:pPr>
        <w:pStyle w:val="ListParagraph"/>
        <w:numPr>
          <w:ilvl w:val="0"/>
          <w:numId w:val="2"/>
        </w:numPr>
        <w:spacing w:before="40" w:after="60"/>
      </w:pPr>
      <w:r>
        <w:rPr>
          <w:rFonts w:ascii="Arial" w:cs="Arial" w:eastAsia="Arial" w:hAnsi="Arial"/>
          <w:color w:val="1A1A1A"/>
          <w:sz w:val="20"/>
          <w:szCs w:val="20"/>
        </w:rPr>
        <w:t xml:space="preserve">TEST-DG-01: Tracks below 0.6 confidence block designation. Assert: clicking a 0.45-confidence track produces amber warning, no designation queue entry.</w:t>
      </w:r>
    </w:p>
    <w:p>
      <w:pPr>
        <w:pStyle w:val="ListParagraph"/>
        <w:numPr>
          <w:ilvl w:val="0"/>
          <w:numId w:val="2"/>
        </w:numPr>
        <w:spacing w:before="40" w:after="60"/>
      </w:pPr>
      <w:r>
        <w:rPr>
          <w:rFonts w:ascii="Arial" w:cs="Arial" w:eastAsia="Arial" w:hAnsi="Arial"/>
          <w:color w:val="1A1A1A"/>
          <w:sz w:val="20"/>
          <w:szCs w:val="20"/>
        </w:rPr>
        <w:t xml:space="preserve">TEST-DG-02: Override via RECON [3DGS] permits designation. Assert: executing 3DGS recon on blocked track enables designation initiation.</w:t>
      </w:r>
    </w:p>
    <w:p>
      <w:pPr>
        <w:pStyle w:val="ListParagraph"/>
        <w:numPr>
          <w:ilvl w:val="0"/>
          <w:numId w:val="2"/>
        </w:numPr>
        <w:spacing w:before="40" w:after="60"/>
      </w:pPr>
      <w:r>
        <w:rPr>
          <w:rFonts w:ascii="Arial" w:cs="Arial" w:eastAsia="Arial" w:hAnsi="Arial"/>
          <w:color w:val="1A1A1A"/>
          <w:sz w:val="20"/>
          <w:szCs w:val="20"/>
        </w:rPr>
        <w:t xml:space="preserve">TEST-DG-03: Ghost tracks block designation regardless of burst spike. Assert: BRST track at 0.55 confidence peak produces amber warning, no designation queue entry.</w:t>
      </w:r>
    </w:p>
    <w:p>
      <w:pPr>
        <w:pStyle w:val="ListParagraph"/>
        <w:numPr>
          <w:ilvl w:val="0"/>
          <w:numId w:val="2"/>
        </w:numPr>
        <w:spacing w:before="40" w:after="60"/>
      </w:pPr>
      <w:r>
        <w:rPr>
          <w:rFonts w:ascii="Arial" w:cs="Arial" w:eastAsia="Arial" w:hAnsi="Arial"/>
          <w:color w:val="1A1A1A"/>
          <w:sz w:val="20"/>
          <w:szCs w:val="20"/>
        </w:rPr>
        <w:t xml:space="preserve">TEST-DG-04: All designation events logged to OpsLog. Assert: OpsLog contains entry with track ID, confidence value, and override flag for every designation action.</w:t>
      </w:r>
    </w:p>
    <w:p>
      <w:pPr>
        <w:spacing w:before="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2800"/>
      </w:tblGrid>
      <w:tr>
        <w:tc>
          <w:tcPr>
            <w:tcW w:type="dxa" w:w="16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REQ ID</w:t>
            </w:r>
          </w:p>
        </w:tc>
        <w:tc>
          <w:tcPr>
            <w:tcW w:type="dxa" w:w="44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REQUIREMENT</w:t>
            </w:r>
          </w:p>
        </w:tc>
        <w:tc>
          <w:tcPr>
            <w:tcW w:type="dxa" w:w="2800"/>
            <w:tcBorders>
              <w:top w:val="none" w:color="FFFFFF" w:sz="0"/>
              <w:left w:val="none" w:color="FFFFFF" w:sz="0"/>
              <w:bottom w:val="none" w:color="FFFFFF" w:sz="0"/>
              <w:right w:val="none" w:color="FFFFFF" w:sz="0"/>
            </w:tcBorders>
            <w:shd w:fill="1B365D" w:val="clear"/>
            <w:tcMar>
              <w:top w:type="dxa" w:w="80"/>
              <w:left w:type="dxa" w:w="120"/>
              <w:bottom w:type="dxa" w:w="80"/>
              <w:right w:type="dxa" w:w="120"/>
            </w:tcMar>
          </w:tcPr>
          <w:p>
            <w:r>
              <w:rPr>
                <w:rFonts w:ascii="Arial" w:cs="Arial" w:eastAsia="Arial" w:hAnsi="Arial"/>
                <w:b/>
                <w:bCs/>
                <w:caps/>
                <w:color w:val="FFFFFF"/>
                <w:sz w:val="17"/>
                <w:szCs w:val="17"/>
              </w:rPr>
              <w:t xml:space="preserve">ACCEPTANCE CRITERIA</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TEST-01</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tests pass in headless Chromium with deterministic seed.</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npx playwright test exits 0 with no failures.</w:t>
            </w:r>
          </w:p>
        </w:tc>
      </w:tr>
      <w:tr>
        <w:tc>
          <w:tcPr>
            <w:tcW w:type="dxa" w:w="16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TEST-02</w:t>
            </w:r>
          </w:p>
        </w:tc>
        <w:tc>
          <w:tcPr>
            <w:tcW w:type="dxa" w:w="4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Tests are runnable without a live server — use file:// or playwright’s built-in server.</w:t>
            </w:r>
          </w:p>
        </w:tc>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Tests pass from cold clone with only npm install &amp;&amp; npx playwright test.</w:t>
            </w:r>
          </w:p>
        </w:tc>
      </w:tr>
      <w:tr>
        <w:tc>
          <w:tcPr>
            <w:tcW w:type="dxa" w:w="16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TEST-03</w:t>
            </w:r>
          </w:p>
        </w:tc>
        <w:tc>
          <w:tcPr>
            <w:tcW w:type="dxa" w:w="44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 duration does not exceed 3 minutes for the full suite.</w:t>
            </w:r>
          </w:p>
        </w:tc>
        <w:tc>
          <w:tcPr>
            <w:tcW w:type="dxa" w:w="2800"/>
            <w:tcBorders>
              <w:top w:val="single" w:color="CCCCCC" w:sz="1"/>
              <w:left w:val="none" w:color="FFFFFF" w:sz="0"/>
              <w:bottom w:val="single" w:color="CCCCCC" w:sz="1"/>
              <w:right w:val="none" w:color="FFFFFF" w:sz="0"/>
            </w:tcBorders>
            <w:shd w:fill="F7F5F0"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suite runtime measured under 180 seconds on reference hardware.</w:t>
            </w:r>
          </w:p>
        </w:tc>
      </w:tr>
      <w:tr>
        <w:tc>
          <w:tcPr>
            <w:tcW w:type="dxa" w:w="16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Courier New" w:cs="Courier New" w:eastAsia="Courier New" w:hAnsi="Courier New"/>
                <w:b/>
                <w:bCs/>
                <w:color w:val="C92828"/>
                <w:sz w:val="19"/>
                <w:szCs w:val="19"/>
              </w:rPr>
              <w:t xml:space="preserve">TEST-04</w:t>
            </w:r>
          </w:p>
        </w:tc>
        <w:tc>
          <w:tcPr>
            <w:tcW w:type="dxa" w:w="44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Failing tests produce a screenshot and replay JSON for diagnosis.</w:t>
            </w:r>
          </w:p>
        </w:tc>
        <w:tc>
          <w:tcPr>
            <w:tcW w:type="dxa" w:w="2800"/>
            <w:tcBorders>
              <w:top w:val="single" w:color="CCCCCC" w:sz="1"/>
              <w:left w:val="none" w:color="FFFFFF" w:sz="0"/>
              <w:bottom w:val="single" w:color="CCCCCC" w:sz="1"/>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 failure, artifacts/ directory contains screenshot at failure frame and replay JSON for the failed scenario.</w:t>
            </w:r>
          </w:p>
        </w:tc>
      </w:tr>
    </w:tbl>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7. Legibility Instrument UI Audit</w:t>
      </w:r>
    </w:p>
    <w:p>
      <w:pPr>
        <w:spacing w:before="60" w:after="100"/>
      </w:pPr>
      <w:r>
        <w:rPr>
          <w:rFonts w:ascii="Arial" w:cs="Arial" w:eastAsia="Arial" w:hAnsi="Arial"/>
          <w:color w:val="1A1A1A"/>
          <w:sz w:val="20"/>
          <w:szCs w:val="20"/>
        </w:rPr>
        <w:t xml:space="preserve">Before Phase 20 implementation begins, conduct a UI audit of all existing panels against the five design principles. The audit is a list of identified violations with a remediation action for each. Violations rated CRITICAL must be resolved before Phase 20 ships. MAJOR violations are resolved within Phase 21. MINOR violations are tracked but not blocking.</w:t>
      </w:r>
    </w:p>
    <w:p>
      <w:pPr>
        <w:spacing w:before="0" w:after="0"/>
      </w:pPr>
      <w:r>
        <w:t xml:space="preserve"/>
      </w:r>
    </w:p>
    <w:p>
      <w:pPr>
        <w:pStyle w:val="Heading2"/>
        <w:spacing w:before="320" w:after="120"/>
      </w:pPr>
      <w:r>
        <w:rPr>
          <w:rFonts w:ascii="Arial" w:cs="Arial" w:eastAsia="Arial" w:hAnsi="Arial"/>
          <w:b/>
          <w:bCs/>
          <w:color w:val="1B365D"/>
          <w:sz w:val="22"/>
          <w:szCs w:val="22"/>
        </w:rPr>
        <w:t xml:space="preserve">7.1 Audit Scope</w:t>
      </w:r>
    </w:p>
    <w:p>
      <w:pPr>
        <w:pStyle w:val="ListParagraph"/>
        <w:numPr>
          <w:ilvl w:val="0"/>
          <w:numId w:val="2"/>
        </w:numPr>
        <w:spacing w:before="40" w:after="60"/>
      </w:pPr>
      <w:r>
        <w:rPr>
          <w:rFonts w:ascii="Arial" w:cs="Arial" w:eastAsia="Arial" w:hAnsi="Arial"/>
          <w:color w:val="1A1A1A"/>
          <w:sz w:val="20"/>
          <w:szCs w:val="20"/>
        </w:rPr>
        <w:t xml:space="preserve">Track Log panel: confidence rendering, decay visual, domain icon legibility</w:t>
      </w:r>
    </w:p>
    <w:p>
      <w:pPr>
        <w:pStyle w:val="ListParagraph"/>
        <w:numPr>
          <w:ilvl w:val="0"/>
          <w:numId w:val="2"/>
        </w:numPr>
        <w:spacing w:before="40" w:after="60"/>
      </w:pPr>
      <w:r>
        <w:rPr>
          <w:rFonts w:ascii="Arial" w:cs="Arial" w:eastAsia="Arial" w:hAnsi="Arial"/>
          <w:color w:val="1A1A1A"/>
          <w:sz w:val="20"/>
          <w:szCs w:val="20"/>
        </w:rPr>
        <w:t xml:space="preserve">SWARM KINEMATICS panel: order parameter display, phase transition visual, V-JEPA gate binding</w:t>
      </w:r>
    </w:p>
    <w:p>
      <w:pPr>
        <w:pStyle w:val="ListParagraph"/>
        <w:numPr>
          <w:ilvl w:val="0"/>
          <w:numId w:val="2"/>
        </w:numPr>
        <w:spacing w:before="40" w:after="60"/>
      </w:pPr>
      <w:r>
        <w:rPr>
          <w:rFonts w:ascii="Arial" w:cs="Arial" w:eastAsia="Arial" w:hAnsi="Arial"/>
          <w:color w:val="1A1A1A"/>
          <w:sz w:val="20"/>
          <w:szCs w:val="20"/>
        </w:rPr>
        <w:t xml:space="preserve">Recommended Actions panel: supersession logic, counterfactual binding, dismissal behavior</w:t>
      </w:r>
    </w:p>
    <w:p>
      <w:pPr>
        <w:pStyle w:val="ListParagraph"/>
        <w:numPr>
          <w:ilvl w:val="0"/>
          <w:numId w:val="2"/>
        </w:numPr>
        <w:spacing w:before="40" w:after="60"/>
      </w:pPr>
      <w:r>
        <w:rPr>
          <w:rFonts w:ascii="Arial" w:cs="Arial" w:eastAsia="Arial" w:hAnsi="Arial"/>
          <w:color w:val="1A1A1A"/>
          <w:sz w:val="20"/>
          <w:szCs w:val="20"/>
        </w:rPr>
        <w:t xml:space="preserve">OpsLog panel: entry density, ghost-track event formatting, designation audit trail</w:t>
      </w:r>
    </w:p>
    <w:p>
      <w:pPr>
        <w:pStyle w:val="ListParagraph"/>
        <w:numPr>
          <w:ilvl w:val="0"/>
          <w:numId w:val="2"/>
        </w:numPr>
        <w:spacing w:before="40" w:after="60"/>
      </w:pPr>
      <w:r>
        <w:rPr>
          <w:rFonts w:ascii="Arial" w:cs="Arial" w:eastAsia="Arial" w:hAnsi="Arial"/>
          <w:color w:val="1A1A1A"/>
          <w:sz w:val="20"/>
          <w:szCs w:val="20"/>
        </w:rPr>
        <w:t xml:space="preserve">HUD Controls: designation workflow, override affordance, RECON [3DGS] trigger</w:t>
      </w:r>
    </w:p>
    <w:p>
      <w:pPr>
        <w:pStyle w:val="ListParagraph"/>
        <w:numPr>
          <w:ilvl w:val="0"/>
          <w:numId w:val="2"/>
        </w:numPr>
        <w:spacing w:before="40" w:after="60"/>
      </w:pPr>
      <w:r>
        <w:rPr>
          <w:rFonts w:ascii="Arial" w:cs="Arial" w:eastAsia="Arial" w:hAnsi="Arial"/>
          <w:color w:val="1A1A1A"/>
          <w:sz w:val="20"/>
          <w:szCs w:val="20"/>
        </w:rPr>
        <w:t xml:space="preserve">3D viewport: EMCON decay rendering, UPF cone geometry, ghost-track visual separation</w:t>
      </w:r>
    </w:p>
    <w:p>
      <w:pPr>
        <w:spacing w:before="0" w:after="0"/>
      </w:pPr>
      <w:r>
        <w:t xml:space="preserve"/>
      </w:r>
    </w:p>
    <w:p>
      <w:pPr>
        <w:pStyle w:val="Heading2"/>
        <w:spacing w:before="320" w:after="120"/>
      </w:pPr>
      <w:r>
        <w:rPr>
          <w:rFonts w:ascii="Arial" w:cs="Arial" w:eastAsia="Arial" w:hAnsi="Arial"/>
          <w:b/>
          <w:bCs/>
          <w:color w:val="1B365D"/>
          <w:sz w:val="22"/>
          <w:szCs w:val="22"/>
        </w:rPr>
        <w:t xml:space="preserve">7.2 Audit Criteria</w:t>
      </w:r>
    </w:p>
    <w:p>
      <w:pPr>
        <w:spacing w:before="60" w:after="100"/>
      </w:pPr>
      <w:r>
        <w:rPr>
          <w:rFonts w:ascii="Arial" w:cs="Arial" w:eastAsia="Arial" w:hAnsi="Arial"/>
          <w:color w:val="1A1A1A"/>
          <w:sz w:val="20"/>
          <w:szCs w:val="20"/>
        </w:rPr>
        <w:t xml:space="preserve">Each element is evaluated against:</w:t>
      </w:r>
    </w:p>
    <w:p>
      <w:pPr>
        <w:pStyle w:val="ListParagraph"/>
        <w:numPr>
          <w:ilvl w:val="0"/>
          <w:numId w:val="2"/>
        </w:numPr>
        <w:spacing w:before="40" w:after="60"/>
      </w:pPr>
      <w:r>
        <w:rPr>
          <w:rFonts w:ascii="Arial" w:cs="Arial" w:eastAsia="Arial" w:hAnsi="Arial"/>
          <w:color w:val="1A1A1A"/>
          <w:sz w:val="20"/>
          <w:szCs w:val="20"/>
        </w:rPr>
        <w:t xml:space="preserve">P1 compliance: is uncertainty encoded visually or hidden?</w:t>
      </w:r>
    </w:p>
    <w:p>
      <w:pPr>
        <w:pStyle w:val="ListParagraph"/>
        <w:numPr>
          <w:ilvl w:val="0"/>
          <w:numId w:val="2"/>
        </w:numPr>
        <w:spacing w:before="40" w:after="60"/>
      </w:pPr>
      <w:r>
        <w:rPr>
          <w:rFonts w:ascii="Arial" w:cs="Arial" w:eastAsia="Arial" w:hAnsi="Arial"/>
          <w:color w:val="1A1A1A"/>
          <w:sz w:val="20"/>
          <w:szCs w:val="20"/>
        </w:rPr>
        <w:t xml:space="preserve">P2 compliance: is temporal change as legible as current state?</w:t>
      </w:r>
    </w:p>
    <w:p>
      <w:pPr>
        <w:pStyle w:val="ListParagraph"/>
        <w:numPr>
          <w:ilvl w:val="0"/>
          <w:numId w:val="2"/>
        </w:numPr>
        <w:spacing w:before="40" w:after="60"/>
      </w:pPr>
      <w:r>
        <w:rPr>
          <w:rFonts w:ascii="Arial" w:cs="Arial" w:eastAsia="Arial" w:hAnsi="Arial"/>
          <w:color w:val="1A1A1A"/>
          <w:sz w:val="20"/>
          <w:szCs w:val="20"/>
        </w:rPr>
        <w:t xml:space="preserve">P3 compliance: does the interaction model match what the data can support?</w:t>
      </w:r>
    </w:p>
    <w:p>
      <w:pPr>
        <w:pStyle w:val="ListParagraph"/>
        <w:numPr>
          <w:ilvl w:val="0"/>
          <w:numId w:val="2"/>
        </w:numPr>
        <w:spacing w:before="40" w:after="60"/>
      </w:pPr>
      <w:r>
        <w:rPr>
          <w:rFonts w:ascii="Arial" w:cs="Arial" w:eastAsia="Arial" w:hAnsi="Arial"/>
          <w:color w:val="1A1A1A"/>
          <w:sz w:val="20"/>
          <w:szCs w:val="20"/>
        </w:rPr>
        <w:t xml:space="preserve">P4 compliance: does this element add clutter to the map viewport?</w:t>
      </w:r>
    </w:p>
    <w:p>
      <w:pPr>
        <w:pStyle w:val="ListParagraph"/>
        <w:numPr>
          <w:ilvl w:val="0"/>
          <w:numId w:val="2"/>
        </w:numPr>
        <w:spacing w:before="40" w:after="60"/>
      </w:pPr>
      <w:r>
        <w:rPr>
          <w:rFonts w:ascii="Arial" w:cs="Arial" w:eastAsia="Arial" w:hAnsi="Arial"/>
          <w:color w:val="1A1A1A"/>
          <w:sz w:val="20"/>
          <w:szCs w:val="20"/>
        </w:rPr>
        <w:t xml:space="preserve">P5 compliance: is this event fully logged to OpsLog?</w:t>
      </w:r>
    </w:p>
    <w:p>
      <w:pPr>
        <w:spacing w:before="0" w:after="0"/>
      </w:pPr>
      <w:r>
        <w:t xml:space="preserve"/>
      </w:r>
    </w:p>
    <w:p>
      <w:pPr>
        <w:pStyle w:val="Heading2"/>
        <w:spacing w:before="320" w:after="120"/>
      </w:pPr>
      <w:r>
        <w:rPr>
          <w:rFonts w:ascii="Arial" w:cs="Arial" w:eastAsia="Arial" w:hAnsi="Arial"/>
          <w:b/>
          <w:bCs/>
          <w:color w:val="1B365D"/>
          <w:sz w:val="22"/>
          <w:szCs w:val="22"/>
        </w:rPr>
        <w:t xml:space="preserve">7.3 Deliverable</w:t>
      </w:r>
    </w:p>
    <w:p>
      <w:pPr>
        <w:spacing w:before="60" w:after="100"/>
      </w:pPr>
      <w:r>
        <w:rPr>
          <w:rFonts w:ascii="Arial" w:cs="Arial" w:eastAsia="Arial" w:hAnsi="Arial"/>
          <w:color w:val="1A1A1A"/>
          <w:sz w:val="20"/>
          <w:szCs w:val="20"/>
        </w:rPr>
        <w:t xml:space="preserve">Audit output: a single markdown file (AUDIT.md) at repo root. Format per finding:</w:t>
      </w:r>
    </w:p>
    <w:p>
      <w:pPr>
        <w:spacing w:before="40" w:after="60"/>
        <w:ind w:left="560"/>
      </w:pPr>
      <w:r>
        <w:rPr>
          <w:rFonts w:ascii="Courier New" w:cs="Courier New" w:eastAsia="Courier New" w:hAnsi="Courier New"/>
          <w:color w:val="4A6FA5"/>
          <w:sz w:val="18"/>
          <w:szCs w:val="18"/>
        </w:rPr>
        <w:t xml:space="preserve">## [PANEL NAME] — [SEVERITY: CRITICAL | MAJOR | MINOR]</w:t>
      </w:r>
    </w:p>
    <w:p>
      <w:pPr>
        <w:spacing w:before="40" w:after="60"/>
        <w:ind w:left="560"/>
      </w:pPr>
      <w:r>
        <w:rPr>
          <w:rFonts w:ascii="Courier New" w:cs="Courier New" w:eastAsia="Courier New" w:hAnsi="Courier New"/>
          <w:color w:val="4A6FA5"/>
          <w:sz w:val="18"/>
          <w:szCs w:val="18"/>
        </w:rPr>
        <w:t xml:space="preserve">**Finding:** [Description of violation]</w:t>
      </w:r>
    </w:p>
    <w:p>
      <w:pPr>
        <w:spacing w:before="40" w:after="60"/>
        <w:ind w:left="560"/>
      </w:pPr>
      <w:r>
        <w:rPr>
          <w:rFonts w:ascii="Courier New" w:cs="Courier New" w:eastAsia="Courier New" w:hAnsi="Courier New"/>
          <w:color w:val="4A6FA5"/>
          <w:sz w:val="18"/>
          <w:szCs w:val="18"/>
        </w:rPr>
        <w:t xml:space="preserve">**Principle:** P[N] — [Principle name]</w:t>
      </w:r>
    </w:p>
    <w:p>
      <w:pPr>
        <w:spacing w:before="40" w:after="60"/>
        <w:ind w:left="560"/>
      </w:pPr>
      <w:r>
        <w:rPr>
          <w:rFonts w:ascii="Courier New" w:cs="Courier New" w:eastAsia="Courier New" w:hAnsi="Courier New"/>
          <w:color w:val="4A6FA5"/>
          <w:sz w:val="18"/>
          <w:szCs w:val="18"/>
        </w:rPr>
        <w:t xml:space="preserve">**Remediation:** [Specific change required]</w:t>
      </w:r>
    </w:p>
    <w:p>
      <w:pPr>
        <w:spacing w:before="40" w:after="60"/>
        <w:ind w:left="560"/>
      </w:pPr>
      <w:r>
        <w:rPr>
          <w:rFonts w:ascii="Courier New" w:cs="Courier New" w:eastAsia="Courier New" w:hAnsi="Courier New"/>
          <w:color w:val="4A6FA5"/>
          <w:sz w:val="18"/>
          <w:szCs w:val="18"/>
        </w:rPr>
        <w:t xml:space="preserve">**Blocking:** [Phase 20 | Phase 21 | Tracked]</w:t>
      </w:r>
    </w:p>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8. Implementation Order</w:t>
      </w:r>
    </w:p>
    <w:p>
      <w:pPr>
        <w:spacing w:before="60" w:after="100"/>
      </w:pPr>
      <w:r>
        <w:rPr>
          <w:rFonts w:ascii="Arial" w:cs="Arial" w:eastAsia="Arial" w:hAnsi="Arial"/>
          <w:color w:val="1A1A1A"/>
          <w:sz w:val="20"/>
          <w:szCs w:val="20"/>
        </w:rPr>
        <w:t xml:space="preserve">Phases are sequential. Each phase must reach acceptance criteria before the next begins.</w:t>
      </w:r>
    </w:p>
    <w:p>
      <w:pPr>
        <w:spacing w:before="0" w:after="0"/>
      </w:pPr>
      <w:r>
        <w:t xml:space="preserve"/>
      </w:r>
    </w:p>
    <w:p>
      <w:pPr>
        <w:pStyle w:val="ListParagraph"/>
        <w:numPr>
          <w:ilvl w:val="0"/>
          <w:numId w:val="2"/>
        </w:numPr>
        <w:spacing w:before="40" w:after="60"/>
      </w:pPr>
      <w:r>
        <w:rPr>
          <w:rFonts w:ascii="Arial" w:cs="Arial" w:eastAsia="Arial" w:hAnsi="Arial"/>
          <w:color w:val="1A1A1A"/>
          <w:sz w:val="20"/>
          <w:szCs w:val="20"/>
        </w:rPr>
        <w:t xml:space="preserve">Phase 20A — UI Audit (AUDIT.md complete, all CRITICAL findings resolved)</w:t>
      </w:r>
    </w:p>
    <w:p>
      <w:pPr>
        <w:pStyle w:val="ListParagraph"/>
        <w:numPr>
          <w:ilvl w:val="0"/>
          <w:numId w:val="2"/>
        </w:numPr>
        <w:spacing w:before="40" w:after="60"/>
      </w:pPr>
      <w:r>
        <w:rPr>
          <w:rFonts w:ascii="Arial" w:cs="Arial" w:eastAsia="Arial" w:hAnsi="Arial"/>
          <w:color w:val="1A1A1A"/>
          <w:sz w:val="20"/>
          <w:szCs w:val="20"/>
        </w:rPr>
        <w:t xml:space="preserve">Phase 20B — ReplayCapture class: tick capture, event capture, ring buffer, export</w:t>
      </w:r>
    </w:p>
    <w:p>
      <w:pPr>
        <w:pStyle w:val="ListParagraph"/>
        <w:numPr>
          <w:ilvl w:val="0"/>
          <w:numId w:val="2"/>
        </w:numPr>
        <w:spacing w:before="40" w:after="60"/>
      </w:pPr>
      <w:r>
        <w:rPr>
          <w:rFonts w:ascii="Arial" w:cs="Arial" w:eastAsia="Arial" w:hAnsi="Arial"/>
          <w:color w:val="1A1A1A"/>
          <w:sz w:val="20"/>
          <w:szCs w:val="20"/>
        </w:rPr>
        <w:t xml:space="preserve">Phase 20C — Playback interface: transport controls, viewport reconstruction, OpsLog sync</w:t>
      </w:r>
    </w:p>
    <w:p>
      <w:pPr>
        <w:pStyle w:val="ListParagraph"/>
        <w:numPr>
          <w:ilvl w:val="0"/>
          <w:numId w:val="2"/>
        </w:numPr>
        <w:spacing w:before="40" w:after="60"/>
      </w:pPr>
      <w:r>
        <w:rPr>
          <w:rFonts w:ascii="Arial" w:cs="Arial" w:eastAsia="Arial" w:hAnsi="Arial"/>
          <w:color w:val="1A1A1A"/>
          <w:sz w:val="20"/>
          <w:szCs w:val="20"/>
        </w:rPr>
        <w:t xml:space="preserve">Phase 21A — CLPE and BRST RF profile implementations</w:t>
      </w:r>
    </w:p>
    <w:p>
      <w:pPr>
        <w:pStyle w:val="ListParagraph"/>
        <w:numPr>
          <w:ilvl w:val="0"/>
          <w:numId w:val="2"/>
        </w:numPr>
        <w:spacing w:before="40" w:after="60"/>
      </w:pPr>
      <w:r>
        <w:rPr>
          <w:rFonts w:ascii="Arial" w:cs="Arial" w:eastAsia="Arial" w:hAnsi="Arial"/>
          <w:color w:val="1A1A1A"/>
          <w:sz w:val="20"/>
          <w:szCs w:val="20"/>
        </w:rPr>
        <w:t xml:space="preserve">Phase 21B — KMSP formalization and timed spoof windows</w:t>
      </w:r>
    </w:p>
    <w:p>
      <w:pPr>
        <w:pStyle w:val="ListParagraph"/>
        <w:numPr>
          <w:ilvl w:val="0"/>
          <w:numId w:val="2"/>
        </w:numPr>
        <w:spacing w:before="40" w:after="60"/>
      </w:pPr>
      <w:r>
        <w:rPr>
          <w:rFonts w:ascii="Arial" w:cs="Arial" w:eastAsia="Arial" w:hAnsi="Arial"/>
          <w:color w:val="1A1A1A"/>
          <w:sz w:val="20"/>
          <w:szCs w:val="20"/>
        </w:rPr>
        <w:t xml:space="preserve">Phase 21C — Training presets 1–3 and instructor panel integration</w:t>
      </w:r>
    </w:p>
    <w:p>
      <w:pPr>
        <w:pStyle w:val="ListParagraph"/>
        <w:numPr>
          <w:ilvl w:val="0"/>
          <w:numId w:val="2"/>
        </w:numPr>
        <w:spacing w:before="40" w:after="60"/>
      </w:pPr>
      <w:r>
        <w:rPr>
          <w:rFonts w:ascii="Arial" w:cs="Arial" w:eastAsia="Arial" w:hAnsi="Arial"/>
          <w:color w:val="1A1A1A"/>
          <w:sz w:val="20"/>
          <w:szCs w:val="20"/>
        </w:rPr>
        <w:t xml:space="preserve">Phase 22A — Playwright setup, deterministic seed parameter, test harness</w:t>
      </w:r>
    </w:p>
    <w:p>
      <w:pPr>
        <w:pStyle w:val="ListParagraph"/>
        <w:numPr>
          <w:ilvl w:val="0"/>
          <w:numId w:val="2"/>
        </w:numPr>
        <w:spacing w:before="40" w:after="60"/>
      </w:pPr>
      <w:r>
        <w:rPr>
          <w:rFonts w:ascii="Arial" w:cs="Arial" w:eastAsia="Arial" w:hAnsi="Arial"/>
          <w:color w:val="1A1A1A"/>
          <w:sz w:val="20"/>
          <w:szCs w:val="20"/>
        </w:rPr>
        <w:t xml:space="preserve">Phase 22B — V-JEPA and UPF test suites</w:t>
      </w:r>
    </w:p>
    <w:p>
      <w:pPr>
        <w:pStyle w:val="ListParagraph"/>
        <w:numPr>
          <w:ilvl w:val="0"/>
          <w:numId w:val="2"/>
        </w:numPr>
        <w:spacing w:before="40" w:after="60"/>
      </w:pPr>
      <w:r>
        <w:rPr>
          <w:rFonts w:ascii="Arial" w:cs="Arial" w:eastAsia="Arial" w:hAnsi="Arial"/>
          <w:color w:val="1A1A1A"/>
          <w:sz w:val="20"/>
          <w:szCs w:val="20"/>
        </w:rPr>
        <w:t xml:space="preserve">Phase 22C — Designation guardrail test suite, CI integration</w:t>
      </w:r>
    </w:p>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9. Out of Scope</w:t>
      </w:r>
    </w:p>
    <w:p>
      <w:pPr>
        <w:spacing w:before="60" w:after="100"/>
      </w:pPr>
      <w:r>
        <w:rPr>
          <w:rFonts w:ascii="Arial" w:cs="Arial" w:eastAsia="Arial" w:hAnsi="Arial"/>
          <w:color w:val="1A1A1A"/>
          <w:sz w:val="20"/>
          <w:szCs w:val="20"/>
        </w:rPr>
        <w:t xml:space="preserve">The following are explicitly deferred and will not be implemented in Phases 20–22:</w:t>
      </w:r>
    </w:p>
    <w:p>
      <w:pPr>
        <w:pStyle w:val="ListParagraph"/>
        <w:numPr>
          <w:ilvl w:val="0"/>
          <w:numId w:val="2"/>
        </w:numPr>
        <w:spacing w:before="40" w:after="60"/>
      </w:pPr>
      <w:r>
        <w:rPr>
          <w:rFonts w:ascii="Arial" w:cs="Arial" w:eastAsia="Arial" w:hAnsi="Arial"/>
          <w:color w:val="1A1A1A"/>
          <w:sz w:val="20"/>
          <w:szCs w:val="20"/>
        </w:rPr>
        <w:t xml:space="preserve">Concordia red-team adversary integration changes — persona logic is stable</w:t>
      </w:r>
    </w:p>
    <w:p>
      <w:pPr>
        <w:pStyle w:val="ListParagraph"/>
        <w:numPr>
          <w:ilvl w:val="0"/>
          <w:numId w:val="2"/>
        </w:numPr>
        <w:spacing w:before="40" w:after="60"/>
      </w:pPr>
      <w:r>
        <w:rPr>
          <w:rFonts w:ascii="Arial" w:cs="Arial" w:eastAsia="Arial" w:hAnsi="Arial"/>
          <w:color w:val="1A1A1A"/>
          <w:sz w:val="20"/>
          <w:szCs w:val="20"/>
        </w:rPr>
        <w:t xml:space="preserve">Network / multi-operator sync — single-operator session model is correct for this phase</w:t>
      </w:r>
    </w:p>
    <w:p>
      <w:pPr>
        <w:pStyle w:val="ListParagraph"/>
        <w:numPr>
          <w:ilvl w:val="0"/>
          <w:numId w:val="2"/>
        </w:numPr>
        <w:spacing w:before="40" w:after="60"/>
      </w:pPr>
      <w:r>
        <w:rPr>
          <w:rFonts w:ascii="Arial" w:cs="Arial" w:eastAsia="Arial" w:hAnsi="Arial"/>
          <w:color w:val="1A1A1A"/>
          <w:sz w:val="20"/>
          <w:szCs w:val="20"/>
        </w:rPr>
        <w:t xml:space="preserve">Mobile or touch interaction model — desktop mouse/keyboard only</w:t>
      </w:r>
    </w:p>
    <w:p>
      <w:pPr>
        <w:pStyle w:val="ListParagraph"/>
        <w:numPr>
          <w:ilvl w:val="0"/>
          <w:numId w:val="2"/>
        </w:numPr>
        <w:spacing w:before="40" w:after="60"/>
      </w:pPr>
      <w:r>
        <w:rPr>
          <w:rFonts w:ascii="Arial" w:cs="Arial" w:eastAsia="Arial" w:hAnsi="Arial"/>
          <w:color w:val="1A1A1A"/>
          <w:sz w:val="20"/>
          <w:szCs w:val="20"/>
        </w:rPr>
        <w:t xml:space="preserve">External data ingest (real sensor feeds) — simulation-only</w:t>
      </w:r>
    </w:p>
    <w:p>
      <w:pPr>
        <w:pStyle w:val="ListParagraph"/>
        <w:numPr>
          <w:ilvl w:val="0"/>
          <w:numId w:val="2"/>
        </w:numPr>
        <w:spacing w:before="40" w:after="60"/>
      </w:pPr>
      <w:r>
        <w:rPr>
          <w:rFonts w:ascii="Arial" w:cs="Arial" w:eastAsia="Arial" w:hAnsi="Arial"/>
          <w:color w:val="1A1A1A"/>
          <w:sz w:val="20"/>
          <w:szCs w:val="20"/>
        </w:rPr>
        <w:t xml:space="preserve">FOLD × Quilt Theory interface integration — separate portfolio prototype</w:t>
      </w:r>
    </w:p>
    <w:p>
      <w:pPr>
        <w:spacing w:before="0" w:after="0"/>
      </w:pPr>
      <w:r>
        <w:t xml:space="preserve"/>
      </w:r>
    </w:p>
    <w:p>
      <w:pPr>
        <w:spacing w:before="0" w:after="0"/>
      </w:pPr>
      <w:r>
        <w:t xml:space="preserve"/>
      </w:r>
    </w:p>
    <w:p>
      <w:pPr>
        <w:pStyle w:val="Heading1"/>
        <w:pBdr>
          <w:bottom w:val="single" w:color="1B365D" w:sz="8" w:space="6"/>
        </w:pBdr>
        <w:spacing w:before="480" w:after="160"/>
      </w:pPr>
      <w:r>
        <w:rPr>
          <w:rFonts w:ascii="Arial" w:cs="Arial" w:eastAsia="Arial" w:hAnsi="Arial"/>
          <w:b/>
          <w:bCs/>
          <w:caps/>
          <w:color w:val="1B365D"/>
          <w:sz w:val="28"/>
          <w:szCs w:val="28"/>
        </w:rPr>
        <w:t xml:space="preserve">Approval</w:t>
      </w:r>
    </w:p>
    <w:p>
      <w:pPr>
        <w:spacing w:before="0" w:after="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Borders>
              <w:top w:val="none" w:color="FFFFFF" w:sz="0"/>
              <w:left w:val="none" w:color="FFFFFF" w:sz="0"/>
              <w:bottom w:val="single" w:color="1B365D" w:sz="4"/>
              <w:right w:val="none" w:color="FFFFFF" w:sz="0"/>
            </w:tcBorders>
            <w:tcMar>
              <w:top w:type="dxa" w:w="80"/>
              <w:left w:type="dxa" w:w="0"/>
              <w:bottom w:type="dxa" w:w="80"/>
              <w:right w:type="dxa" w:w="120"/>
            </w:tcMar>
          </w:tcPr>
          <w:p>
            <w:r>
              <w:rPr>
                <w:rFonts w:ascii="Courier New" w:cs="Courier New" w:eastAsia="Courier New" w:hAnsi="Courier New"/>
                <w:color w:val="888888"/>
                <w:sz w:val="17"/>
                <w:szCs w:val="17"/>
              </w:rPr>
              <w:t xml:space="preserve">Author · Lead Implementor</w:t>
            </w:r>
          </w:p>
        </w:tc>
        <w:tc>
          <w:tcPr>
            <w:tcW w:type="dxa" w:w="4400"/>
            <w:tcBorders>
              <w:top w:val="none" w:color="FFFFFF" w:sz="0"/>
              <w:left w:val="none" w:color="FFFFFF" w:sz="0"/>
              <w:bottom w:val="single" w:color="1B365D" w:sz="4"/>
              <w:right w:val="none" w:color="FFFFFF" w:sz="0"/>
            </w:tcBorders>
            <w:tcMar>
              <w:top w:type="dxa" w:w="80"/>
              <w:left w:type="dxa" w:w="120"/>
              <w:bottom w:type="dxa" w:w="80"/>
              <w:right w:type="dxa" w:w="0"/>
            </w:tcMar>
          </w:tcPr>
          <w:p>
            <w:r>
              <w:rPr>
                <w:rFonts w:ascii="Courier New" w:cs="Courier New" w:eastAsia="Courier New" w:hAnsi="Courier New"/>
                <w:color w:val="888888"/>
                <w:sz w:val="17"/>
                <w:szCs w:val="17"/>
              </w:rPr>
              <w:t xml:space="preserve">Date</w:t>
            </w:r>
          </w:p>
        </w:tc>
      </w:tr>
      <w:tr>
        <w:tc>
          <w:tcPr>
            <w:tcW w:type="dxa" w:w="4400"/>
            <w:tcBorders>
              <w:top w:val="none" w:color="FFFFFF" w:sz="0"/>
              <w:left w:val="none" w:color="FFFFFF" w:sz="0"/>
              <w:bottom w:val="none" w:color="FFFFFF" w:sz="0"/>
              <w:right w:val="none" w:color="FFFFFF" w:sz="0"/>
            </w:tcBorders>
            <w:tcMar>
              <w:top w:type="dxa" w:w="120"/>
              <w:left w:type="dxa" w:w="0"/>
              <w:bottom w:type="dxa" w:w="0"/>
              <w:right w:type="dxa" w:w="0"/>
            </w:tcMar>
          </w:tcPr>
          <w:p>
            <w:r>
              <w:rPr>
                <w:rFonts w:ascii="Arial" w:cs="Arial" w:eastAsia="Arial" w:hAnsi="Arial"/>
                <w:sz w:val="20"/>
                <w:szCs w:val="20"/>
              </w:rPr>
              <w:t xml:space="preserve"> </w:t>
            </w:r>
          </w:p>
        </w:tc>
        <w:tc>
          <w:tcPr>
            <w:tcW w:type="dxa" w:w="4400"/>
            <w:tcBorders>
              <w:top w:val="none" w:color="FFFFFF" w:sz="0"/>
              <w:left w:val="none" w:color="FFFFFF" w:sz="0"/>
              <w:bottom w:val="none" w:color="FFFFFF" w:sz="0"/>
              <w:right w:val="none" w:color="FFFFFF" w:sz="0"/>
            </w:tcBorders>
            <w:tcMar>
              <w:top w:type="dxa" w:w="120"/>
              <w:left w:type="dxa" w:w="0"/>
              <w:bottom w:type="dxa" w:w="0"/>
              <w:right w:type="dxa" w:w="0"/>
            </w:tcMar>
          </w:tcPr>
          <w:p>
            <w:r>
              <w:rPr>
                <w:rFonts w:ascii="Arial" w:cs="Arial" w:eastAsia="Arial" w:hAnsi="Arial"/>
                <w:sz w:val="20"/>
                <w:szCs w:val="20"/>
              </w:rPr>
              <w:t xml:space="preserve"> </w:t>
            </w:r>
          </w:p>
        </w:tc>
      </w:tr>
    </w:tbl>
    <w:p>
      <w:pPr>
        <w:spacing w:before="0" w:after="0"/>
      </w:pPr>
      <w:r>
        <w:t xml:space="preserve"/>
      </w:r>
    </w:p>
    <w:p>
      <w:pPr>
        <w:spacing w:before="60" w:after="100"/>
        <w:ind w:left="560"/>
      </w:pPr>
      <w:r>
        <w:rPr>
          <w:rFonts w:ascii="Arial" w:cs="Arial" w:eastAsia="Arial" w:hAnsi="Arial"/>
          <w:i/>
          <w:iCs/>
          <w:color w:val="888888"/>
          <w:sz w:val="18"/>
          <w:szCs w:val="18"/>
        </w:rPr>
        <w:t xml:space="preserve">This document is the authoritative specification for TAK-H Phases 20–22. All implementation decisions not addressed here are resolved by reference to the five design principles in §3, in order.</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4" w:space="4"/>
      </w:pBdr>
      <w:tabs>
        <w:tab w:val="right" w:pos="9026"/>
      </w:tabs>
    </w:pPr>
    <w:r>
      <w:rPr>
        <w:rFonts w:ascii="Courier New" w:cs="Courier New" w:eastAsia="Courier New" w:hAnsi="Courier New"/>
        <w:color w:val="888888"/>
        <w:sz w:val="14"/>
        <w:szCs w:val="14"/>
      </w:rPr>
      <w:t xml:space="preserve">CONFIDENTIAL · NOT FOR DISTRIBUTION</w:t>
    </w:r>
    <w:r>
      <w:rPr>
        <w:rFonts w:ascii="Courier New" w:cs="Courier New" w:eastAsia="Courier New" w:hAnsi="Courier New"/>
        <w:color w:val="888888"/>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6" w:space="4"/>
      </w:pBdr>
    </w:pPr>
    <w:r>
      <w:rPr>
        <w:rFonts w:ascii="Courier New" w:cs="Courier New" w:eastAsia="Courier New" w:hAnsi="Courier New"/>
        <w:caps/>
        <w:color w:val="1B365D"/>
        <w:sz w:val="16"/>
        <w:szCs w:val="16"/>
      </w:rPr>
      <w:t xml:space="preserve">TAK-H  ·  PRODUCT REQUIREMENTS DOCUMENT</w:t>
    </w:r>
    <w:r>
      <w:rPr>
        <w:rFonts w:ascii="Courier New" w:cs="Courier New" w:eastAsia="Courier New" w:hAnsi="Courier New"/>
        <w:color w:val="888888"/>
        <w:sz w:val="16"/>
        <w:szCs w:val="16"/>
      </w:rPr>
      <w:t xml:space="preserve">  —  PHASE 20 / LEGIBILITY INSTRUMENT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65D"/>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B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2026-03-07T18:33:44.129Z</dcterms:created>
  <dcterms:modified xsi:type="dcterms:W3CDTF">2026-03-07T18:33:44.130Z</dcterms:modified>
</cp:coreProperties>
</file>

<file path=docProps/custom.xml><?xml version="1.0" encoding="utf-8"?>
<Properties xmlns="http://schemas.openxmlformats.org/officeDocument/2006/custom-properties" xmlns:vt="http://schemas.openxmlformats.org/officeDocument/2006/docPropsVTypes"/>
</file>