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B22222"/>
          <w:sz w:val="52"/>
          <w:szCs w:val="52"/>
        </w:rPr>
        <w:t xml:space="preserve">EL CÓDIGO MARTE</w:t>
      </w:r>
    </w:p>
    <w:p>
      <w:pPr>
        <w:spacing w:after="60" w:before="0"/>
        <w:jc w:val="center"/>
      </w:pPr>
      <w:r>
        <w:rPr>
          <w:rFonts w:ascii="Arial" w:cs="Arial" w:eastAsia="Arial" w:hAnsi="Arial"/>
          <w:color w:val="555555"/>
          <w:sz w:val="24"/>
          <w:szCs w:val="24"/>
        </w:rPr>
        <w:t xml:space="preserve">Hábitat Autónomo y Regenerativo para Misiones Prolongadas</w:t>
      </w:r>
    </w:p>
    <w:p>
      <w:pPr>
        <w:spacing w:after="60" w:before="0"/>
        <w:jc w:val="center"/>
      </w:pPr>
      <w:r>
        <w:rPr>
          <w:rFonts w:ascii="Arial" w:cs="Arial" w:eastAsia="Arial" w:hAnsi="Arial"/>
          <w:i/>
          <w:iCs/>
          <w:color w:val="888888"/>
          <w:sz w:val="20"/>
          <w:szCs w:val="20"/>
        </w:rPr>
        <w:t xml:space="preserve">Hackathon Argentina Espacial 2025</w:t>
      </w:r>
    </w:p>
    <w:p>
      <w:pPr>
        <w:spacing w:after="200" w:before="0"/>
        <w:jc w:val="center"/>
      </w:pPr>
      <w:r>
        <w:rPr>
          <w:rFonts w:ascii="Arial" w:cs="Arial" w:eastAsia="Arial" w:hAnsi="Arial"/>
          <w:color w:val="555555"/>
          <w:sz w:val="20"/>
          <w:szCs w:val="20"/>
        </w:rPr>
        <w:t xml:space="preserve">Arcadia Planitia, Marte  |  Coordenadas: 47.6° N, 184.0° E</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3500"/>
        <w:gridCol w:w="5626"/>
      </w:tblGrid>
      <w:tr>
        <w:trPr>
          <w:tblHeader/>
        </w:trPr>
        <w:tc>
          <w:tcPr>
            <w:tcW w:type="dxa" w:w="35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Parámetro</w:t>
            </w:r>
          </w:p>
        </w:tc>
        <w:tc>
          <w:tcPr>
            <w:tcW w:type="dxa" w:w="5626"/>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Valor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Sitio elegido</w:t>
            </w:r>
          </w:p>
        </w:tc>
        <w:tc>
          <w:tcPr>
            <w:tcW w:type="dxa" w:w="5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Arcadia Planitia (47.6 N, 184.0 E) — hielo subsuperficial confirmado por SHARAD/MRO</w:t>
            </w:r>
          </w:p>
        </w:tc>
      </w:tr>
      <w:tr>
        <w:tc>
          <w:tcPr>
            <w:tcW w:type="dxa" w:w="35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Misión tipo</w:t>
            </w:r>
          </w:p>
        </w:tc>
        <w:tc>
          <w:tcPr>
            <w:tcW w:type="dxa" w:w="56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4-6 astronautas, 18-36 meses de permanencia continua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Ventana de envío</w:t>
            </w:r>
          </w:p>
        </w:tc>
        <w:tc>
          <w:tcPr>
            <w:tcW w:type="dxa" w:w="5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Cada 26 meses aprox. (conjunción Tierra-Marte)</w:t>
            </w:r>
          </w:p>
        </w:tc>
      </w:tr>
      <w:tr>
        <w:tc>
          <w:tcPr>
            <w:tcW w:type="dxa" w:w="35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Presión exterior</w:t>
            </w:r>
          </w:p>
        </w:tc>
        <w:tc>
          <w:tcPr>
            <w:tcW w:type="dxa" w:w="56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~600 Pa (vs. 101.325 Pa en Tierra)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Radiación superficial</w:t>
            </w:r>
          </w:p>
        </w:tc>
        <w:tc>
          <w:tcPr>
            <w:tcW w:type="dxa" w:w="5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~0,2 mGy/día (sin campo magnético planetario)</w:t>
            </w:r>
          </w:p>
        </w:tc>
      </w:tr>
      <w:tr>
        <w:tc>
          <w:tcPr>
            <w:tcW w:type="dxa" w:w="35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Temperatura media</w:t>
            </w:r>
          </w:p>
        </w:tc>
        <w:tc>
          <w:tcPr>
            <w:tcW w:type="dxa" w:w="56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-60 °C con variaciones de ±60 °C diarios</w:t>
            </w:r>
          </w:p>
        </w:tc>
      </w:tr>
    </w:tbl>
    <w:p>
      <w:pPr>
        <w:spacing w:after="80" w:before="80"/>
      </w:pPr>
      <w:r>
        <w:t xml:space="preserve"/>
      </w:r>
    </w:p>
    <w:p>
      <w:pPr>
        <w:pStyle w:val="Heading1"/>
        <w:spacing w:after="120" w:before="280"/>
      </w:pPr>
      <w:r>
        <w:rPr>
          <w:rFonts w:ascii="Arial" w:cs="Arial" w:eastAsia="Arial" w:hAnsi="Arial"/>
          <w:b/>
          <w:bCs/>
          <w:color w:val="B22222"/>
          <w:sz w:val="28"/>
          <w:szCs w:val="28"/>
        </w:rPr>
        <w:t xml:space="preserve">1. CONTEXTO Y DESAFÍO</w:t>
      </w:r>
    </w:p>
    <w:p>
      <w:pPr>
        <w:spacing w:after="60" w:before="60"/>
      </w:pPr>
      <w:r>
        <w:rPr>
          <w:rFonts w:ascii="Arial" w:cs="Arial" w:eastAsia="Arial" w:hAnsi="Arial"/>
          <w:sz w:val="20"/>
          <w:szCs w:val="20"/>
        </w:rPr>
        <w:t xml:space="preserve">Marte representa el entorno más hostil al que se ha enfrentado la humanidad para habitar. Con una atmósfera compuesta en un 95% de CO₂, presión de 0,6 kPa (menos del 1% de la terrestre), temperaturas que oscilan entre -125 °C y 20 °C, radiación cósmica sin filtro magnético y suelo con percloratos tóxicos, una misión humana no puede depender de reabastecimiento desde la Tierra: las ventanas de lanzamiento se abren cada 26 meses.</w:t>
      </w:r>
    </w:p>
    <w:p>
      <w:pPr>
        <w:spacing w:after="80" w:before="80"/>
      </w:pPr>
      <w:r>
        <w:t xml:space="preserve"/>
      </w:r>
    </w:p>
    <w:p>
      <w:pPr>
        <w:spacing w:after="60" w:before="60"/>
      </w:pPr>
      <w:r>
        <w:rPr>
          <w:rFonts w:ascii="Arial" w:cs="Arial" w:eastAsia="Arial" w:hAnsi="Arial"/>
          <w:sz w:val="20"/>
          <w:szCs w:val="20"/>
        </w:rPr>
        <w:t xml:space="preserve">El hábitat debe operar como un sistema vivo: reciclar aire, agua y nutrientes, producir energía y alimentos, gestionar residuos y sostener el bienestar físico y psicológico de la tripulación. Argentina aporta capacidades únicas en energía nuclear, biotecnología, agricultura, robótica y software que integramos en este diseño.</w:t>
      </w:r>
    </w:p>
    <w:p>
      <w:pPr>
        <w:spacing w:after="80" w:before="80"/>
      </w:pPr>
      <w:r>
        <w:t xml:space="preserve"/>
      </w:r>
    </w:p>
    <w:p>
      <w:pPr>
        <w:spacing w:after="60" w:before="60"/>
      </w:pPr>
      <w:r>
        <w:rPr>
          <w:rFonts w:ascii="Arial" w:cs="Arial" w:eastAsia="Arial" w:hAnsi="Arial"/>
          <w:sz w:val="20"/>
          <w:szCs w:val="20"/>
        </w:rPr>
        <w:t xml:space="preserve">La elección de Arcadia Planitia responde a múltiples factores estratégicos: terreno llano ideal para despliegue robótico, hielo subsuperficial a solo 1-3 metros de profundidad (confirmado por SHARAD/MRO), estructuras de mayor altitud que reducen el impacto de tormentas de polvo, y latitud media que permite ciclos solares aprovechables durante gran parte del año marciano.</w:t>
      </w:r>
    </w:p>
    <w:p>
      <w:pPr>
        <w:spacing w:after="80" w:before="80"/>
      </w:pPr>
      <w:r>
        <w:t xml:space="preserve"/>
      </w:r>
    </w:p>
    <w:p>
      <w:pPr>
        <w:pStyle w:val="Heading1"/>
        <w:spacing w:after="120" w:before="280"/>
      </w:pPr>
      <w:r>
        <w:rPr>
          <w:rFonts w:ascii="Arial" w:cs="Arial" w:eastAsia="Arial" w:hAnsi="Arial"/>
          <w:b/>
          <w:bCs/>
          <w:color w:val="B22222"/>
          <w:sz w:val="28"/>
          <w:szCs w:val="28"/>
        </w:rPr>
        <w:t xml:space="preserve">2. ARQUITECTURA DEL HÁBITAT: ESTRUCTURA Y PROTECCIÓN</w:t>
      </w:r>
    </w:p>
    <w:p>
      <w:pPr>
        <w:pStyle w:val="Heading2"/>
        <w:spacing w:after="80" w:before="200"/>
      </w:pPr>
      <w:r>
        <w:rPr>
          <w:rFonts w:ascii="Arial" w:cs="Arial" w:eastAsia="Arial" w:hAnsi="Arial"/>
          <w:b/>
          <w:bCs/>
          <w:color w:val="2C2C2C"/>
          <w:sz w:val="24"/>
          <w:szCs w:val="24"/>
        </w:rPr>
        <w:t xml:space="preserve">2.1 Diseño Estructural</w:t>
      </w:r>
    </w:p>
    <w:p>
      <w:pPr>
        <w:spacing w:after="60" w:before="60"/>
      </w:pPr>
      <w:r>
        <w:rPr>
          <w:rFonts w:ascii="Arial" w:cs="Arial" w:eastAsia="Arial" w:hAnsi="Arial"/>
          <w:sz w:val="20"/>
          <w:szCs w:val="20"/>
        </w:rPr>
        <w:t xml:space="preserve">El hábitat adopta una configuración modular subterránea con cúpulas hemisféricas de superficie. La ubicación parcialmente enterrada (1,5-2 m) reduce drásticamente la exposición a radiación cósmica galáctica (GCR) y rayos UV, aprovechando el regolito marciano como escudo natural.</w:t>
      </w:r>
    </w:p>
    <w:p>
      <w:pPr>
        <w:spacing w:after="80" w:before="80"/>
      </w:pPr>
      <w:r>
        <w:t xml:space="preserve"/>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926"/>
      </w:tblGrid>
      <w:tr>
        <w:trPr>
          <w:tblHeader/>
        </w:trPr>
        <w:tc>
          <w:tcPr>
            <w:tcW w:type="dxa" w:w="24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Módulo</w:t>
            </w:r>
          </w:p>
        </w:tc>
        <w:tc>
          <w:tcPr>
            <w:tcW w:type="dxa" w:w="18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Área</w:t>
            </w:r>
          </w:p>
        </w:tc>
        <w:tc>
          <w:tcPr>
            <w:tcW w:type="dxa" w:w="4926"/>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Función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Central (MC)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120 m²</w:t>
            </w:r>
          </w:p>
        </w:tc>
        <w:tc>
          <w:tcPr>
            <w:tcW w:type="dxa" w:w="4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Laboratorio, comunicaciones y control de misión</w:t>
            </w:r>
          </w:p>
        </w:tc>
      </w:tr>
      <w:tr>
        <w:tc>
          <w:tcPr>
            <w:tcW w:type="dxa" w:w="24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Habitacional (MH)</w:t>
            </w:r>
          </w:p>
        </w:tc>
        <w:tc>
          <w:tcPr>
            <w:tcW w:type="dxa" w:w="18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80 m² / 2 tripulantes</w:t>
            </w:r>
          </w:p>
        </w:tc>
        <w:tc>
          <w:tcPr>
            <w:tcW w:type="dxa" w:w="49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Dormitorios, zona de bienestar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Biosoporte (MB)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 m²</w:t>
            </w:r>
          </w:p>
        </w:tc>
        <w:tc>
          <w:tcPr>
            <w:tcW w:type="dxa" w:w="4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Invernadero, reciclaje de aire y agua</w:t>
            </w:r>
          </w:p>
        </w:tc>
      </w:tr>
      <w:tr>
        <w:tc>
          <w:tcPr>
            <w:tcW w:type="dxa" w:w="24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Potencia (MP)</w:t>
            </w:r>
          </w:p>
        </w:tc>
        <w:tc>
          <w:tcPr>
            <w:tcW w:type="dxa" w:w="18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40 m²</w:t>
            </w:r>
          </w:p>
        </w:tc>
        <w:tc>
          <w:tcPr>
            <w:tcW w:type="dxa" w:w="49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Gestión energética, baterías, reactor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EVA / Airlock (ME)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 m²</w:t>
            </w:r>
          </w:p>
        </w:tc>
        <w:tc>
          <w:tcPr>
            <w:tcW w:type="dxa" w:w="4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Transición interior-exterior, almacén de trajes</w:t>
            </w:r>
          </w:p>
        </w:tc>
      </w:tr>
      <w:tr>
        <w:tc>
          <w:tcPr>
            <w:tcW w:type="dxa" w:w="24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Mantenimiento Robótico (MR)</w:t>
            </w:r>
          </w:p>
        </w:tc>
        <w:tc>
          <w:tcPr>
            <w:tcW w:type="dxa" w:w="18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25 m²</w:t>
            </w:r>
          </w:p>
        </w:tc>
        <w:tc>
          <w:tcPr>
            <w:tcW w:type="dxa" w:w="49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Hangar de robots, fabricación 3D</w:t>
            </w:r>
          </w:p>
        </w:tc>
      </w:tr>
    </w:tbl>
    <w:p>
      <w:pPr>
        <w:spacing w:after="80" w:before="80"/>
      </w:pPr>
      <w:r>
        <w:t xml:space="preserve"/>
      </w:r>
    </w:p>
    <w:p>
      <w:pPr>
        <w:pStyle w:val="Heading2"/>
        <w:spacing w:after="80" w:before="200"/>
      </w:pPr>
      <w:r>
        <w:rPr>
          <w:rFonts w:ascii="Arial" w:cs="Arial" w:eastAsia="Arial" w:hAnsi="Arial"/>
          <w:b/>
          <w:bCs/>
          <w:color w:val="2C2C2C"/>
          <w:sz w:val="24"/>
          <w:szCs w:val="24"/>
        </w:rPr>
        <w:t xml:space="preserve">2.2 Protección contra Radiación</w:t>
      </w:r>
    </w:p>
    <w:p>
      <w:pPr>
        <w:spacing w:after="60" w:before="60"/>
      </w:pPr>
      <w:r>
        <w:rPr>
          <w:rFonts w:ascii="Arial" w:cs="Arial" w:eastAsia="Arial" w:hAnsi="Arial"/>
          <w:sz w:val="20"/>
          <w:szCs w:val="20"/>
        </w:rPr>
        <w:t xml:space="preserve">La radiación es la amenaza primaria para misiones de larga duración. Combinamos cuatro capas de protección:</w:t>
      </w:r>
    </w:p>
    <w:p>
      <w:pPr>
        <w:spacing w:after="80" w:before="80"/>
      </w:pPr>
      <w:r>
        <w:t xml:space="preserve"/>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300"/>
        <w:gridCol w:w="2826"/>
      </w:tblGrid>
      <w:tr>
        <w:trPr>
          <w:tblHeader/>
        </w:trPr>
        <w:tc>
          <w:tcPr>
            <w:tcW w:type="dxa" w:w="22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Capa</w:t>
            </w:r>
          </w:p>
        </w:tc>
        <w:tc>
          <w:tcPr>
            <w:tcW w:type="dxa" w:w="28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Material</w:t>
            </w:r>
          </w:p>
        </w:tc>
        <w:tc>
          <w:tcPr>
            <w:tcW w:type="dxa" w:w="13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Espesor</w:t>
            </w:r>
          </w:p>
        </w:tc>
        <w:tc>
          <w:tcPr>
            <w:tcW w:type="dxa" w:w="2826"/>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Reducción estimada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1 - Regolito procesado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Ladrillos de regolito compactado (impresión 3D in-situ)</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50-80 cm</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~70% GCR</w:t>
            </w:r>
          </w:p>
        </w:tc>
      </w:tr>
      <w:tr>
        <w:tc>
          <w:tcPr>
            <w:tcW w:type="dxa" w:w="22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2 - Polietileno enriquecido con H</w:t>
            </w:r>
          </w:p>
        </w:tc>
        <w:tc>
          <w:tcPr>
            <w:tcW w:type="dxa" w:w="28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Materiales con alto contenido de hidrógeno</w:t>
            </w:r>
          </w:p>
        </w:tc>
        <w:tc>
          <w:tcPr>
            <w:tcW w:type="dxa" w:w="13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15 cm</w:t>
            </w:r>
          </w:p>
        </w:tc>
        <w:tc>
          <w:tcPr>
            <w:tcW w:type="dxa" w:w="28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~20% GCR adicional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3 - Superbobinas superconductoras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Campo magnético artificial perimetral (5-10 mT)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Perimetral</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~30-40% partículas cargadas</w:t>
            </w:r>
          </w:p>
        </w:tc>
      </w:tr>
      <w:tr>
        <w:tc>
          <w:tcPr>
            <w:tcW w:type="dxa" w:w="22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4 - Subterráneo (regolito nativo)</w:t>
            </w:r>
          </w:p>
        </w:tc>
        <w:tc>
          <w:tcPr>
            <w:tcW w:type="dxa" w:w="28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1,5 m de suelo marciano sobre cúpula</w:t>
            </w:r>
          </w:p>
        </w:tc>
        <w:tc>
          <w:tcPr>
            <w:tcW w:type="dxa" w:w="13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150 cm</w:t>
            </w:r>
          </w:p>
        </w:tc>
        <w:tc>
          <w:tcPr>
            <w:tcW w:type="dxa" w:w="28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&gt;60% GCR total</w:t>
            </w:r>
          </w:p>
        </w:tc>
      </w:tr>
    </w:tbl>
    <w:p>
      <w:pPr>
        <w:spacing w:after="80" w:before="80"/>
      </w:pPr>
      <w:r>
        <w:t xml:space="preserve"/>
      </w:r>
    </w:p>
    <w:p>
      <w:pPr>
        <w:spacing w:after="60" w:before="60"/>
      </w:pPr>
      <w:r>
        <w:rPr>
          <w:rFonts w:ascii="Arial" w:cs="Arial" w:eastAsia="Arial" w:hAnsi="Arial"/>
          <w:sz w:val="20"/>
          <w:szCs w:val="20"/>
        </w:rPr>
        <w:t xml:space="preserve">Protección anti-bit flips (SEU): memorias ECC en todos los sistemas críticos, triple redundancia de votos (TMR) en CPUs de soporte vital, blindaje de aluminio-polietileno en racks de computadoras y watchdog timers con reinicio automático ante errores irrecuperables.</w:t>
      </w:r>
    </w:p>
    <w:p>
      <w:pPr>
        <w:spacing w:after="80" w:before="80"/>
      </w:pPr>
      <w:r>
        <w:t xml:space="preserve"/>
      </w:r>
    </w:p>
    <w:p>
      <w:pPr>
        <w:pStyle w:val="Heading2"/>
        <w:spacing w:after="80" w:before="200"/>
      </w:pPr>
      <w:r>
        <w:rPr>
          <w:rFonts w:ascii="Arial" w:cs="Arial" w:eastAsia="Arial" w:hAnsi="Arial"/>
          <w:b/>
          <w:bCs/>
          <w:color w:val="2C2C2C"/>
          <w:sz w:val="24"/>
          <w:szCs w:val="24"/>
        </w:rPr>
        <w:t xml:space="preserve">2.3 Gestión Térmica</w:t>
      </w:r>
    </w:p>
    <w:p>
      <w:pPr>
        <w:spacing w:after="60" w:before="60"/>
      </w:pPr>
      <w:r>
        <w:rPr>
          <w:rFonts w:ascii="Arial" w:cs="Arial" w:eastAsia="Arial" w:hAnsi="Arial"/>
          <w:sz w:val="20"/>
          <w:szCs w:val="20"/>
        </w:rPr>
        <w:t xml:space="preserve">El ciclo térmico marciano (hasta 80 °C de variación diaria) requiere aislamiento activo y pasivo. La principal fuente de calor del hábitat es el reactor nuclear micro-SMR: su calor residual se canaliza mediante intercambiadores térmicos hacia los módulos habitacionales, reduciendo el consumo eléctrico destinado a calefacción por resistencia.</w:t>
      </w:r>
    </w:p>
    <w:p>
      <w:pPr>
        <w:pStyle w:val="ListParagraph"/>
        <w:numPr>
          <w:ilvl w:val="0"/>
          <w:numId w:val="2"/>
        </w:numPr>
        <w:spacing w:after="40" w:before="40"/>
      </w:pPr>
      <w:r>
        <w:rPr>
          <w:rFonts w:ascii="Arial" w:cs="Arial" w:eastAsia="Arial" w:hAnsi="Arial"/>
          <w:sz w:val="20"/>
          <w:szCs w:val="20"/>
        </w:rPr>
        <w:t xml:space="preserve">Paneles de aerogel de sílice (k = 0,015 W/mK) en muros exteriores</w:t>
      </w:r>
    </w:p>
    <w:p>
      <w:pPr>
        <w:pStyle w:val="ListParagraph"/>
        <w:numPr>
          <w:ilvl w:val="0"/>
          <w:numId w:val="2"/>
        </w:numPr>
        <w:spacing w:after="40" w:before="40"/>
      </w:pPr>
      <w:r>
        <w:rPr>
          <w:rFonts w:ascii="Arial" w:cs="Arial" w:eastAsia="Arial" w:hAnsi="Arial"/>
          <w:sz w:val="20"/>
          <w:szCs w:val="20"/>
        </w:rPr>
        <w:t xml:space="preserve">Sistema de heat pipes de amoníaco para redistribución de calor</w:t>
      </w:r>
    </w:p>
    <w:p>
      <w:pPr>
        <w:pStyle w:val="ListParagraph"/>
        <w:numPr>
          <w:ilvl w:val="0"/>
          <w:numId w:val="2"/>
        </w:numPr>
        <w:spacing w:after="40" w:before="40"/>
      </w:pPr>
      <w:r>
        <w:rPr>
          <w:rFonts w:ascii="Arial" w:cs="Arial" w:eastAsia="Arial" w:hAnsi="Arial"/>
          <w:sz w:val="20"/>
          <w:szCs w:val="20"/>
        </w:rPr>
        <w:t xml:space="preserve">Calefacción por resistencia eléctrica de reserva en períodos de frío extremo</w:t>
      </w:r>
    </w:p>
    <w:p>
      <w:pPr>
        <w:pStyle w:val="ListParagraph"/>
        <w:numPr>
          <w:ilvl w:val="0"/>
          <w:numId w:val="2"/>
        </w:numPr>
        <w:spacing w:after="40" w:before="40"/>
      </w:pPr>
      <w:r>
        <w:rPr>
          <w:rFonts w:ascii="Arial" w:cs="Arial" w:eastAsia="Arial" w:hAnsi="Arial"/>
          <w:sz w:val="20"/>
          <w:szCs w:val="20"/>
        </w:rPr>
        <w:t xml:space="preserve">Intercambiadores térmicos que recuperan calor de procesos industriales (MOXIE, electrólisis)</w:t>
      </w:r>
    </w:p>
    <w:p>
      <w:pPr>
        <w:spacing w:after="80" w:before="80"/>
      </w:pPr>
      <w:r>
        <w:t xml:space="preserve"/>
      </w:r>
    </w:p>
    <w:p>
      <w:pPr>
        <w:pStyle w:val="Heading1"/>
        <w:spacing w:after="120" w:before="280"/>
      </w:pPr>
      <w:r>
        <w:rPr>
          <w:rFonts w:ascii="Arial" w:cs="Arial" w:eastAsia="Arial" w:hAnsi="Arial"/>
          <w:b/>
          <w:bCs/>
          <w:color w:val="B22222"/>
          <w:sz w:val="28"/>
          <w:szCs w:val="28"/>
        </w:rPr>
        <w:t xml:space="preserve">3. SISTEMA DE SOPORTE VITAL Y REGENERACIÓN</w:t>
      </w:r>
    </w:p>
    <w:p>
      <w:pPr>
        <w:pStyle w:val="Heading2"/>
        <w:spacing w:after="80" w:before="200"/>
      </w:pPr>
      <w:r>
        <w:rPr>
          <w:rFonts w:ascii="Arial" w:cs="Arial" w:eastAsia="Arial" w:hAnsi="Arial"/>
          <w:b/>
          <w:bCs/>
          <w:color w:val="2C2C2C"/>
          <w:sz w:val="24"/>
          <w:szCs w:val="24"/>
        </w:rPr>
        <w:t xml:space="preserve">3.1 Ciclo del Aire</w:t>
      </w:r>
    </w:p>
    <w:p>
      <w:pPr>
        <w:spacing w:after="60" w:before="60"/>
      </w:pPr>
      <w:r>
        <w:rPr>
          <w:rFonts w:ascii="Arial" w:cs="Arial" w:eastAsia="Arial" w:hAnsi="Arial"/>
          <w:sz w:val="20"/>
          <w:szCs w:val="20"/>
        </w:rPr>
        <w:t xml:space="preserve">El sistema de gestión atmosférica opera en ciclo casi cerrado. La mezcla interior es 21% O₂ / 79% N₂ a 70 kPa (equivalente a 3.000 m de altitud terrestre). El sistema Sabatier convierte CO₂ + H₂ en CH₄ + H₂O, recuperando agua y metano (combustible de reserva). Redundancia: 2 sistemas MOXIE independientes + cartuchos LiOH de emergencia para 72 horas.</w:t>
      </w:r>
    </w:p>
    <w:p>
      <w:pPr>
        <w:spacing w:after="80" w:before="80"/>
      </w:pPr>
      <w:r>
        <w:t xml:space="preserve"/>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326"/>
      </w:tblGrid>
      <w:tr>
        <w:trPr>
          <w:tblHeader/>
        </w:trPr>
        <w:tc>
          <w:tcPr>
            <w:tcW w:type="dxa" w:w="24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Proceso</w:t>
            </w:r>
          </w:p>
        </w:tc>
        <w:tc>
          <w:tcPr>
            <w:tcW w:type="dxa" w:w="34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Tecnología</w:t>
            </w:r>
          </w:p>
        </w:tc>
        <w:tc>
          <w:tcPr>
            <w:tcW w:type="dxa" w:w="3326"/>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Origen argentino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CO₂ → O₂ (MOXIE-2)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Electrólisis de óxido sólido a 800 °C, produce 25 g/h de O₂ por unidad</w:t>
            </w:r>
          </w:p>
        </w:tc>
        <w:tc>
          <w:tcPr>
            <w:tcW w:type="dxa" w:w="3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INVAP: ingeniería de reactores de alta temperatura</w:t>
            </w:r>
          </w:p>
        </w:tc>
      </w:tr>
      <w:tr>
        <w:tc>
          <w:tcPr>
            <w:tcW w:type="dxa" w:w="24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Filtro de CO₂</w:t>
            </w:r>
          </w:p>
        </w:tc>
        <w:tc>
          <w:tcPr>
            <w:tcW w:type="dxa" w:w="34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Zeolitas regenerativas (Sabatier-modificado) + aminas líquidas</w:t>
            </w:r>
          </w:p>
        </w:tc>
        <w:tc>
          <w:tcPr>
            <w:tcW w:type="dxa" w:w="33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CONICET: materiales porosos funcionales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Control N₂</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Tanques criogénicos de N₂ terrestre + recuperación de metabolismo (destilación criogénica de atmósfera marciana)</w:t>
            </w:r>
          </w:p>
        </w:tc>
        <w:tc>
          <w:tcPr>
            <w:tcW w:type="dxa" w:w="3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24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Detección de gases</w:t>
            </w:r>
          </w:p>
        </w:tc>
        <w:tc>
          <w:tcPr>
            <w:tcW w:type="dxa" w:w="34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Sensores de estado sólido múltiples (CO, NH₃, VOCs)</w:t>
            </w:r>
          </w:p>
        </w:tc>
        <w:tc>
          <w:tcPr>
            <w:tcW w:type="dxa" w:w="33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INTI: sensores de precisión industrial</w:t>
            </w:r>
          </w:p>
        </w:tc>
      </w:tr>
    </w:tbl>
    <w:p>
      <w:pPr>
        <w:spacing w:after="80" w:before="80"/>
      </w:pPr>
      <w:r>
        <w:t xml:space="preserve"/>
      </w:r>
    </w:p>
    <w:p>
      <w:pPr>
        <w:spacing w:after="60" w:before="60"/>
      </w:pPr>
      <w:r>
        <w:rPr>
          <w:rFonts w:ascii="Arial" w:cs="Arial" w:eastAsia="Arial" w:hAnsi="Arial"/>
          <w:sz w:val="20"/>
          <w:szCs w:val="20"/>
        </w:rPr>
        <w:t xml:space="preserve">Presurización del hábitat: el O₂ producido pasa por un compresor tipo scroll → tanque de alta presión (4.500 psi) → regulador intermedio (145 psi) → red de ductos (~14,5 psi) → difusores por zona. El N₂ se obtiene por destilación criogénica de la atmósfera marciana usando energía del reactor nuclear.</w:t>
      </w:r>
    </w:p>
    <w:p>
      <w:pPr>
        <w:spacing w:after="80" w:before="80"/>
      </w:pPr>
      <w:r>
        <w:t xml:space="preserve"/>
      </w:r>
    </w:p>
    <w:p>
      <w:pPr>
        <w:pStyle w:val="Heading2"/>
        <w:spacing w:after="80" w:before="200"/>
      </w:pPr>
      <w:r>
        <w:rPr>
          <w:rFonts w:ascii="Arial" w:cs="Arial" w:eastAsia="Arial" w:hAnsi="Arial"/>
          <w:b/>
          <w:bCs/>
          <w:color w:val="2C2C2C"/>
          <w:sz w:val="24"/>
          <w:szCs w:val="24"/>
        </w:rPr>
        <w:t xml:space="preserve">3.2 Ciclo del Agua</w:t>
      </w:r>
    </w:p>
    <w:p>
      <w:pPr>
        <w:spacing w:after="60" w:before="60"/>
      </w:pPr>
      <w:r>
        <w:rPr>
          <w:rFonts w:ascii="Arial" w:cs="Arial" w:eastAsia="Arial" w:hAnsi="Arial"/>
          <w:sz w:val="20"/>
          <w:szCs w:val="20"/>
        </w:rPr>
        <w:t xml:space="preserve">El agua es el recurso más crítico. Operamos con un sistema de recuperación de alta eficiencia (&gt;98%) más extracción de hielo local en Arcadia Planitia.</w:t>
      </w:r>
    </w:p>
    <w:p>
      <w:pPr>
        <w:pStyle w:val="ListParagraph"/>
        <w:numPr>
          <w:ilvl w:val="0"/>
          <w:numId w:val="2"/>
        </w:numPr>
        <w:spacing w:after="40" w:before="40"/>
      </w:pPr>
      <w:r>
        <w:rPr>
          <w:rFonts w:ascii="Arial" w:cs="Arial" w:eastAsia="Arial" w:hAnsi="Arial"/>
          <w:sz w:val="20"/>
          <w:szCs w:val="20"/>
        </w:rPr>
        <w:t xml:space="preserve">Extracción de hielo: meltsondes térmicas a 1-2 m de profundidad. Producción estimada: 5-10 L/día</w:t>
      </w:r>
    </w:p>
    <w:p>
      <w:pPr>
        <w:pStyle w:val="ListParagraph"/>
        <w:numPr>
          <w:ilvl w:val="0"/>
          <w:numId w:val="2"/>
        </w:numPr>
        <w:spacing w:after="40" w:before="40"/>
      </w:pPr>
      <w:r>
        <w:rPr>
          <w:rFonts w:ascii="Arial" w:cs="Arial" w:eastAsia="Arial" w:hAnsi="Arial"/>
          <w:sz w:val="20"/>
          <w:szCs w:val="20"/>
        </w:rPr>
        <w:t xml:space="preserve">Reciclaje de aguas grises: biorreactor de membrana (MBR) con ultrafiltración y UV</w:t>
      </w:r>
    </w:p>
    <w:p>
      <w:pPr>
        <w:pStyle w:val="ListParagraph"/>
        <w:numPr>
          <w:ilvl w:val="0"/>
          <w:numId w:val="2"/>
        </w:numPr>
        <w:spacing w:after="40" w:before="40"/>
      </w:pPr>
      <w:r>
        <w:rPr>
          <w:rFonts w:ascii="Arial" w:cs="Arial" w:eastAsia="Arial" w:hAnsi="Arial"/>
          <w:sz w:val="20"/>
          <w:szCs w:val="20"/>
        </w:rPr>
        <w:t xml:space="preserve">Recuperación de vapor: condensadores en sistema HVAC — captura &gt;95% del vapor respirado</w:t>
      </w:r>
    </w:p>
    <w:p>
      <w:pPr>
        <w:pStyle w:val="ListParagraph"/>
        <w:numPr>
          <w:ilvl w:val="0"/>
          <w:numId w:val="2"/>
        </w:numPr>
        <w:spacing w:after="40" w:before="40"/>
      </w:pPr>
      <w:r>
        <w:rPr>
          <w:rFonts w:ascii="Arial" w:cs="Arial" w:eastAsia="Arial" w:hAnsi="Arial"/>
          <w:sz w:val="20"/>
          <w:szCs w:val="20"/>
        </w:rPr>
        <w:t xml:space="preserve">Procesado de percloratos: electrólisis para descomposición de ClO₄⁻ antes del consumo</w:t>
      </w:r>
    </w:p>
    <w:p>
      <w:pPr>
        <w:pStyle w:val="ListParagraph"/>
        <w:numPr>
          <w:ilvl w:val="0"/>
          <w:numId w:val="2"/>
        </w:numPr>
        <w:spacing w:after="40" w:before="40"/>
      </w:pPr>
      <w:r>
        <w:rPr>
          <w:rFonts w:ascii="Arial" w:cs="Arial" w:eastAsia="Arial" w:hAnsi="Arial"/>
          <w:sz w:val="20"/>
          <w:szCs w:val="20"/>
        </w:rPr>
        <w:t xml:space="preserve">Electrodinálmica de plasma (EDL): purificación final a nivel molecular</w:t>
      </w:r>
    </w:p>
    <w:p>
      <w:pPr>
        <w:spacing w:after="80" w:before="80"/>
      </w:pPr>
      <w:r>
        <w:t xml:space="preserve"/>
      </w:r>
    </w:p>
    <w:p>
      <w:pPr>
        <w:pStyle w:val="Heading2"/>
        <w:spacing w:after="80" w:before="200"/>
      </w:pPr>
      <w:r>
        <w:rPr>
          <w:rFonts w:ascii="Arial" w:cs="Arial" w:eastAsia="Arial" w:hAnsi="Arial"/>
          <w:b/>
          <w:bCs/>
          <w:color w:val="2C2C2C"/>
          <w:sz w:val="24"/>
          <w:szCs w:val="24"/>
        </w:rPr>
        <w:t xml:space="preserve">3.3 Producción de Alimentos — Huerta Marciana</w:t>
      </w:r>
    </w:p>
    <w:p>
      <w:pPr>
        <w:spacing w:after="60" w:before="60"/>
      </w:pPr>
      <w:r>
        <w:rPr>
          <w:rFonts w:ascii="Arial" w:cs="Arial" w:eastAsia="Arial" w:hAnsi="Arial"/>
          <w:sz w:val="20"/>
          <w:szCs w:val="20"/>
        </w:rPr>
        <w:t xml:space="preserve">El módulo MB aloja un sistema de cultivo en ambiente controlado (CEA) que provee el 35-50% del aporte calórico de la tripulación. La producción se organiza en tres fases:</w:t>
      </w:r>
    </w:p>
    <w:p>
      <w:pPr>
        <w:pStyle w:val="ListParagraph"/>
        <w:numPr>
          <w:ilvl w:val="0"/>
          <w:numId w:val="2"/>
        </w:numPr>
        <w:spacing w:after="40" w:before="40"/>
      </w:pPr>
      <w:r>
        <w:rPr>
          <w:rFonts w:ascii="Arial" w:cs="Arial" w:eastAsia="Arial" w:hAnsi="Arial"/>
          <w:sz w:val="20"/>
          <w:szCs w:val="20"/>
        </w:rPr>
        <w:t xml:space="preserve">Fase 1 — Tránsito y primer mes: alimentos liofilizados y retortables de alta densidad calórica traídos desde la Tierra</w:t>
      </w:r>
    </w:p>
    <w:p>
      <w:pPr>
        <w:pStyle w:val="ListParagraph"/>
        <w:numPr>
          <w:ilvl w:val="0"/>
          <w:numId w:val="2"/>
        </w:numPr>
        <w:spacing w:after="40" w:before="40"/>
      </w:pPr>
      <w:r>
        <w:rPr>
          <w:rFonts w:ascii="Arial" w:cs="Arial" w:eastAsia="Arial" w:hAnsi="Arial"/>
          <w:sz w:val="20"/>
          <w:szCs w:val="20"/>
        </w:rPr>
        <w:t xml:space="preserve">Fase 2 — Sustento rápido (1-3 semanas): brotes y microgreens de ciclo corto (alfalfa, rábano, brócoli, rúcula)</w:t>
      </w:r>
    </w:p>
    <w:p>
      <w:pPr>
        <w:pStyle w:val="ListParagraph"/>
        <w:numPr>
          <w:ilvl w:val="0"/>
          <w:numId w:val="2"/>
        </w:numPr>
        <w:spacing w:after="40" w:before="40"/>
      </w:pPr>
      <w:r>
        <w:rPr>
          <w:rFonts w:ascii="Arial" w:cs="Arial" w:eastAsia="Arial" w:hAnsi="Arial"/>
          <w:sz w:val="20"/>
          <w:szCs w:val="20"/>
        </w:rPr>
        <w:t xml:space="preserve">Fase 3 — Sustento mayor (ciclo largo): cultivos de alto rendimiento calórico y nutricional</w:t>
      </w:r>
    </w:p>
    <w:p>
      <w:pPr>
        <w:spacing w:after="80" w:before="80"/>
      </w:pPr>
      <w:r>
        <w:t xml:space="preserve"/>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000"/>
        <w:gridCol w:w="2826"/>
      </w:tblGrid>
      <w:tr>
        <w:trPr>
          <w:tblHeader/>
        </w:trPr>
        <w:tc>
          <w:tcPr>
            <w:tcW w:type="dxa" w:w="22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Cultivo</w:t>
            </w:r>
          </w:p>
        </w:tc>
        <w:tc>
          <w:tcPr>
            <w:tcW w:type="dxa" w:w="21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Rendimiento (kg/m²/mes)</w:t>
            </w:r>
          </w:p>
        </w:tc>
        <w:tc>
          <w:tcPr>
            <w:tcW w:type="dxa" w:w="20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Días hasta cosecha</w:t>
            </w:r>
          </w:p>
        </w:tc>
        <w:tc>
          <w:tcPr>
            <w:tcW w:type="dxa" w:w="2826"/>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Aporte nutricional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Lechuga (NASA Veggie)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3,5 - 5,0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28-35</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Vitaminas A, C, K</w:t>
            </w:r>
          </w:p>
        </w:tc>
      </w:tr>
      <w:tr>
        <w:tc>
          <w:tcPr>
            <w:tcW w:type="dxa" w:w="22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Trigo enano (dwarf)</w:t>
            </w:r>
          </w:p>
        </w:tc>
        <w:tc>
          <w:tcPr>
            <w:tcW w:type="dxa" w:w="21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1,2 - 2,0</w:t>
            </w:r>
          </w:p>
        </w:tc>
        <w:tc>
          <w:tcPr>
            <w:tcW w:type="dxa" w:w="20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60-70</w:t>
            </w:r>
          </w:p>
        </w:tc>
        <w:tc>
          <w:tcPr>
            <w:tcW w:type="dxa" w:w="28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Carbohidratos, proteína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Papa / batata adaptada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4,0 - 6,0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90-110</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Calorías, K, B6</w:t>
            </w:r>
          </w:p>
        </w:tc>
      </w:tr>
      <w:tr>
        <w:tc>
          <w:tcPr>
            <w:tcW w:type="dxa" w:w="22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Soja (variedad nano)</w:t>
            </w:r>
          </w:p>
        </w:tc>
        <w:tc>
          <w:tcPr>
            <w:tcW w:type="dxa" w:w="21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1,5 - 2,5</w:t>
            </w:r>
          </w:p>
        </w:tc>
        <w:tc>
          <w:tcPr>
            <w:tcW w:type="dxa" w:w="20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80-90</w:t>
            </w:r>
          </w:p>
        </w:tc>
        <w:tc>
          <w:tcPr>
            <w:tcW w:type="dxa" w:w="28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Proteína completa, grasas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Microalgas Spirulina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0,5 - 1,0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Continuo</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Proteína 60%, B12</w:t>
            </w:r>
          </w:p>
        </w:tc>
      </w:tr>
      <w:tr>
        <w:tc>
          <w:tcPr>
            <w:tcW w:type="dxa" w:w="22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Tomates cherry</w:t>
            </w:r>
          </w:p>
        </w:tc>
        <w:tc>
          <w:tcPr>
            <w:tcW w:type="dxa" w:w="21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2,0 - 3,5</w:t>
            </w:r>
          </w:p>
        </w:tc>
        <w:tc>
          <w:tcPr>
            <w:tcW w:type="dxa" w:w="20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70-80</w:t>
            </w:r>
          </w:p>
        </w:tc>
        <w:tc>
          <w:tcPr>
            <w:tcW w:type="dxa" w:w="28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Vitaminas, antioxidantes</w:t>
            </w:r>
          </w:p>
        </w:tc>
      </w:tr>
    </w:tbl>
    <w:p>
      <w:pPr>
        <w:spacing w:after="80" w:before="80"/>
      </w:pPr>
      <w:r>
        <w:t xml:space="preserve"/>
      </w:r>
    </w:p>
    <w:p>
      <w:pPr>
        <w:spacing w:after="60" w:before="60"/>
      </w:pPr>
      <w:r>
        <w:rPr>
          <w:rFonts w:ascii="Arial" w:cs="Arial" w:eastAsia="Arial" w:hAnsi="Arial"/>
          <w:sz w:val="20"/>
          <w:szCs w:val="20"/>
        </w:rPr>
        <w:t xml:space="preserve">Sistemas de cultivo: hidroponía (raíces en solución nutritiva, 50% más rápido que agricultura tradicional), aeroponía (95% menos agua que agricultura terrestre, requiere energía constante del reactor) y regolito modificado (suelo marciano lavado de percloratos y enriquecido con compost para cultivos de raíz). Iluminación LED de espectro optimizado: 660 nm rojo + 450 nm azul con ciclos ajustables. El INTA aporta décadas de experiencia en agricultura de precisión en ambientes extremos (Patagonia, Puna).</w:t>
      </w:r>
    </w:p>
    <w:p>
      <w:pPr>
        <w:spacing w:after="80" w:before="80"/>
      </w:pPr>
      <w:r>
        <w:t xml:space="preserve"/>
      </w:r>
    </w:p>
    <w:p>
      <w:pPr>
        <w:pStyle w:val="Heading2"/>
        <w:spacing w:after="80" w:before="200"/>
      </w:pPr>
      <w:r>
        <w:rPr>
          <w:rFonts w:ascii="Arial" w:cs="Arial" w:eastAsia="Arial" w:hAnsi="Arial"/>
          <w:b/>
          <w:bCs/>
          <w:color w:val="2C2C2C"/>
          <w:sz w:val="24"/>
          <w:szCs w:val="24"/>
        </w:rPr>
        <w:t xml:space="preserve">3.4 Gestión de Residuos</w:t>
      </w:r>
    </w:p>
    <w:p>
      <w:pPr>
        <w:pStyle w:val="ListParagraph"/>
        <w:numPr>
          <w:ilvl w:val="0"/>
          <w:numId w:val="2"/>
        </w:numPr>
        <w:spacing w:after="40" w:before="40"/>
      </w:pPr>
      <w:r>
        <w:rPr>
          <w:rFonts w:ascii="Arial" w:cs="Arial" w:eastAsia="Arial" w:hAnsi="Arial"/>
          <w:sz w:val="20"/>
          <w:szCs w:val="20"/>
        </w:rPr>
        <w:t xml:space="preserve">Residuos orgánicos: digestor anaeróbico → CH₄ (combustible) + CO₂ (plantas) + biosólidos (fertilizante)</w:t>
      </w:r>
    </w:p>
    <w:p>
      <w:pPr>
        <w:pStyle w:val="ListParagraph"/>
        <w:numPr>
          <w:ilvl w:val="0"/>
          <w:numId w:val="2"/>
        </w:numPr>
        <w:spacing w:after="40" w:before="40"/>
      </w:pPr>
      <w:r>
        <w:rPr>
          <w:rFonts w:ascii="Arial" w:cs="Arial" w:eastAsia="Arial" w:hAnsi="Arial"/>
          <w:sz w:val="20"/>
          <w:szCs w:val="20"/>
        </w:rPr>
        <w:t xml:space="preserve">Residuos sólidos inertes: compactación e impresión 3D de piezas de repuesto</w:t>
      </w:r>
    </w:p>
    <w:p>
      <w:pPr>
        <w:pStyle w:val="ListParagraph"/>
        <w:numPr>
          <w:ilvl w:val="0"/>
          <w:numId w:val="2"/>
        </w:numPr>
        <w:spacing w:after="40" w:before="40"/>
      </w:pPr>
      <w:r>
        <w:rPr>
          <w:rFonts w:ascii="Arial" w:cs="Arial" w:eastAsia="Arial" w:hAnsi="Arial"/>
          <w:sz w:val="20"/>
          <w:szCs w:val="20"/>
        </w:rPr>
        <w:t xml:space="preserve">Aguas residuales: sistema MBR → reúso en cultivos o descarga controlada</w:t>
      </w:r>
    </w:p>
    <w:p>
      <w:pPr>
        <w:pStyle w:val="ListParagraph"/>
        <w:numPr>
          <w:ilvl w:val="0"/>
          <w:numId w:val="2"/>
        </w:numPr>
        <w:spacing w:after="40" w:before="40"/>
      </w:pPr>
      <w:r>
        <w:rPr>
          <w:rFonts w:ascii="Arial" w:cs="Arial" w:eastAsia="Arial" w:hAnsi="Arial"/>
          <w:sz w:val="20"/>
          <w:szCs w:val="20"/>
        </w:rPr>
        <w:t xml:space="preserve">Residuos electrónicos: recuperación de metales por flotación y lixiviación</w:t>
      </w:r>
    </w:p>
    <w:p>
      <w:pPr>
        <w:spacing w:after="80" w:before="80"/>
      </w:pPr>
      <w:r>
        <w:t xml:space="preserve"/>
      </w:r>
    </w:p>
    <w:p>
      <w:pPr>
        <w:pStyle w:val="Heading1"/>
        <w:spacing w:after="120" w:before="280"/>
      </w:pPr>
      <w:r>
        <w:rPr>
          <w:rFonts w:ascii="Arial" w:cs="Arial" w:eastAsia="Arial" w:hAnsi="Arial"/>
          <w:b/>
          <w:bCs/>
          <w:color w:val="B22222"/>
          <w:sz w:val="28"/>
          <w:szCs w:val="28"/>
        </w:rPr>
        <w:t xml:space="preserve">4. SISTEMA ENERGÉTICO</w:t>
      </w:r>
    </w:p>
    <w:p>
      <w:pPr>
        <w:spacing w:after="60" w:before="60"/>
      </w:pPr>
      <w:r>
        <w:rPr>
          <w:rFonts w:ascii="Arial" w:cs="Arial" w:eastAsia="Arial" w:hAnsi="Arial"/>
          <w:sz w:val="20"/>
          <w:szCs w:val="20"/>
        </w:rPr>
        <w:t xml:space="preserve">La estrategia energética es dual (solar + nuclear) con capacidad para operar al 100% en modo nuclear durante tormentas de polvo globales (100-200 días, irradiancia solar reducida al 2%). Los paneles solares cuentan con limpieza electrodinámicamente automática mediante electrodos sobre la superficie que levantan el polvo marciano sin intervención robótica ni uso de agua.</w:t>
      </w:r>
    </w:p>
    <w:p>
      <w:pPr>
        <w:spacing w:after="80" w:before="80"/>
      </w:pPr>
      <w:r>
        <w:t xml:space="preserve"/>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526"/>
      </w:tblGrid>
      <w:tr>
        <w:trPr>
          <w:tblHeader/>
        </w:trPr>
        <w:tc>
          <w:tcPr>
            <w:tcW w:type="dxa" w:w="26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Fuente</w:t>
            </w:r>
          </w:p>
        </w:tc>
        <w:tc>
          <w:tcPr>
            <w:tcW w:type="dxa" w:w="20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Potencia</w:t>
            </w:r>
          </w:p>
        </w:tc>
        <w:tc>
          <w:tcPr>
            <w:tcW w:type="dxa" w:w="20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Autonomía</w:t>
            </w:r>
          </w:p>
        </w:tc>
        <w:tc>
          <w:tcPr>
            <w:tcW w:type="dxa" w:w="2526"/>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Uso primario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Paneles fotovoltaicos bifaciales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80 kWe pico (500 m²)</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Operación normal</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Subsistemas generales</w:t>
            </w:r>
          </w:p>
        </w:tc>
      </w:tr>
      <w:tr>
        <w:tc>
          <w:tcPr>
            <w:tcW w:type="dxa" w:w="26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Reactor nuclear micro-SMR (INVAP)</w:t>
            </w:r>
          </w:p>
        </w:tc>
        <w:tc>
          <w:tcPr>
            <w:tcW w:type="dxa" w:w="20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40 kWe continuo</w:t>
            </w:r>
          </w:p>
        </w:tc>
        <w:tc>
          <w:tcPr>
            <w:tcW w:type="dxa" w:w="20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Ilimitada (10+ años)</w:t>
            </w:r>
          </w:p>
        </w:tc>
        <w:tc>
          <w:tcPr>
            <w:tcW w:type="dxa" w:w="25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Soporte vital + MOXIE + carga EVA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Baterías de estado sólido (Li-S)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48 h de reserva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Ciclo día/noche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Transición y emergencias</w:t>
            </w:r>
          </w:p>
        </w:tc>
      </w:tr>
      <w:tr>
        <w:tc>
          <w:tcPr>
            <w:tcW w:type="dxa" w:w="26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Pila de combustible H₂/O₂</w:t>
            </w:r>
          </w:p>
        </w:tc>
        <w:tc>
          <w:tcPr>
            <w:tcW w:type="dxa" w:w="20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10 kWe de emergencia</w:t>
            </w:r>
          </w:p>
        </w:tc>
        <w:tc>
          <w:tcPr>
            <w:tcW w:type="dxa" w:w="20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72 h por tanque</w:t>
            </w:r>
          </w:p>
        </w:tc>
        <w:tc>
          <w:tcPr>
            <w:tcW w:type="dxa" w:w="25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Sistemas críticos si falla todo</w:t>
            </w:r>
          </w:p>
        </w:tc>
      </w:tr>
    </w:tbl>
    <w:p>
      <w:pPr>
        <w:spacing w:after="80" w:before="80"/>
      </w:pPr>
      <w:r>
        <w:t xml:space="preserve"/>
      </w:r>
    </w:p>
    <w:p>
      <w:pPr>
        <w:spacing w:after="60" w:before="60"/>
      </w:pPr>
      <w:r>
        <w:rPr>
          <w:rFonts w:ascii="Arial" w:cs="Arial" w:eastAsia="Arial" w:hAnsi="Arial"/>
          <w:sz w:val="20"/>
          <w:szCs w:val="20"/>
        </w:rPr>
        <w:t xml:space="preserve">Argentina tiene ventaja comparativa única: INVAP diseñó y exportó reactores de investigación a 7 países (RA-6 Bariloche, RA-8 Ezeiza; exportaciones a Australia, Perú, Egipto y Arabia Saudita). El reactor RA-10 en construcción en Bariloche (30 MW) es precedente directo. El micro-SMR de 40 kWe opera 10+ años sin recarga con sistemas pasivos de seguridad. Las superbobinas superconductoras y el reactor cuentan con circuitos de ventilación y gestión térmica dedicados, monitoreados por sensores de temperatura, presión y flujo integrados al sistema de control central.</w:t>
      </w:r>
    </w:p>
    <w:p>
      <w:pPr>
        <w:spacing w:after="80" w:before="80"/>
      </w:pPr>
      <w:r>
        <w:t xml:space="preserve"/>
      </w:r>
    </w:p>
    <w:p>
      <w:pPr>
        <w:pStyle w:val="Heading1"/>
        <w:spacing w:after="120" w:before="280"/>
      </w:pPr>
      <w:r>
        <w:rPr>
          <w:rFonts w:ascii="Arial" w:cs="Arial" w:eastAsia="Arial" w:hAnsi="Arial"/>
          <w:b/>
          <w:bCs/>
          <w:color w:val="B22222"/>
          <w:sz w:val="28"/>
          <w:szCs w:val="28"/>
        </w:rPr>
        <w:t xml:space="preserve">5. ROBÓTICA Y AUTOMATIZACIÓN</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726"/>
      </w:tblGrid>
      <w:tr>
        <w:trPr>
          <w:tblHeader/>
        </w:trPr>
        <w:tc>
          <w:tcPr>
            <w:tcW w:type="dxa" w:w="14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Robot</w:t>
            </w:r>
          </w:p>
        </w:tc>
        <w:tc>
          <w:tcPr>
            <w:tcW w:type="dxa" w:w="22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Tipo</w:t>
            </w:r>
          </w:p>
        </w:tc>
        <w:tc>
          <w:tcPr>
            <w:tcW w:type="dxa" w:w="28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Función principal</w:t>
            </w:r>
          </w:p>
        </w:tc>
        <w:tc>
          <w:tcPr>
            <w:tcW w:type="dxa" w:w="2726"/>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Capacidad argentina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HERMES-1/2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Brazo robótico exterior (6-DOF, 2,5 m alcance)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Instalación de paneles solares, reparación de antenas, sellado de fugas</w:t>
            </w:r>
          </w:p>
        </w:tc>
        <w:tc>
          <w:tcPr>
            <w:tcW w:type="dxa" w:w="2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INVAP: brazos para reactores; CONAE: brazos satelitales</w:t>
            </w:r>
          </w:p>
        </w:tc>
      </w:tr>
      <w:tr>
        <w:tc>
          <w:tcPr>
            <w:tcW w:type="dxa" w:w="14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GUARANI-1/2/3</w:t>
            </w:r>
          </w:p>
        </w:tc>
        <w:tc>
          <w:tcPr>
            <w:tcW w:type="dxa" w:w="22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Rover terrestre autónomo (4 ruedas, cámara estéreo)</w:t>
            </w:r>
          </w:p>
        </w:tc>
        <w:tc>
          <w:tcPr>
            <w:tcW w:type="dxa" w:w="28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Inspección de casco, extracción de hielo, cartografía local</w:t>
            </w:r>
          </w:p>
        </w:tc>
        <w:tc>
          <w:tcPr>
            <w:tcW w:type="dxa" w:w="27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CONICET Robótica; Novabot Argentina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CHASQUI-1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Dron atmosférico (motor eléctrico, 600 Pa)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Reconocimiento aéreo, detección de fisuras en cúpulas</w:t>
            </w:r>
          </w:p>
        </w:tc>
        <w:tc>
          <w:tcPr>
            <w:tcW w:type="dxa" w:w="2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INVAP: UAVs; FuABio: robótica de vuelo</w:t>
            </w:r>
          </w:p>
        </w:tc>
      </w:tr>
      <w:tr>
        <w:tc>
          <w:tcPr>
            <w:tcW w:type="dxa" w:w="14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ATLAS</w:t>
            </w:r>
          </w:p>
        </w:tc>
        <w:tc>
          <w:tcPr>
            <w:tcW w:type="dxa" w:w="22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Robot humanoide interior (semi-autónomo)</w:t>
            </w:r>
          </w:p>
        </w:tc>
        <w:tc>
          <w:tcPr>
            <w:tcW w:type="dxa" w:w="28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Mantenimiento de sistemas, asistencia médica, tareas repetitivas</w:t>
            </w:r>
          </w:p>
        </w:tc>
        <w:tc>
          <w:tcPr>
            <w:tcW w:type="dxa" w:w="27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UTN, ITBA: robótica humanoide académica</w:t>
            </w:r>
          </w:p>
        </w:tc>
      </w:tr>
    </w:tbl>
    <w:p>
      <w:pPr>
        <w:spacing w:after="80" w:before="80"/>
      </w:pPr>
      <w:r>
        <w:t xml:space="preserve"/>
      </w:r>
    </w:p>
    <w:p>
      <w:pPr>
        <w:spacing w:after="60" w:before="60"/>
      </w:pPr>
      <w:r>
        <w:rPr>
          <w:rFonts w:ascii="Arial" w:cs="Arial" w:eastAsia="Arial" w:hAnsi="Arial"/>
          <w:sz w:val="20"/>
          <w:szCs w:val="20"/>
        </w:rPr>
        <w:t xml:space="preserve">La impresión 3D con regolito (sinterizado por láser o extrusión de regolito humectado con agua local) permite a los robots HERMES fabricar bloques estructurales, piezas de repuesto y ampliar el hábitat sin envíos desde la Tierra. El IBM BOB Marciano con bases de datos offline gestiona la inteligencia operativa local ante los retardos de comunicación de 4-24 minutos.</w:t>
      </w:r>
    </w:p>
    <w:p>
      <w:pPr>
        <w:spacing w:after="80" w:before="80"/>
      </w:pPr>
      <w:r>
        <w:t xml:space="preserve"/>
      </w:r>
    </w:p>
    <w:p>
      <w:pPr>
        <w:pStyle w:val="Heading1"/>
        <w:spacing w:after="120" w:before="280"/>
      </w:pPr>
      <w:r>
        <w:rPr>
          <w:rFonts w:ascii="Arial" w:cs="Arial" w:eastAsia="Arial" w:hAnsi="Arial"/>
          <w:b/>
          <w:bCs/>
          <w:color w:val="B22222"/>
          <w:sz w:val="28"/>
          <w:szCs w:val="28"/>
        </w:rPr>
        <w:t xml:space="preserve">6. COMUNICACIONES: SISTEMA HÍBRIDO RF/ÓPTICO</w:t>
      </w:r>
    </w:p>
    <w:p>
      <w:pPr>
        <w:spacing w:after="60" w:before="60"/>
      </w:pPr>
      <w:r>
        <w:rPr>
          <w:rFonts w:ascii="Arial" w:cs="Arial" w:eastAsia="Arial" w:hAnsi="Arial"/>
          <w:sz w:val="20"/>
          <w:szCs w:val="20"/>
        </w:rPr>
        <w:t xml:space="preserve">Argentina lidera la infraestructura de comunicaciones Tierra-Marte mediante INVAP y CONAE: satélites repetidores en órbita marciana (experiencia SABIA-Mar, SARE) y la Red de Espacio Profundo terrestre usando la estación CLTC en Neuquén y el radiotelescopio LLAMA.</w:t>
      </w:r>
    </w:p>
    <w:p>
      <w:pPr>
        <w:spacing w:after="80" w:before="80"/>
      </w:pPr>
      <w:r>
        <w:t xml:space="preserve"/>
      </w:r>
    </w:p>
    <w:p>
      <w:pPr>
        <w:spacing w:after="60" w:before="60"/>
      </w:pPr>
      <w:r>
        <w:rPr>
          <w:rFonts w:ascii="Arial" w:cs="Arial" w:eastAsia="Arial" w:hAnsi="Arial"/>
          <w:sz w:val="20"/>
          <w:szCs w:val="20"/>
        </w:rPr>
        <w:t xml:space="preserve">Para datos críticos se usa Distribución de Clave Cuántica (QKD) vía láser pulsado. El talón de Aquiles del láser son las tormentas de polvo globales. La solución es el Sistema de Transmisión Híbrido RF/Óptico:</w:t>
      </w:r>
    </w:p>
    <w:p>
      <w:pPr>
        <w:pStyle w:val="ListParagraph"/>
        <w:numPr>
          <w:ilvl w:val="0"/>
          <w:numId w:val="2"/>
        </w:numPr>
        <w:spacing w:after="40" w:before="40"/>
      </w:pPr>
      <w:r>
        <w:rPr>
          <w:rFonts w:ascii="Arial" w:cs="Arial" w:eastAsia="Arial" w:hAnsi="Arial"/>
          <w:sz w:val="20"/>
          <w:szCs w:val="20"/>
        </w:rPr>
        <w:t xml:space="preserve">Antena parabólica de fibra de carbono pulida que actúa simultáneamente como reflector de radio y espejo óptico para el láser</w:t>
      </w:r>
    </w:p>
    <w:p>
      <w:pPr>
        <w:pStyle w:val="ListParagraph"/>
        <w:numPr>
          <w:ilvl w:val="0"/>
          <w:numId w:val="2"/>
        </w:numPr>
        <w:spacing w:after="40" w:before="40"/>
      </w:pPr>
      <w:r>
        <w:rPr>
          <w:rFonts w:ascii="Arial" w:cs="Arial" w:eastAsia="Arial" w:hAnsi="Arial"/>
          <w:sz w:val="20"/>
          <w:szCs w:val="20"/>
        </w:rPr>
        <w:t xml:space="preserve">Núcleo divisor dual: ondas de radio a los bordes (feedhorn) y láser por orificio milimétrico central hacia sensores cuánticos/ópticos</w:t>
      </w:r>
    </w:p>
    <w:p>
      <w:pPr>
        <w:pStyle w:val="ListParagraph"/>
        <w:numPr>
          <w:ilvl w:val="0"/>
          <w:numId w:val="2"/>
        </w:numPr>
        <w:spacing w:after="40" w:before="40"/>
      </w:pPr>
      <w:r>
        <w:rPr>
          <w:rFonts w:ascii="Arial" w:cs="Arial" w:eastAsia="Arial" w:hAnsi="Arial"/>
          <w:sz w:val="20"/>
          <w:szCs w:val="20"/>
        </w:rPr>
        <w:t xml:space="preserve">Días despejados: transmisión láser a velocidades de gigabits por segundo</w:t>
      </w:r>
    </w:p>
    <w:p>
      <w:pPr>
        <w:pStyle w:val="ListParagraph"/>
        <w:numPr>
          <w:ilvl w:val="0"/>
          <w:numId w:val="2"/>
        </w:numPr>
        <w:spacing w:after="40" w:before="40"/>
      </w:pPr>
      <w:r>
        <w:rPr>
          <w:rFonts w:ascii="Arial" w:cs="Arial" w:eastAsia="Arial" w:hAnsi="Arial"/>
          <w:sz w:val="20"/>
          <w:szCs w:val="20"/>
        </w:rPr>
        <w:t xml:space="preserve">Días de tormenta: conmutación automática a radio (banda Ka/X) que atraviesa el polvo marciano sin atenuación significativa</w:t>
      </w:r>
    </w:p>
    <w:p>
      <w:pPr>
        <w:pStyle w:val="ListParagraph"/>
        <w:numPr>
          <w:ilvl w:val="0"/>
          <w:numId w:val="2"/>
        </w:numPr>
        <w:spacing w:after="40" w:before="40"/>
      </w:pPr>
      <w:r>
        <w:rPr>
          <w:rFonts w:ascii="Arial" w:cs="Arial" w:eastAsia="Arial" w:hAnsi="Arial"/>
          <w:sz w:val="20"/>
          <w:szCs w:val="20"/>
        </w:rPr>
        <w:t xml:space="preserve">Retransmisión satélite-satélite (cross-link): si hay tormenta local, el satélite A pasa datos vía láser al satélite B en zona despejada</w:t>
      </w:r>
    </w:p>
    <w:p>
      <w:pPr>
        <w:spacing w:after="80" w:before="80"/>
      </w:pPr>
      <w:r>
        <w:t xml:space="preserve"/>
      </w:r>
    </w:p>
    <w:p>
      <w:pPr>
        <w:spacing w:after="60" w:before="60"/>
      </w:pPr>
      <w:r>
        <w:rPr>
          <w:rFonts w:ascii="Arial" w:cs="Arial" w:eastAsia="Arial" w:hAnsi="Arial"/>
          <w:sz w:val="20"/>
          <w:szCs w:val="20"/>
        </w:rPr>
        <w:t xml:space="preserve">Las superbobinas superconductoras no interfieren con QKD óptico siempre que los canales estén físicamente separados. El regolito en los muros actúa como blindaje adicional contra interferencias electromagnéticas externas.</w:t>
      </w:r>
    </w:p>
    <w:p>
      <w:pPr>
        <w:spacing w:after="80" w:before="80"/>
      </w:pPr>
      <w:r>
        <w:t xml:space="preserve"/>
      </w:r>
    </w:p>
    <w:p>
      <w:pPr>
        <w:pStyle w:val="Heading1"/>
        <w:spacing w:after="120" w:before="280"/>
      </w:pPr>
      <w:r>
        <w:rPr>
          <w:rFonts w:ascii="Arial" w:cs="Arial" w:eastAsia="Arial" w:hAnsi="Arial"/>
          <w:b/>
          <w:bCs/>
          <w:color w:val="B22222"/>
          <w:sz w:val="28"/>
          <w:szCs w:val="28"/>
        </w:rPr>
        <w:t xml:space="preserve">7. BIENESTAR PSICOLÓGICO Y BIOASTRONAUTICA</w:t>
      </w:r>
    </w:p>
    <w:p>
      <w:pPr>
        <w:spacing w:after="60" w:before="60"/>
      </w:pPr>
      <w:r>
        <w:rPr>
          <w:rFonts w:ascii="Arial" w:cs="Arial" w:eastAsia="Arial" w:hAnsi="Arial"/>
          <w:sz w:val="20"/>
          <w:szCs w:val="20"/>
        </w:rPr>
        <w:t xml:space="preserve">La bioastronautica estudia los efectos del entorno espacial sobre el organismo humano y desarrolla las contramedidas necesarias. Marte posee gravedad equivalente al 38% de la terrestre (3,72 m/s²): esto genera pérdida acelerada de masa ósea y muscular, deterioro cardiovascular y reducción del volumen sanguíneo. El ejercicio diario obligatorio (mínimo 2 horas) no es opcional: es un requisito médico para garantizar la capacidad de realizar EVAs y el regreso a la Tierra.</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Módulo individual de 12 m² por tripulante con iluminación personalizable (espectro circadiano LED)</w:t>
      </w:r>
    </w:p>
    <w:p>
      <w:pPr>
        <w:pStyle w:val="ListParagraph"/>
        <w:numPr>
          <w:ilvl w:val="0"/>
          <w:numId w:val="2"/>
        </w:numPr>
        <w:spacing w:after="40" w:before="40"/>
      </w:pPr>
      <w:r>
        <w:rPr>
          <w:rFonts w:ascii="Arial" w:cs="Arial" w:eastAsia="Arial" w:hAnsi="Arial"/>
          <w:sz w:val="20"/>
          <w:szCs w:val="20"/>
        </w:rPr>
        <w:t xml:space="preserve">Sala común con ventanas de policarbonato laminado + filtro UV orientadas al paisaje marciano</w:t>
      </w:r>
    </w:p>
    <w:p>
      <w:pPr>
        <w:pStyle w:val="ListParagraph"/>
        <w:numPr>
          <w:ilvl w:val="0"/>
          <w:numId w:val="2"/>
        </w:numPr>
        <w:spacing w:after="40" w:before="40"/>
      </w:pPr>
      <w:r>
        <w:rPr>
          <w:rFonts w:ascii="Arial" w:cs="Arial" w:eastAsia="Arial" w:hAnsi="Arial"/>
          <w:sz w:val="20"/>
          <w:szCs w:val="20"/>
        </w:rPr>
        <w:t xml:space="preserve">Jardín/invernadero accesible a la tripulación para terapia de horticultura (+40% mejora del estado de ánimo, NASA Veggie study)</w:t>
      </w:r>
    </w:p>
    <w:p>
      <w:pPr>
        <w:pStyle w:val="ListParagraph"/>
        <w:numPr>
          <w:ilvl w:val="0"/>
          <w:numId w:val="2"/>
        </w:numPr>
        <w:spacing w:after="40" w:before="40"/>
      </w:pPr>
      <w:r>
        <w:rPr>
          <w:rFonts w:ascii="Arial" w:cs="Arial" w:eastAsia="Arial" w:hAnsi="Arial"/>
          <w:sz w:val="20"/>
          <w:szCs w:val="20"/>
        </w:rPr>
        <w:t xml:space="preserve">Zona de ejercicio: treadmill con cargas ajustables, bicicleta, resistencia — contramedida ósea/muscular obligatoria</w:t>
      </w:r>
    </w:p>
    <w:p>
      <w:pPr>
        <w:pStyle w:val="ListParagraph"/>
        <w:numPr>
          <w:ilvl w:val="0"/>
          <w:numId w:val="2"/>
        </w:numPr>
        <w:spacing w:after="40" w:before="40"/>
      </w:pPr>
      <w:r>
        <w:rPr>
          <w:rFonts w:ascii="Arial" w:cs="Arial" w:eastAsia="Arial" w:hAnsi="Arial"/>
          <w:sz w:val="20"/>
          <w:szCs w:val="20"/>
        </w:rPr>
        <w:t xml:space="preserve">Comunicación con Tierra: enlace de baja latencia para videoconferencias (latencia de 4-24 min según oposición)</w:t>
      </w:r>
    </w:p>
    <w:p>
      <w:pPr>
        <w:pStyle w:val="ListParagraph"/>
        <w:numPr>
          <w:ilvl w:val="0"/>
          <w:numId w:val="2"/>
        </w:numPr>
        <w:spacing w:after="40" w:before="40"/>
      </w:pPr>
      <w:r>
        <w:rPr>
          <w:rFonts w:ascii="Arial" w:cs="Arial" w:eastAsia="Arial" w:hAnsi="Arial"/>
          <w:sz w:val="20"/>
          <w:szCs w:val="20"/>
        </w:rPr>
        <w:t xml:space="preserve">Protocolo CRM (Crew Resource Management): rotación de roles, debriefing diario, mediación estructurada</w:t>
      </w:r>
    </w:p>
    <w:p>
      <w:pPr>
        <w:pStyle w:val="ListParagraph"/>
        <w:numPr>
          <w:ilvl w:val="0"/>
          <w:numId w:val="2"/>
        </w:numPr>
        <w:spacing w:after="40" w:before="40"/>
      </w:pPr>
      <w:r>
        <w:rPr>
          <w:rFonts w:ascii="Arial" w:cs="Arial" w:eastAsia="Arial" w:hAnsi="Arial"/>
          <w:sz w:val="20"/>
          <w:szCs w:val="20"/>
        </w:rPr>
        <w:t xml:space="preserve">Regulación marciana: adaptación del reglamento ISS (NASA SP-6105) con autonomía incrementada en toma de decisiones</w:t>
      </w:r>
    </w:p>
    <w:p>
      <w:pPr>
        <w:spacing w:after="80" w:before="80"/>
      </w:pPr>
      <w:r>
        <w:t xml:space="preserve"/>
      </w:r>
    </w:p>
    <w:p>
      <w:pPr>
        <w:spacing w:after="60" w:before="60"/>
      </w:pPr>
      <w:r>
        <w:rPr>
          <w:rFonts w:ascii="Arial" w:cs="Arial" w:eastAsia="Arial" w:hAnsi="Arial"/>
          <w:sz w:val="20"/>
          <w:szCs w:val="20"/>
        </w:rPr>
        <w:t xml:space="preserve">Analogía Antártida: las bases Belgrano II y Carlini operan en aislamiento extremo (-40 °C, 8-14 meses) con dependencia de sistemas cerrados y telemedicina. Los protocolos del IAA (Instituto Antártico Argentino) son aplicables directamente al diseño del hábitat.</w:t>
      </w:r>
    </w:p>
    <w:p>
      <w:pPr>
        <w:spacing w:after="80" w:before="80"/>
      </w:pPr>
      <w:r>
        <w:t xml:space="preserve"/>
      </w:r>
    </w:p>
    <w:p>
      <w:pPr>
        <w:pStyle w:val="Heading1"/>
        <w:spacing w:after="120" w:before="280"/>
      </w:pPr>
      <w:r>
        <w:rPr>
          <w:rFonts w:ascii="Arial" w:cs="Arial" w:eastAsia="Arial" w:hAnsi="Arial"/>
          <w:b/>
          <w:bCs/>
          <w:color w:val="B22222"/>
          <w:sz w:val="28"/>
          <w:szCs w:val="28"/>
        </w:rPr>
        <w:t xml:space="preserve">8. RECURSOS MARCIANOS IN-SITU (ISRU)</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426"/>
      </w:tblGrid>
      <w:tr>
        <w:trPr>
          <w:tblHeader/>
        </w:trPr>
        <w:tc>
          <w:tcPr>
            <w:tcW w:type="dxa" w:w="18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Recurso</w:t>
            </w:r>
          </w:p>
        </w:tc>
        <w:tc>
          <w:tcPr>
            <w:tcW w:type="dxa" w:w="22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Fuente</w:t>
            </w:r>
          </w:p>
        </w:tc>
        <w:tc>
          <w:tcPr>
            <w:tcW w:type="dxa" w:w="27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Proceso de extracción</w:t>
            </w:r>
          </w:p>
        </w:tc>
        <w:tc>
          <w:tcPr>
            <w:tcW w:type="dxa" w:w="2426"/>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Uso en hábitat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Hielo de agua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Permafrost Arcadia Planitia (1-3 m prof.)</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Meltsondes térmicas + bombeo + filtración</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Agua potable, propelente H₂/O₂, cultivos</w:t>
            </w:r>
          </w:p>
        </w:tc>
      </w:tr>
      <w:tr>
        <w:tc>
          <w:tcPr>
            <w:tcW w:type="dxa" w:w="18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CO₂ atmosférico</w:t>
            </w:r>
          </w:p>
        </w:tc>
        <w:tc>
          <w:tcPr>
            <w:tcW w:type="dxa" w:w="22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Atmósfera marciana (95% CO₂, 600 Pa)</w:t>
            </w:r>
          </w:p>
        </w:tc>
        <w:tc>
          <w:tcPr>
            <w:tcW w:type="dxa" w:w="27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Compresores criogénicos + adsorbentes zeolita</w:t>
            </w:r>
          </w:p>
        </w:tc>
        <w:tc>
          <w:tcPr>
            <w:tcW w:type="dxa" w:w="24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MOXIE → O₂; Sabatier → CH₄+H₂O; cultivos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Regolito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Superficie y subsuperficie local</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Robots excavadores + clasificadores mecánicos</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Escudo de radiación; impresión 3D de estructuras</w:t>
            </w:r>
          </w:p>
        </w:tc>
      </w:tr>
      <w:tr>
        <w:tc>
          <w:tcPr>
            <w:tcW w:type="dxa" w:w="18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Silicio del regolito</w:t>
            </w:r>
          </w:p>
        </w:tc>
        <w:tc>
          <w:tcPr>
            <w:tcW w:type="dxa" w:w="22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Óxidos de Si en regolito (45% SiO₂)</w:t>
            </w:r>
          </w:p>
        </w:tc>
        <w:tc>
          <w:tcPr>
            <w:tcW w:type="dxa" w:w="27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Reducción carbotérmica a alta temperatura</w:t>
            </w:r>
          </w:p>
        </w:tc>
        <w:tc>
          <w:tcPr>
            <w:tcW w:type="dxa" w:w="24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Futuros paneles solares in-situ</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Sales de perclorato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ClO₄⁻ en regolito (0,5-1%)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Electrólisis → O₂ + Cl₂ (desechado)</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Eliminación de tóxicos; oxidante potencial</w:t>
            </w:r>
          </w:p>
        </w:tc>
      </w:tr>
    </w:tbl>
    <w:p>
      <w:pPr>
        <w:spacing w:after="80" w:before="80"/>
      </w:pPr>
      <w:r>
        <w:t xml:space="preserve"/>
      </w:r>
    </w:p>
    <w:p>
      <w:pPr>
        <w:pStyle w:val="Heading1"/>
        <w:spacing w:after="120" w:before="280"/>
      </w:pPr>
      <w:r>
        <w:rPr>
          <w:rFonts w:ascii="Arial" w:cs="Arial" w:eastAsia="Arial" w:hAnsi="Arial"/>
          <w:b/>
          <w:bCs/>
          <w:color w:val="B22222"/>
          <w:sz w:val="28"/>
          <w:szCs w:val="28"/>
        </w:rPr>
        <w:t xml:space="preserve">9. GESTIÓN DE FALLOS Y REDUNDANCIA</w:t>
      </w:r>
    </w:p>
    <w:p>
      <w:pPr>
        <w:spacing w:after="60" w:before="60"/>
      </w:pPr>
      <w:r>
        <w:rPr>
          <w:rFonts w:ascii="Arial" w:cs="Arial" w:eastAsia="Arial" w:hAnsi="Arial"/>
          <w:sz w:val="20"/>
          <w:szCs w:val="20"/>
        </w:rPr>
        <w:t xml:space="preserve">Todo sistema crítico tiene al menos dos niveles de redundancia (N+2):</w:t>
      </w:r>
    </w:p>
    <w:p>
      <w:pPr>
        <w:spacing w:after="80" w:before="80"/>
      </w:pPr>
      <w:r>
        <w:t xml:space="preserve"/>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126"/>
      </w:tblGrid>
      <w:tr>
        <w:trPr>
          <w:tblHeader/>
        </w:trPr>
        <w:tc>
          <w:tcPr>
            <w:tcW w:type="dxa" w:w="26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Tipo de fallo</w:t>
            </w:r>
          </w:p>
        </w:tc>
        <w:tc>
          <w:tcPr>
            <w:tcW w:type="dxa" w:w="340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Respuesta automática</w:t>
            </w:r>
          </w:p>
        </w:tc>
        <w:tc>
          <w:tcPr>
            <w:tcW w:type="dxa" w:w="3126"/>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tcPr>
          <w:p>
            <w:r>
              <w:rPr>
                <w:rFonts w:ascii="Arial" w:cs="Arial" w:eastAsia="Arial" w:hAnsi="Arial"/>
                <w:b/>
                <w:bCs/>
                <w:color w:val="FFFFFF"/>
                <w:sz w:val="18"/>
                <w:szCs w:val="18"/>
              </w:rPr>
              <w:t xml:space="preserve">Acción manual de respaldo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Pérdida de presión (casco/airlock)</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Cierre automático de válvulas de zona; alarma triple</w:t>
            </w:r>
          </w:p>
        </w:tc>
        <w:tc>
          <w:tcPr>
            <w:tcW w:type="dxa" w:w="3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EVA de reparación + parche de emergencia</w:t>
            </w:r>
          </w:p>
        </w:tc>
      </w:tr>
      <w:tr>
        <w:tc>
          <w:tcPr>
            <w:tcW w:type="dxa" w:w="26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Fallo MOXIE (producción O₂)</w:t>
            </w:r>
          </w:p>
        </w:tc>
        <w:tc>
          <w:tcPr>
            <w:tcW w:type="dxa" w:w="34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Activación MOXIE-2; apertura tanques O₂ criogénico</w:t>
            </w:r>
          </w:p>
        </w:tc>
        <w:tc>
          <w:tcPr>
            <w:tcW w:type="dxa" w:w="31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Cartuchos LiOH de emergencia (72 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Fallo reactor nuclear (energía principal)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Switchover a paneles solares + baterías (&lt;0,5 s)</w:t>
            </w:r>
          </w:p>
        </w:tc>
        <w:tc>
          <w:tcPr>
            <w:tcW w:type="dxa" w:w="3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Pila H₂/O₂ de emergencia (72 h)</w:t>
            </w:r>
          </w:p>
        </w:tc>
      </w:tr>
      <w:tr>
        <w:tc>
          <w:tcPr>
            <w:tcW w:type="dxa" w:w="26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Fallo sistema agua</w:t>
            </w:r>
          </w:p>
        </w:tc>
        <w:tc>
          <w:tcPr>
            <w:tcW w:type="dxa" w:w="34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Modo conservación (ración 1,5 L/día) + reservas 30 días</w:t>
            </w:r>
          </w:p>
        </w:tc>
        <w:tc>
          <w:tcPr>
            <w:tcW w:type="dxa" w:w="31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Extracción de emergencia con GUARANI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Incendio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CO₂ presurizado automático + aislamiento de módulo</w:t>
            </w:r>
          </w:p>
        </w:tc>
        <w:tc>
          <w:tcPr>
            <w:tcW w:type="dxa" w:w="3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Evacuación a módulo adyacente; trajes de presión</w:t>
            </w:r>
          </w:p>
        </w:tc>
      </w:tr>
      <w:tr>
        <w:tc>
          <w:tcPr>
            <w:tcW w:type="dxa" w:w="26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Fallo de comunicación</w:t>
            </w:r>
          </w:p>
        </w:tc>
        <w:tc>
          <w:tcPr>
            <w:tcW w:type="dxa" w:w="3400"/>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CRM autónomo activado; satélite de relevo alternativo</w:t>
            </w:r>
          </w:p>
        </w:tc>
        <w:tc>
          <w:tcPr>
            <w:tcW w:type="dxa" w:w="3126"/>
            <w:tcBorders>
              <w:top w:val="single" w:color="CCCCCC" w:sz="1"/>
              <w:left w:val="single" w:color="CCCCCC" w:sz="1"/>
              <w:bottom w:val="single" w:color="CCCCCC" w:sz="1"/>
              <w:right w:val="single" w:color="CCCCCC" w:sz="1"/>
            </w:tcBorders>
            <w:shd w:fill="F5F0F0" w:val="clear"/>
            <w:tcMar>
              <w:top w:type="dxa" w:w="60"/>
              <w:left w:type="dxa" w:w="100"/>
              <w:bottom w:type="dxa" w:w="60"/>
              <w:right w:type="dxa" w:w="100"/>
            </w:tcMar>
          </w:tcPr>
          <w:p>
            <w:r>
              <w:rPr>
                <w:rFonts w:ascii="Arial" w:cs="Arial" w:eastAsia="Arial" w:hAnsi="Arial"/>
                <w:sz w:val="18"/>
                <w:szCs w:val="18"/>
              </w:rPr>
              <w:t xml:space="preserve">Antena de emergencia omnidireccional</w:t>
            </w:r>
          </w:p>
        </w:tc>
      </w:tr>
    </w:tbl>
    <w:p>
      <w:pPr>
        <w:spacing w:after="80" w:before="80"/>
      </w:pPr>
      <w:r>
        <w:t xml:space="preserve"/>
      </w:r>
    </w:p>
    <w:p>
      <w:pPr>
        <w:pStyle w:val="Heading1"/>
        <w:spacing w:after="120" w:before="280"/>
      </w:pPr>
      <w:r>
        <w:rPr>
          <w:rFonts w:ascii="Arial" w:cs="Arial" w:eastAsia="Arial" w:hAnsi="Arial"/>
          <w:b/>
          <w:bCs/>
          <w:color w:val="B22222"/>
          <w:sz w:val="28"/>
          <w:szCs w:val="28"/>
        </w:rPr>
        <w:t xml:space="preserve">10. CONEXIÓN ARGENTINA — LUNA — ANTÁRTIDA</w:t>
      </w:r>
    </w:p>
    <w:p>
      <w:pPr>
        <w:spacing w:after="60" w:before="60"/>
      </w:pPr>
      <w:r>
        <w:rPr>
          <w:rFonts w:ascii="Arial" w:cs="Arial" w:eastAsia="Arial" w:hAnsi="Arial"/>
          <w:sz w:val="20"/>
          <w:szCs w:val="20"/>
        </w:rPr>
        <w:t xml:space="preserve">El programa argentino aporta tres ejes de contribución directa:</w:t>
      </w:r>
    </w:p>
    <w:p>
      <w:pPr>
        <w:spacing w:after="80" w:before="80"/>
      </w:pPr>
      <w:r>
        <w:t xml:space="preserve"/>
      </w:r>
    </w:p>
    <w:p>
      <w:pPr>
        <w:spacing w:after="60" w:before="60"/>
      </w:pPr>
      <w:r>
        <w:rPr>
          <w:rFonts w:ascii="Arial" w:cs="Arial" w:eastAsia="Arial" w:hAnsi="Arial"/>
          <w:b w:val="false"/>
          <w:bCs w:val="false"/>
          <w:sz w:val="20"/>
          <w:szCs w:val="20"/>
        </w:rPr>
        <w:t xml:space="preserve">Energía nuclear (INVAP): ciclo de combustible nuclear completo (minería de uranio, enriquecimiento, fabricación). El reactor RA-10 en Bariloche (30 MW en construcción) es el precedente directo del micro-SMR espacial. Argentina provee el reactor nuclear de la base lunar (Artemis/Gateway) antes de replicarlo en Marte.</w:t>
      </w:r>
    </w:p>
    <w:p>
      <w:pPr>
        <w:spacing w:after="80" w:before="80"/>
      </w:pPr>
      <w:r>
        <w:t xml:space="preserve"/>
      </w:r>
    </w:p>
    <w:p>
      <w:pPr>
        <w:spacing w:after="60" w:before="60"/>
      </w:pPr>
      <w:r>
        <w:rPr>
          <w:rFonts w:ascii="Arial" w:cs="Arial" w:eastAsia="Arial" w:hAnsi="Arial"/>
          <w:b w:val="false"/>
          <w:bCs w:val="false"/>
          <w:sz w:val="20"/>
          <w:szCs w:val="20"/>
        </w:rPr>
        <w:t xml:space="preserve">Biotecnología y agricultura (CONICET + INTA): el INTA tiene 65 años de experiencia en agricultura en ambientes extremos (Patagonia, Puna, ambientes salinos). El CONICET desarrolla biorreactores de microalgas y técnicas de CRISPR para cultivos resistentes al estrés. Ambas instituciones lideran el módulo de biosoporte marciano.</w:t>
      </w:r>
    </w:p>
    <w:p>
      <w:pPr>
        <w:spacing w:after="80" w:before="80"/>
      </w:pPr>
      <w:r>
        <w:t xml:space="preserve"/>
      </w:r>
    </w:p>
    <w:p>
      <w:pPr>
        <w:spacing w:after="60" w:before="60"/>
      </w:pPr>
      <w:r>
        <w:rPr>
          <w:rFonts w:ascii="Arial" w:cs="Arial" w:eastAsia="Arial" w:hAnsi="Arial"/>
          <w:b w:val="false"/>
          <w:bCs w:val="false"/>
          <w:sz w:val="20"/>
          <w:szCs w:val="20"/>
        </w:rPr>
        <w:t xml:space="preserve">Antártida como análogo y comunicaciones: las bases Belgrano II y Carlini operan en aislamiento extremo con sistemas cerrados y telemedicina. La estación CLTC en Neuquén (CONAE) y el LLAMA (junto a Brasil) forman el puerto de recepción del hemisferio sur para los datos cuánticos y láser de Marte.</w:t>
      </w:r>
    </w:p>
    <w:p>
      <w:pPr>
        <w:spacing w:after="80" w:before="80"/>
      </w:pPr>
      <w:r>
        <w:t xml:space="preserve"/>
      </w:r>
    </w:p>
    <w:p>
      <w:pPr>
        <w:pStyle w:val="Heading1"/>
        <w:spacing w:after="120" w:before="280"/>
      </w:pPr>
      <w:r>
        <w:rPr>
          <w:rFonts w:ascii="Arial" w:cs="Arial" w:eastAsia="Arial" w:hAnsi="Arial"/>
          <w:b/>
          <w:bCs/>
          <w:color w:val="B22222"/>
          <w:sz w:val="28"/>
          <w:szCs w:val="28"/>
        </w:rPr>
        <w:t xml:space="preserve">11. CONCLUSIÓN</w:t>
      </w:r>
    </w:p>
    <w:p>
      <w:pPr>
        <w:spacing w:after="60" w:before="60"/>
      </w:pPr>
      <w:r>
        <w:rPr>
          <w:rFonts w:ascii="Arial" w:cs="Arial" w:eastAsia="Arial" w:hAnsi="Arial"/>
          <w:sz w:val="20"/>
          <w:szCs w:val="20"/>
        </w:rPr>
        <w:t xml:space="preserve">El Código Marte es más que un hábitat: es el primer ecosistema autónomo extraterrestre de origen argentino. Integramos ingeniería nuclear (INVAP), biotecnología (CONICET/INTA), robótica avanzada, gestión psicológica basada en evidencia antártica y tecnologías de frontera (comunicación cuántica híbrida RF/óptico, superbobinas, impresión 3D con regolito) en un sistema donde cada subsistema sostiene y es sostenido por los demás.</w:t>
      </w:r>
    </w:p>
    <w:p>
      <w:pPr>
        <w:spacing w:after="80" w:before="80"/>
      </w:pPr>
      <w:r>
        <w:t xml:space="preserve"/>
      </w:r>
    </w:p>
    <w:p>
      <w:pPr>
        <w:spacing w:after="60" w:before="60"/>
      </w:pPr>
      <w:r>
        <w:rPr>
          <w:rFonts w:ascii="Arial" w:cs="Arial" w:eastAsia="Arial" w:hAnsi="Arial"/>
          <w:sz w:val="20"/>
          <w:szCs w:val="20"/>
        </w:rPr>
        <w:t xml:space="preserve">La ubicación en Arcadia Planitia no es arbitraria: es donde el hielo está más cerca de la superficie, donde la latitud media permite ciclos solares razonables y donde el terreno es relativamente llano para el despliegue robótico. Desde Argentina hasta Marte, el camino pasa por la Antártida y la Luna — y tenemos las capacidades para recorrerlo.</w:t>
      </w:r>
    </w:p>
    <w:p>
      <w:pPr>
        <w:spacing w:after="80" w:before="80"/>
      </w:pPr>
      <w:r>
        <w:t xml:space="preserve"/>
      </w:r>
    </w:p>
    <w:p>
      <w:pPr>
        <w:spacing w:after="0" w:before="200"/>
        <w:jc w:val="center"/>
      </w:pPr>
      <w:r>
        <w:rPr>
          <w:rFonts w:ascii="Arial" w:cs="Arial" w:eastAsia="Arial" w:hAnsi="Arial"/>
          <w:b/>
          <w:bCs/>
          <w:i/>
          <w:iCs/>
          <w:color w:val="B22222"/>
          <w:sz w:val="26"/>
          <w:szCs w:val="26"/>
        </w:rPr>
        <w:t xml:space="preserve">Argentina tiene todo lo que Marte necesita.</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EL CÓDIGO MARTE  |  Hackathon Argentina Espacial 2025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B22222"/>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2026-05-24T17:38:22.677Z</dcterms:created>
  <dcterms:modified xsi:type="dcterms:W3CDTF">2026-05-24T17:38:22.677Z</dcterms:modified>
</cp:coreProperties>
</file>

<file path=docProps/custom.xml><?xml version="1.0" encoding="utf-8"?>
<Properties xmlns="http://schemas.openxmlformats.org/officeDocument/2006/custom-properties" xmlns:vt="http://schemas.openxmlformats.org/officeDocument/2006/docPropsVTypes"/>
</file>