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A1A2E"/>
          <w:sz w:val="36"/>
          <w:szCs w:val="36"/>
        </w:rPr>
        <w:t xml:space="preserve">Interpretable Machine Learning for Molecular Property Prediction:</w:t>
      </w:r>
    </w:p>
    <w:p>
      <w:pPr>
        <w:spacing w:before="0" w:after="320"/>
        <w:jc w:val="center"/>
      </w:pPr>
      <w:r>
        <w:rPr>
          <w:rFonts w:ascii="Arial" w:cs="Arial" w:eastAsia="Arial" w:hAnsi="Arial"/>
          <w:b/>
          <w:bCs/>
          <w:color w:val="1A1A2E"/>
          <w:sz w:val="36"/>
          <w:szCs w:val="36"/>
        </w:rPr>
        <w:t xml:space="preserve">A SHAP-Based Comparative Study of Descriptor and Fingerprint Models</w:t>
      </w:r>
    </w:p>
    <w:p>
      <w:pPr>
        <w:spacing w:before="0" w:after="120"/>
        <w:jc w:val="center"/>
      </w:pPr>
      <w:r>
        <w:rPr>
          <w:rFonts w:ascii="Arial" w:cs="Arial" w:eastAsia="Arial" w:hAnsi="Arial"/>
          <w:color w:val="444444"/>
          <w:sz w:val="22"/>
          <w:szCs w:val="22"/>
        </w:rPr>
        <w:t xml:space="preserve">[Author Name]</w:t>
      </w:r>
    </w:p>
    <w:p>
      <w:pPr>
        <w:spacing w:before="0" w:after="480"/>
        <w:jc w:val="center"/>
      </w:pPr>
      <w:r>
        <w:rPr>
          <w:rFonts w:ascii="Arial" w:cs="Arial" w:eastAsia="Arial" w:hAnsi="Arial"/>
          <w:i/>
          <w:iCs/>
          <w:color w:val="666666"/>
          <w:sz w:val="20"/>
          <w:szCs w:val="20"/>
        </w:rPr>
        <w:t xml:space="preserve">[Institution] · [Email]</w:t>
      </w:r>
    </w:p>
    <w:p>
      <w:pPr>
        <w:pStyle w:val="Heading1"/>
        <w:pBdr>
          <w:bottom w:val="single" w:color="2E75B6" w:sz="6" w:space="1"/>
        </w:pBdr>
        <w:spacing w:before="360" w:after="180"/>
      </w:pPr>
      <w:r>
        <w:rPr>
          <w:rFonts w:ascii="Arial" w:cs="Arial" w:eastAsia="Arial" w:hAnsi="Arial"/>
          <w:b/>
          <w:bCs/>
          <w:color w:val="2E75B6"/>
          <w:sz w:val="28"/>
          <w:szCs w:val="28"/>
        </w:rPr>
        <w:t xml:space="preserve">Abstract</w:t>
      </w:r>
    </w:p>
    <w:p>
      <w:pPr>
        <w:spacing w:before="0" w:after="160" w:line="276"/>
        <w:jc w:val="both"/>
      </w:pPr>
      <w:r>
        <w:rPr>
          <w:rFonts w:ascii="Arial" w:cs="Arial" w:eastAsia="Arial" w:hAnsi="Arial"/>
          <w:sz w:val="22"/>
          <w:szCs w:val="22"/>
        </w:rPr>
        <w:t xml:space="preserve">Machine learning models have demonstrated strong predictive performance in molecular property prediction, yet their adoption in drug discovery remains limited by a lack of interpretability. While Shapley Additive Explanations (SHAP) have emerged as a prominent tool for explaining individual predictions, little attention has been paid to whether these explanations remain consistent across training conditions — a critical requirement for scientific trust.</w:t>
      </w:r>
    </w:p>
    <w:p>
      <w:pPr>
        <w:spacing w:before="0" w:after="160" w:line="276"/>
        <w:jc w:val="both"/>
      </w:pPr>
      <w:r>
        <w:rPr>
          <w:rFonts w:ascii="Arial" w:cs="Arial" w:eastAsia="Arial" w:hAnsi="Arial"/>
          <w:sz w:val="22"/>
          <w:szCs w:val="22"/>
        </w:rPr>
        <w:t xml:space="preserve">In this work, we present a systematic comparative study of four machine learning models (Random Forest, XGBoost, Support Vector Regression, and Multilayer Perceptron) trained on molecular descriptors and Morgan fingerprints for aqueous solubility prediction (ESOL) and bioactivity prediction (BACE), spanning physicochemical and pharmacological molecular properties. Beyond standard performance evaluation, we introduce a multi-metric explanation stability framework that quantifies the consistency of SHAP-derived feature importances across cross-validation folds using Jaccard similarity, Spearman rank correlation, and normalized variance.</w:t>
      </w:r>
    </w:p>
    <w:p>
      <w:pPr>
        <w:spacing w:before="0" w:after="160" w:line="276"/>
        <w:jc w:val="both"/>
      </w:pPr>
      <w:r>
        <w:rPr>
          <w:rFonts w:ascii="Arial" w:cs="Arial" w:eastAsia="Arial" w:hAnsi="Arial"/>
          <w:sz w:val="22"/>
          <w:szCs w:val="22"/>
        </w:rPr>
        <w:t xml:space="preserve">Our experiments reveal a consistent trade-off: models achieving the highest predictive accuracy tend to produce less stable explanations, while tree-based models exhibit greater explanation consistency at marginal performance cost. We further demonstrate that descriptor-based feature spaces yield more interpretable and stable explanations than binary fingerprints. These findings suggest that explanation stability should be treated as a first-class evaluation criterion alongside predictive performance in molecular ML workflows.</w:t>
      </w:r>
    </w:p>
    <w:p>
      <w:pPr>
        <w:spacing w:before="0" w:after="80"/>
      </w:pPr>
    </w:p>
    <w:p>
      <w:pPr>
        <w:spacing w:before="0" w:after="160" w:line="276"/>
        <w:jc w:val="both"/>
      </w:pPr>
      <w:r>
        <w:rPr>
          <w:rFonts w:ascii="Arial" w:cs="Arial" w:eastAsia="Arial" w:hAnsi="Arial"/>
          <w:b/>
          <w:bCs/>
          <w:sz w:val="22"/>
          <w:szCs w:val="22"/>
        </w:rPr>
        <w:t xml:space="preserve">Keywords: </w:t>
      </w:r>
      <w:r>
        <w:rPr>
          <w:rFonts w:ascii="Arial" w:cs="Arial" w:eastAsia="Arial" w:hAnsi="Arial"/>
          <w:sz w:val="22"/>
          <w:szCs w:val="22"/>
        </w:rPr>
        <w:t xml:space="preserve">QSAR, SHAP, explainable AI, explanation stability, molecular descriptors, Morgan fingerprints, drug discovery</w:t>
      </w:r>
    </w:p>
    <w:p>
      <w:pPr>
        <w:spacing w:before="0" w:after="240"/>
      </w:pPr>
    </w:p>
    <w:p>
      <w:pPr>
        <w:pStyle w:val="Heading1"/>
        <w:pBdr>
          <w:bottom w:val="single" w:color="2E75B6" w:sz="6" w:space="1"/>
        </w:pBdr>
        <w:spacing w:before="360" w:after="180"/>
      </w:pPr>
      <w:r>
        <w:rPr>
          <w:rFonts w:ascii="Arial" w:cs="Arial" w:eastAsia="Arial" w:hAnsi="Arial"/>
          <w:b/>
          <w:bCs/>
          <w:color w:val="2E75B6"/>
          <w:sz w:val="28"/>
          <w:szCs w:val="28"/>
        </w:rPr>
        <w:t xml:space="preserve">1. Introduction</w:t>
      </w:r>
    </w:p>
    <w:p>
      <w:pPr>
        <w:spacing w:before="0" w:after="160" w:line="276"/>
        <w:jc w:val="both"/>
      </w:pPr>
      <w:r>
        <w:rPr>
          <w:rFonts w:ascii="Arial" w:cs="Arial" w:eastAsia="Arial" w:hAnsi="Arial"/>
          <w:sz w:val="22"/>
          <w:szCs w:val="22"/>
        </w:rPr>
        <w:t xml:space="preserve">The application of machine learning to molecular property prediction has accelerated significantly over the past decade, driven by large public datasets and advances in both molecular representation and model architectures. Models predicting aqueous solubility, lipophilicity, and bioactivity have achieved performance levels competitive with experimental assays in many settings (Wu et al., 2018). Despite these advances, adoption of ML models in drug discovery workflows remains cautious. A central concern is interpretability: when a model predicts that a compound has low solubility or high binding affinity, a medicinal chemist needs to understand which structural features drive that prediction in order to act on it.</w:t>
      </w:r>
    </w:p>
    <w:p>
      <w:pPr>
        <w:spacing w:before="0" w:after="160" w:line="276"/>
        <w:jc w:val="both"/>
      </w:pPr>
      <w:r>
        <w:rPr>
          <w:rFonts w:ascii="Arial" w:cs="Arial" w:eastAsia="Arial" w:hAnsi="Arial"/>
          <w:sz w:val="22"/>
          <w:szCs w:val="22"/>
        </w:rPr>
        <w:t xml:space="preserve">Shapley Additive Explanations (SHAP; Lundberg &amp; Lee, 2017) have become the dominant post-hoc explanation method in applied ML, offering theoretically grounded feature attributions that satisfy desirable properties including local accuracy and consistency. In the cheminformatics literature, Rodríguez-Pérez &amp; Bajorath (2020) demonstrated that SHAP values recover chemically meaningful descriptors in QSAR models, suggesting their utility for structure-activity reasoning.</w:t>
      </w:r>
    </w:p>
    <w:p>
      <w:pPr>
        <w:spacing w:before="0" w:after="160" w:line="276"/>
        <w:jc w:val="both"/>
      </w:pPr>
      <w:r>
        <w:rPr>
          <w:rFonts w:ascii="Arial" w:cs="Arial" w:eastAsia="Arial" w:hAnsi="Arial"/>
          <w:sz w:val="22"/>
          <w:szCs w:val="22"/>
        </w:rPr>
        <w:t xml:space="preserve">However, a critical property of explanations that has received insufficient attention is stability — the degree to which the same explanation is produced under different training conditions. Alvarez-Melis &amp; Jaakkola (2018) formalized explanation stability in general ML settings, showing that many explanation methods exhibit substantial variance across perturbations of the input or training data. In molecular property prediction, where models are routinely trained on small datasets using cross-validation, this instability has direct practical consequences: if the top-ranked features differ substantially across folds, the explanation cannot be trusted as a reliable guide to structure-activity relationships.</w:t>
      </w:r>
    </w:p>
    <w:p>
      <w:pPr>
        <w:spacing w:before="0" w:after="160" w:line="276"/>
        <w:jc w:val="both"/>
      </w:pPr>
      <w:r>
        <w:rPr>
          <w:rFonts w:ascii="Arial" w:cs="Arial" w:eastAsia="Arial" w:hAnsi="Arial"/>
          <w:sz w:val="22"/>
          <w:szCs w:val="22"/>
        </w:rPr>
        <w:t xml:space="preserve">This work addresses that gap. We make the following contributions:</w:t>
      </w:r>
    </w:p>
    <w:p>
      <w:pPr>
        <w:pStyle w:val="ListParagraph"/>
        <w:numPr>
          <w:ilvl w:val="0"/>
          <w:numId w:val="2"/>
        </w:numPr>
        <w:spacing w:after="100"/>
      </w:pPr>
      <w:r>
        <w:rPr>
          <w:rFonts w:ascii="Arial" w:cs="Arial" w:eastAsia="Arial" w:hAnsi="Arial"/>
          <w:sz w:val="22"/>
          <w:szCs w:val="22"/>
        </w:rPr>
        <w:t xml:space="preserve">We benchmark four ML models (RF, XGBoost, SVR, MLP) on two molecular datasets spanning physicochemical and bioactivity endpoints.</w:t>
      </w:r>
    </w:p>
    <w:p>
      <w:pPr>
        <w:pStyle w:val="ListParagraph"/>
        <w:numPr>
          <w:ilvl w:val="0"/>
          <w:numId w:val="2"/>
        </w:numPr>
        <w:spacing w:after="100"/>
      </w:pPr>
      <w:r>
        <w:rPr>
          <w:rFonts w:ascii="Arial" w:cs="Arial" w:eastAsia="Arial" w:hAnsi="Arial"/>
          <w:sz w:val="22"/>
          <w:szCs w:val="22"/>
        </w:rPr>
        <w:t xml:space="preserve">We introduce a multi-metric explanation stability framework using Jaccard similarity, Spearman rank correlation, and normalized variance.</w:t>
      </w:r>
    </w:p>
    <w:p>
      <w:pPr>
        <w:pStyle w:val="ListParagraph"/>
        <w:numPr>
          <w:ilvl w:val="0"/>
          <w:numId w:val="2"/>
        </w:numPr>
        <w:spacing w:after="100"/>
      </w:pPr>
      <w:r>
        <w:rPr>
          <w:rFonts w:ascii="Arial" w:cs="Arial" w:eastAsia="Arial" w:hAnsi="Arial"/>
          <w:sz w:val="22"/>
          <w:szCs w:val="22"/>
        </w:rPr>
        <w:t xml:space="preserve">We compare stability across descriptor-based and fingerprint-based feature spaces, providing empirical guidance for feature selection in cheminformatics pipelines.</w:t>
      </w:r>
    </w:p>
    <w:p>
      <w:pPr>
        <w:pStyle w:val="ListParagraph"/>
        <w:numPr>
          <w:ilvl w:val="0"/>
          <w:numId w:val="2"/>
        </w:numPr>
        <w:spacing w:after="200"/>
      </w:pPr>
      <w:r>
        <w:rPr>
          <w:rFonts w:ascii="Arial" w:cs="Arial" w:eastAsia="Arial" w:hAnsi="Arial"/>
          <w:sz w:val="22"/>
          <w:szCs w:val="22"/>
        </w:rPr>
        <w:t xml:space="preserve">We demonstrate a consistent accuracy-stability trade-off and discuss its implications for model selection in scientific ML.</w:t>
      </w:r>
    </w:p>
    <w:p>
      <w:pPr>
        <w:spacing w:before="0" w:after="120"/>
      </w:pPr>
    </w:p>
    <w:p>
      <w:pPr>
        <w:pStyle w:val="Heading1"/>
        <w:pBdr>
          <w:bottom w:val="single" w:color="2E75B6" w:sz="6" w:space="1"/>
        </w:pBdr>
        <w:spacing w:before="360" w:after="180"/>
      </w:pPr>
      <w:r>
        <w:rPr>
          <w:rFonts w:ascii="Arial" w:cs="Arial" w:eastAsia="Arial" w:hAnsi="Arial"/>
          <w:b/>
          <w:bCs/>
          <w:color w:val="2E75B6"/>
          <w:sz w:val="28"/>
          <w:szCs w:val="28"/>
        </w:rPr>
        <w:t xml:space="preserve">2. Related Work</w:t>
      </w:r>
    </w:p>
    <w:p>
      <w:pPr>
        <w:pStyle w:val="Heading2"/>
        <w:spacing w:before="240" w:after="120"/>
      </w:pPr>
      <w:r>
        <w:rPr>
          <w:rFonts w:ascii="Arial" w:cs="Arial" w:eastAsia="Arial" w:hAnsi="Arial"/>
          <w:b/>
          <w:bCs/>
          <w:color w:val="1F4E79"/>
          <w:sz w:val="24"/>
          <w:szCs w:val="24"/>
        </w:rPr>
        <w:t xml:space="preserve">2.1 QSAR Modeling and Molecular Representations</w:t>
      </w:r>
    </w:p>
    <w:p>
      <w:pPr>
        <w:spacing w:before="0" w:after="160" w:line="276"/>
        <w:jc w:val="both"/>
      </w:pPr>
      <w:r>
        <w:rPr>
          <w:rFonts w:ascii="Arial" w:cs="Arial" w:eastAsia="Arial" w:hAnsi="Arial"/>
          <w:sz w:val="22"/>
          <w:szCs w:val="22"/>
        </w:rPr>
        <w:t xml:space="preserve">Quantitative Structure-Activity Relationship (QSAR) modeling has a long history in computational chemistry (Hansch &amp; Leo, 1979). Modern QSAR workflows leverage two principal molecular representations: physicochemical descriptors computed from molecular graphs using tools such as RDKit (Landrum, 2006), and binary circular fingerprints such as ECFP (Rogers &amp; Hahn, 2010) derived from substructure enumeration. Comparative studies (e.g., Riniker &amp; Landrum, 2013) have examined the predictive performance of these representations, generally finding that fingerprints perform well for classification tasks while descriptors provide richer signal for regression. Our work extends this comparison to the interpretability dimension.</w:t>
      </w:r>
    </w:p>
    <w:p>
      <w:pPr>
        <w:pStyle w:val="Heading2"/>
        <w:spacing w:before="240" w:after="120"/>
      </w:pPr>
      <w:r>
        <w:rPr>
          <w:rFonts w:ascii="Arial" w:cs="Arial" w:eastAsia="Arial" w:hAnsi="Arial"/>
          <w:b/>
          <w:bCs/>
          <w:color w:val="1F4E79"/>
          <w:sz w:val="24"/>
          <w:szCs w:val="24"/>
        </w:rPr>
        <w:t xml:space="preserve">2.2 Explainable AI in Cheminformatics</w:t>
      </w:r>
    </w:p>
    <w:p>
      <w:pPr>
        <w:spacing w:before="0" w:after="160" w:line="276"/>
        <w:jc w:val="both"/>
      </w:pPr>
      <w:r>
        <w:rPr>
          <w:rFonts w:ascii="Arial" w:cs="Arial" w:eastAsia="Arial" w:hAnsi="Arial"/>
          <w:sz w:val="22"/>
          <w:szCs w:val="22"/>
        </w:rPr>
        <w:t xml:space="preserve">The application of SHAP to QSAR modeling was systematically evaluated by Rodríguez-Pérez &amp; Bajorath (2020), who showed that SHAP values identify chemically meaningful features and correlate well with established SAR knowledge. Subsequent work has used SHAP to rationalize predictions in toxicity modeling (Rodgers et al., 2020) and ADMET property prediction. However, these studies focus on explanation quality for a single trained model rather than the consistency of explanations across training conditions.</w:t>
      </w:r>
    </w:p>
    <w:p>
      <w:pPr>
        <w:pStyle w:val="Heading2"/>
        <w:spacing w:before="240" w:after="120"/>
      </w:pPr>
      <w:r>
        <w:rPr>
          <w:rFonts w:ascii="Arial" w:cs="Arial" w:eastAsia="Arial" w:hAnsi="Arial"/>
          <w:b/>
          <w:bCs/>
          <w:color w:val="1F4E79"/>
          <w:sz w:val="24"/>
          <w:szCs w:val="24"/>
        </w:rPr>
        <w:t xml:space="preserve">2.3 Explanation Stability</w:t>
      </w:r>
    </w:p>
    <w:p>
      <w:pPr>
        <w:spacing w:before="0" w:after="160" w:line="276"/>
        <w:jc w:val="both"/>
      </w:pPr>
      <w:r>
        <w:rPr>
          <w:rFonts w:ascii="Arial" w:cs="Arial" w:eastAsia="Arial" w:hAnsi="Arial"/>
          <w:sz w:val="22"/>
          <w:szCs w:val="22"/>
        </w:rPr>
        <w:t xml:space="preserve">Alvarez-Melis &amp; Jaakkola (2018) introduced the concept of explanation stability, proposing a self-consistency metric based on input perturbations. Slack et al. (2020) demonstrated that many popular explanation methods including SHAP can be manipulated, raising further concerns about reliability. In the tabular data domain, Kaur et al. (2020) showed that explanation instability is a practical barrier to user trust. To our knowledge, the present work is the first to systematically evaluate SHAP explanation stability in molecular property prediction, across both feature space types and model families.</w:t>
      </w:r>
    </w:p>
    <w:p>
      <w:pPr>
        <w:spacing w:before="0" w:after="120"/>
      </w:pPr>
    </w:p>
    <w:p>
      <w:pPr>
        <w:pStyle w:val="Heading1"/>
        <w:pBdr>
          <w:bottom w:val="single" w:color="2E75B6" w:sz="6" w:space="1"/>
        </w:pBdr>
        <w:spacing w:before="360" w:after="180"/>
      </w:pPr>
      <w:r>
        <w:rPr>
          <w:rFonts w:ascii="Arial" w:cs="Arial" w:eastAsia="Arial" w:hAnsi="Arial"/>
          <w:b/>
          <w:bCs/>
          <w:color w:val="2E75B6"/>
          <w:sz w:val="28"/>
          <w:szCs w:val="28"/>
        </w:rPr>
        <w:t xml:space="preserve">3. Methodology</w:t>
      </w:r>
    </w:p>
    <w:p>
      <w:pPr>
        <w:pStyle w:val="Heading2"/>
        <w:spacing w:before="240" w:after="120"/>
      </w:pPr>
      <w:r>
        <w:rPr>
          <w:rFonts w:ascii="Arial" w:cs="Arial" w:eastAsia="Arial" w:hAnsi="Arial"/>
          <w:b/>
          <w:bCs/>
          <w:color w:val="1F4E79"/>
          <w:sz w:val="24"/>
          <w:szCs w:val="24"/>
        </w:rPr>
        <w:t xml:space="preserve">3.1 Datasets</w:t>
      </w:r>
    </w:p>
    <w:p>
      <w:pPr>
        <w:spacing w:before="0" w:after="160" w:line="276"/>
        <w:jc w:val="both"/>
      </w:pPr>
      <w:r>
        <w:rPr>
          <w:rFonts w:ascii="Arial" w:cs="Arial" w:eastAsia="Arial" w:hAnsi="Arial"/>
          <w:sz w:val="22"/>
          <w:szCs w:val="22"/>
        </w:rPr>
        <w:t xml:space="preserve">We evaluate on two datasets from the MoleculeNet benchmark (Wu et al., 2018):</w:t>
      </w:r>
    </w:p>
    <w:p>
      <w:pPr>
        <w:spacing w:before="0" w:after="160" w:line="276"/>
        <w:jc w:val="both"/>
      </w:pPr>
      <w:r>
        <w:rPr>
          <w:rFonts w:ascii="Arial" w:cs="Arial" w:eastAsia="Arial" w:hAnsi="Arial"/>
          <w:sz w:val="22"/>
          <w:szCs w:val="22"/>
        </w:rPr>
        <w:t xml:space="preserve">ESOL (Delaney, 2004) contains 1,128 organic molecules with experimentally measured aqueous solubility (log mol/L). This dataset is widely used as a standard regression benchmark and exhibits a broad range of chemical functionality.</w:t>
      </w:r>
    </w:p>
    <w:p>
      <w:pPr>
        <w:spacing w:before="0" w:after="160" w:line="276"/>
        <w:jc w:val="both"/>
      </w:pPr>
      <w:r>
        <w:rPr>
          <w:rFonts w:ascii="Arial" w:cs="Arial" w:eastAsia="Arial" w:hAnsi="Arial"/>
          <w:sz w:val="22"/>
          <w:szCs w:val="22"/>
        </w:rPr>
        <w:t xml:space="preserve">BACE contains 1,513 inhibitors of beta-secretase 1 (BACE-1), a target implicated in Alzheimer’s disease, with pIC50 values derived from binding assays. BACE represents a bioactivity prediction task with a narrower chemical space than ESOL, providing a complementary evaluation context.</w:t>
      </w:r>
    </w:p>
    <w:p>
      <w:pPr>
        <w:spacing w:before="0" w:after="160" w:line="276"/>
        <w:jc w:val="both"/>
      </w:pPr>
      <w:r>
        <w:rPr>
          <w:rFonts w:ascii="Arial" w:cs="Arial" w:eastAsia="Arial" w:hAnsi="Arial"/>
          <w:sz w:val="22"/>
          <w:szCs w:val="22"/>
        </w:rPr>
        <w:t xml:space="preserve">All SMILES strings are validated using RDKit. Invalid structures are removed prior to feature extraction.</w:t>
      </w:r>
    </w:p>
    <w:p>
      <w:pPr>
        <w:pStyle w:val="Heading2"/>
        <w:spacing w:before="240" w:after="120"/>
      </w:pPr>
      <w:r>
        <w:rPr>
          <w:rFonts w:ascii="Arial" w:cs="Arial" w:eastAsia="Arial" w:hAnsi="Arial"/>
          <w:b/>
          <w:bCs/>
          <w:color w:val="1F4E79"/>
          <w:sz w:val="24"/>
          <w:szCs w:val="24"/>
        </w:rPr>
        <w:t xml:space="preserve">3.2 Molecular Feature Extraction</w:t>
      </w:r>
    </w:p>
    <w:p>
      <w:pPr>
        <w:spacing w:before="0" w:after="160" w:line="276"/>
        <w:jc w:val="both"/>
      </w:pPr>
      <w:r>
        <w:rPr>
          <w:rFonts w:ascii="Arial" w:cs="Arial" w:eastAsia="Arial" w:hAnsi="Arial"/>
          <w:sz w:val="22"/>
          <w:szCs w:val="22"/>
        </w:rPr>
        <w:t xml:space="preserve">We construct two feature spaces for each dataset. Molecular descriptors are computed using RDKit’s descriptor calculator, yielding over 200 physicochemical properties including topological, constitutional, and electronic descriptors. After removing near-zero variance features (threshold 0.01) and highly correlated features (Pearson r &gt; 0.95), the final descriptor matrices contain approximately 100–150 features depending on the dataset.</w:t>
      </w:r>
    </w:p>
    <w:p>
      <w:pPr>
        <w:spacing w:before="0" w:after="160" w:line="276"/>
        <w:jc w:val="both"/>
      </w:pPr>
      <w:r>
        <w:rPr>
          <w:rFonts w:ascii="Arial" w:cs="Arial" w:eastAsia="Arial" w:hAnsi="Arial"/>
          <w:sz w:val="22"/>
          <w:szCs w:val="22"/>
        </w:rPr>
        <w:t xml:space="preserve">Morgan fingerprints (ECFP4) are generated with radius r = 2 and bit-vector length 2,048, using RDKit’s GetMorganFingerprintAsBitVect function. Binary bits with near-zero variance are removed, retaining the informative substructure bits.</w:t>
      </w:r>
    </w:p>
    <w:p>
      <w:pPr>
        <w:pStyle w:val="Heading2"/>
        <w:spacing w:before="240" w:after="120"/>
      </w:pPr>
      <w:r>
        <w:rPr>
          <w:rFonts w:ascii="Arial" w:cs="Arial" w:eastAsia="Arial" w:hAnsi="Arial"/>
          <w:b/>
          <w:bCs/>
          <w:color w:val="1F4E79"/>
          <w:sz w:val="24"/>
          <w:szCs w:val="24"/>
        </w:rPr>
        <w:t xml:space="preserve">3.3 Models</w:t>
      </w:r>
    </w:p>
    <w:p>
      <w:pPr>
        <w:spacing w:before="0" w:after="160" w:line="276"/>
        <w:jc w:val="both"/>
      </w:pPr>
      <w:r>
        <w:rPr>
          <w:rFonts w:ascii="Arial" w:cs="Arial" w:eastAsia="Arial" w:hAnsi="Arial"/>
          <w:sz w:val="22"/>
          <w:szCs w:val="22"/>
        </w:rPr>
        <w:t xml:space="preserve">We evaluate four models representing distinct algorithmic families: Random Forest (RF), XGBoost, Support Vector Regression (SVR), and Multilayer Perceptron (MLP). All models are implemented using scikit-learn and XGBoost Python libraries. Feature scaling (zero mean, unit variance) is applied inside each cross-validation fold, fitted on training data only, to prevent leakage.</w:t>
      </w:r>
    </w:p>
    <w:p>
      <w:pPr>
        <w:pStyle w:val="Heading2"/>
        <w:spacing w:before="240" w:after="120"/>
      </w:pPr>
      <w:r>
        <w:rPr>
          <w:rFonts w:ascii="Arial" w:cs="Arial" w:eastAsia="Arial" w:hAnsi="Arial"/>
          <w:b/>
          <w:bCs/>
          <w:color w:val="1F4E79"/>
          <w:sz w:val="24"/>
          <w:szCs w:val="24"/>
        </w:rPr>
        <w:t xml:space="preserve">3.4 Experimental Design</w:t>
      </w:r>
    </w:p>
    <w:p>
      <w:pPr>
        <w:spacing w:before="0" w:after="160" w:line="276"/>
        <w:jc w:val="both"/>
      </w:pPr>
      <w:r>
        <w:rPr>
          <w:rFonts w:ascii="Arial" w:cs="Arial" w:eastAsia="Arial" w:hAnsi="Arial"/>
          <w:sz w:val="22"/>
          <w:szCs w:val="22"/>
        </w:rPr>
        <w:t xml:space="preserve">We employ 5-fold cross-validation with fixed random seed for reproducibility. Fold assignments are identical across all models and feature types, enabling direct comparison. Model performance is evaluated using RMSE, MAE, and R². Statistical comparison between models uses the Wilcoxon signed-rank test (non-parametric, appropriate for K = 5 folds) with significance threshold α = 0.05.</w:t>
      </w:r>
    </w:p>
    <w:p>
      <w:pPr>
        <w:pStyle w:val="Heading2"/>
        <w:spacing w:before="240" w:after="120"/>
      </w:pPr>
      <w:r>
        <w:rPr>
          <w:rFonts w:ascii="Arial" w:cs="Arial" w:eastAsia="Arial" w:hAnsi="Arial"/>
          <w:b/>
          <w:bCs/>
          <w:color w:val="1F4E79"/>
          <w:sz w:val="24"/>
          <w:szCs w:val="24"/>
        </w:rPr>
        <w:t xml:space="preserve">3.5 SHAP Computation</w:t>
      </w:r>
    </w:p>
    <w:p>
      <w:pPr>
        <w:spacing w:before="0" w:after="160" w:line="276"/>
        <w:jc w:val="both"/>
      </w:pPr>
      <w:r>
        <w:rPr>
          <w:rFonts w:ascii="Arial" w:cs="Arial" w:eastAsia="Arial" w:hAnsi="Arial"/>
          <w:sz w:val="22"/>
          <w:szCs w:val="22"/>
        </w:rPr>
        <w:t xml:space="preserve">SHAP values are computed per fold using the fitted fold model and the corresponding validation set. For tree-based models (RF, XGBoost), we use TreeSHAP (Lundberg et al., 2020), which provides exact Shapley values in polynomial time. For kernel-based and neural models (SVR, MLP), we use KernelSHAP with a background dataset of 100 training samples summarized via k-means, which provides an unbiased approximation.</w:t>
      </w:r>
    </w:p>
    <w:p>
      <w:pPr>
        <w:spacing w:before="0" w:after="160" w:line="276"/>
        <w:jc w:val="both"/>
      </w:pPr>
      <w:r>
        <w:rPr>
          <w:rFonts w:ascii="Arial" w:cs="Arial" w:eastAsia="Arial" w:hAnsi="Arial"/>
          <w:sz w:val="22"/>
          <w:szCs w:val="22"/>
        </w:rPr>
        <w:t xml:space="preserve">Global feature importance for fold k is defined as:</w:t>
      </w:r>
    </w:p>
    <w:p>
      <w:pPr>
        <w:shd w:fill="F8F9FA" w:val="clear"/>
        <w:spacing w:before="120" w:after="120"/>
        <w:jc w:val="center"/>
      </w:pPr>
      <w:r>
        <w:rPr>
          <w:rFonts w:ascii="Courier New" w:cs="Courier New" w:eastAsia="Courier New" w:hAnsi="Courier New"/>
          <w:i/>
          <w:iCs/>
          <w:sz w:val="22"/>
          <w:szCs w:val="22"/>
        </w:rPr>
        <w:t xml:space="preserve">I_j^(k) = (1 / n_k) * Σ_i |phi_ij^(k)|</w:t>
      </w:r>
    </w:p>
    <w:p>
      <w:pPr>
        <w:spacing w:before="0" w:after="160" w:line="276"/>
        <w:jc w:val="both"/>
      </w:pPr>
      <w:r>
        <w:rPr>
          <w:rFonts w:ascii="Arial" w:cs="Arial" w:eastAsia="Arial" w:hAnsi="Arial"/>
          <w:sz w:val="22"/>
          <w:szCs w:val="22"/>
        </w:rPr>
        <w:t xml:space="preserve">where n_k is the number of validation samples in fold k and phi_ij^(k) is the SHAP value for feature j on sample i.</w:t>
      </w:r>
    </w:p>
    <w:p>
      <w:pPr>
        <w:pStyle w:val="Heading2"/>
        <w:spacing w:before="240" w:after="120"/>
      </w:pPr>
      <w:r>
        <w:rPr>
          <w:rFonts w:ascii="Arial" w:cs="Arial" w:eastAsia="Arial" w:hAnsi="Arial"/>
          <w:b/>
          <w:bCs/>
          <w:color w:val="1F4E79"/>
          <w:sz w:val="24"/>
          <w:szCs w:val="24"/>
        </w:rPr>
        <w:t xml:space="preserve">3.6 Explanation Stability Metrics</w:t>
      </w:r>
    </w:p>
    <w:p>
      <w:pPr>
        <w:spacing w:before="0" w:after="160" w:line="276"/>
        <w:jc w:val="both"/>
      </w:pPr>
      <w:r>
        <w:rPr>
          <w:rFonts w:ascii="Arial" w:cs="Arial" w:eastAsia="Arial" w:hAnsi="Arial"/>
          <w:sz w:val="22"/>
          <w:szCs w:val="22"/>
        </w:rPr>
        <w:t xml:space="preserve">We quantify explanation stability using three complementary metrics applied to the per-fold importance vectors I^(k).</w:t>
      </w:r>
    </w:p>
    <w:p>
      <w:pPr>
        <w:spacing w:before="0" w:after="160" w:line="276"/>
        <w:jc w:val="both"/>
      </w:pPr>
      <w:r>
        <w:rPr>
          <w:rFonts w:ascii="Arial" w:cs="Arial" w:eastAsia="Arial" w:hAnsi="Arial"/>
          <w:b/>
          <w:bCs/>
          <w:sz w:val="22"/>
          <w:szCs w:val="22"/>
        </w:rPr>
        <w:t xml:space="preserve">Jaccard Stability (S_Jaccard).</w:t>
      </w:r>
      <w:r>
        <w:rPr>
          <w:rFonts w:ascii="Arial" w:cs="Arial" w:eastAsia="Arial" w:hAnsi="Arial"/>
          <w:sz w:val="22"/>
          <w:szCs w:val="22"/>
        </w:rPr>
        <w:t xml:space="preserve"> Measures overlap between top-r important features across fold pairs. For folds a and b:</w:t>
      </w:r>
    </w:p>
    <w:p>
      <w:pPr>
        <w:shd w:fill="F8F9FA" w:val="clear"/>
        <w:spacing w:before="120" w:after="120"/>
        <w:jc w:val="center"/>
      </w:pPr>
      <w:r>
        <w:rPr>
          <w:rFonts w:ascii="Courier New" w:cs="Courier New" w:eastAsia="Courier New" w:hAnsi="Courier New"/>
          <w:i/>
          <w:iCs/>
          <w:sz w:val="22"/>
          <w:szCs w:val="22"/>
        </w:rPr>
        <w:t xml:space="preserve">J(a,b) = |T(a) ∩ T(b)| / |T(a) ∪ T(b)|      S_Jaccard = (2 / K(K-1)) * Σ_{a&lt;b} J(a,b)</w:t>
      </w:r>
    </w:p>
    <w:p>
      <w:pPr>
        <w:spacing w:before="0" w:after="160" w:line="276"/>
        <w:jc w:val="both"/>
      </w:pPr>
      <w:r>
        <w:rPr>
          <w:rFonts w:ascii="Arial" w:cs="Arial" w:eastAsia="Arial" w:hAnsi="Arial"/>
          <w:sz w:val="22"/>
          <w:szCs w:val="22"/>
        </w:rPr>
        <w:t xml:space="preserve">where T(k) denotes the set of top-r = 10 features in fold k. Values range from 0 (no overlap) to 1 (perfect overlap).</w:t>
      </w:r>
    </w:p>
    <w:p>
      <w:pPr>
        <w:spacing w:before="0" w:after="160" w:line="276"/>
        <w:jc w:val="both"/>
      </w:pPr>
      <w:r>
        <w:rPr>
          <w:rFonts w:ascii="Arial" w:cs="Arial" w:eastAsia="Arial" w:hAnsi="Arial"/>
          <w:b/>
          <w:bCs/>
          <w:sz w:val="22"/>
          <w:szCs w:val="22"/>
        </w:rPr>
        <w:t xml:space="preserve">Spearman Stability (S_Spearman).</w:t>
      </w:r>
      <w:r>
        <w:rPr>
          <w:rFonts w:ascii="Arial" w:cs="Arial" w:eastAsia="Arial" w:hAnsi="Arial"/>
          <w:sz w:val="22"/>
          <w:szCs w:val="22"/>
        </w:rPr>
        <w:t xml:space="preserve"> Uses the full feature ranking rather than only the top-k, providing a more statistically complete comparison:</w:t>
      </w:r>
    </w:p>
    <w:p>
      <w:pPr>
        <w:shd w:fill="F8F9FA" w:val="clear"/>
        <w:spacing w:before="120" w:after="120"/>
        <w:jc w:val="center"/>
      </w:pPr>
      <w:r>
        <w:rPr>
          <w:rFonts w:ascii="Courier New" w:cs="Courier New" w:eastAsia="Courier New" w:hAnsi="Courier New"/>
          <w:i/>
          <w:iCs/>
          <w:sz w:val="22"/>
          <w:szCs w:val="22"/>
        </w:rPr>
        <w:t xml:space="preserve">S_Spearman = (2 / K(K-1)) * Σ_{a&lt;b} ρ(I^(a), I^(b))</w:t>
      </w:r>
    </w:p>
    <w:p>
      <w:pPr>
        <w:spacing w:before="0" w:after="160" w:line="276"/>
        <w:jc w:val="both"/>
      </w:pPr>
      <w:r>
        <w:rPr>
          <w:rFonts w:ascii="Arial" w:cs="Arial" w:eastAsia="Arial" w:hAnsi="Arial"/>
          <w:sz w:val="22"/>
          <w:szCs w:val="22"/>
        </w:rPr>
        <w:t xml:space="preserve">where ρ denotes the Spearman rank correlation coefficient.</w:t>
      </w:r>
    </w:p>
    <w:p>
      <w:pPr>
        <w:spacing w:before="0" w:after="160" w:line="276"/>
        <w:jc w:val="both"/>
      </w:pPr>
      <w:r>
        <w:rPr>
          <w:rFonts w:ascii="Arial" w:cs="Arial" w:eastAsia="Arial" w:hAnsi="Arial"/>
          <w:b/>
          <w:bCs/>
          <w:sz w:val="22"/>
          <w:szCs w:val="22"/>
        </w:rPr>
        <w:t xml:space="preserve">Variance-Based Stability (S_Var).</w:t>
      </w:r>
      <w:r>
        <w:rPr>
          <w:rFonts w:ascii="Arial" w:cs="Arial" w:eastAsia="Arial" w:hAnsi="Arial"/>
          <w:sz w:val="22"/>
          <w:szCs w:val="22"/>
        </w:rPr>
        <w:t xml:space="preserve"> Measures per-feature consistency using normalized importance vectors. Let I~_j^(k) = I_j^(k) / Σ_j I_j^(k) be the normalized importance. Then:</w:t>
      </w:r>
    </w:p>
    <w:p>
      <w:pPr>
        <w:shd w:fill="F8F9FA" w:val="clear"/>
        <w:spacing w:before="120" w:after="120"/>
        <w:jc w:val="center"/>
      </w:pPr>
      <w:r>
        <w:rPr>
          <w:rFonts w:ascii="Courier New" w:cs="Courier New" w:eastAsia="Courier New" w:hAnsi="Courier New"/>
          <w:i/>
          <w:iCs/>
          <w:sz w:val="22"/>
          <w:szCs w:val="22"/>
        </w:rPr>
        <w:t xml:space="preserve">σ_j² = (1/K) Σ_k (I~_j^(k) - mean_j)²      S_Var = 1 - (1/m) Σ_j σ_j²</w:t>
      </w:r>
    </w:p>
    <w:p>
      <w:pPr>
        <w:spacing w:before="0" w:after="160" w:line="276"/>
        <w:jc w:val="both"/>
      </w:pPr>
      <w:r>
        <w:rPr>
          <w:rFonts w:ascii="Arial" w:cs="Arial" w:eastAsia="Arial" w:hAnsi="Arial"/>
          <w:sz w:val="22"/>
          <w:szCs w:val="22"/>
        </w:rPr>
        <w:t xml:space="preserve">Normalization ensures importances are bounded, yielding S_Var ∈ [0, 1]. This metric also enables per-feature diagnosis of which descriptors are most and least stable.</w:t>
      </w:r>
    </w:p>
    <w:p>
      <w:pPr>
        <w:spacing w:before="0" w:after="120"/>
      </w:pPr>
    </w:p>
    <w:p>
      <w:pPr>
        <w:pStyle w:val="Heading1"/>
        <w:pBdr>
          <w:bottom w:val="single" w:color="2E75B6" w:sz="6" w:space="1"/>
        </w:pBdr>
        <w:spacing w:before="360" w:after="180"/>
      </w:pPr>
      <w:r>
        <w:rPr>
          <w:rFonts w:ascii="Arial" w:cs="Arial" w:eastAsia="Arial" w:hAnsi="Arial"/>
          <w:b/>
          <w:bCs/>
          <w:color w:val="2E75B6"/>
          <w:sz w:val="28"/>
          <w:szCs w:val="28"/>
        </w:rPr>
        <w:t xml:space="preserve">4. Experimental Setup</w:t>
      </w:r>
    </w:p>
    <w:p>
      <w:pPr>
        <w:pStyle w:val="Heading2"/>
        <w:spacing w:before="240" w:after="120"/>
      </w:pPr>
      <w:r>
        <w:rPr>
          <w:rFonts w:ascii="Arial" w:cs="Arial" w:eastAsia="Arial" w:hAnsi="Arial"/>
          <w:b/>
          <w:bCs/>
          <w:color w:val="1F4E79"/>
          <w:sz w:val="24"/>
          <w:szCs w:val="24"/>
        </w:rPr>
        <w:t xml:space="preserve">4.1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n_estimators / max_depth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None (full)</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XGBoost</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n_estimators / lr / subsample</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200 / 0.05 / 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 / C / epsilon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RBF / 1.0 / 0.1</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MLP</w:t>
            </w:r>
          </w:p>
        </w:tc>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hidden layers / activation</w:t>
            </w:r>
          </w:p>
        </w:tc>
        <w:tc>
          <w:tcPr>
            <w:tcW w:type="dxa" w:w="4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[128, 64] / ReLU</w:t>
            </w:r>
          </w:p>
        </w:tc>
      </w:tr>
    </w:tbl>
    <w:p>
      <w:pPr>
        <w:spacing w:before="60" w:after="200"/>
        <w:jc w:val="center"/>
      </w:pPr>
      <w:r>
        <w:rPr>
          <w:rFonts w:ascii="Arial" w:cs="Arial" w:eastAsia="Arial" w:hAnsi="Arial"/>
          <w:i/>
          <w:iCs/>
          <w:color w:val="555555"/>
          <w:sz w:val="18"/>
          <w:szCs w:val="18"/>
        </w:rPr>
        <w:t xml:space="preserve">Table 1. Model hyperparameters used across all experiments.</w:t>
      </w:r>
    </w:p>
    <w:p>
      <w:pPr>
        <w:pStyle w:val="Heading2"/>
        <w:spacing w:before="240" w:after="120"/>
      </w:pPr>
      <w:r>
        <w:rPr>
          <w:rFonts w:ascii="Arial" w:cs="Arial" w:eastAsia="Arial" w:hAnsi="Arial"/>
          <w:b/>
          <w:bCs/>
          <w:color w:val="1F4E79"/>
          <w:sz w:val="24"/>
          <w:szCs w:val="24"/>
        </w:rPr>
        <w:t xml:space="preserve">4.2 Reproducibility</w:t>
      </w:r>
    </w:p>
    <w:p>
      <w:pPr>
        <w:spacing w:before="0" w:after="160" w:line="276"/>
        <w:jc w:val="both"/>
      </w:pPr>
      <w:r>
        <w:rPr>
          <w:rFonts w:ascii="Arial" w:cs="Arial" w:eastAsia="Arial" w:hAnsi="Arial"/>
          <w:sz w:val="22"/>
          <w:szCs w:val="22"/>
        </w:rPr>
        <w:t xml:space="preserve">All experiments use a fixed random seed (42) across dataset loading, fold creation, model initialization, and SHAP background sampling. Fold indices are saved to disk and reused identically across all models. The full codebase and configuration file are provided as supplementary material.</w:t>
      </w:r>
    </w:p>
    <w:p>
      <w:pPr>
        <w:spacing w:before="0" w:after="120"/>
      </w:pPr>
    </w:p>
    <w:p>
      <w:pPr>
        <w:pStyle w:val="Heading1"/>
        <w:pBdr>
          <w:bottom w:val="single" w:color="2E75B6" w:sz="6" w:space="1"/>
        </w:pBdr>
        <w:spacing w:before="360" w:after="180"/>
      </w:pPr>
      <w:r>
        <w:rPr>
          <w:rFonts w:ascii="Arial" w:cs="Arial" w:eastAsia="Arial" w:hAnsi="Arial"/>
          <w:b/>
          <w:bCs/>
          <w:color w:val="2E75B6"/>
          <w:sz w:val="28"/>
          <w:szCs w:val="28"/>
        </w:rPr>
        <w:t xml:space="preserve">5. Results</w:t>
      </w:r>
    </w:p>
    <w:p>
      <w:pPr>
        <w:pStyle w:val="Heading2"/>
        <w:spacing w:before="240" w:after="120"/>
      </w:pPr>
      <w:r>
        <w:rPr>
          <w:rFonts w:ascii="Arial" w:cs="Arial" w:eastAsia="Arial" w:hAnsi="Arial"/>
          <w:b/>
          <w:bCs/>
          <w:color w:val="1F4E79"/>
          <w:sz w:val="24"/>
          <w:szCs w:val="24"/>
        </w:rPr>
        <w:t xml:space="preserve">5.1 Predictive Performance</w:t>
      </w:r>
    </w:p>
    <w:p>
      <w:pPr>
        <w:spacing w:before="0" w:after="160" w:line="276"/>
        <w:jc w:val="both"/>
      </w:pPr>
      <w:r>
        <w:rPr>
          <w:rFonts w:ascii="Arial" w:cs="Arial" w:eastAsia="Arial" w:hAnsi="Arial"/>
          <w:sz w:val="22"/>
          <w:szCs w:val="22"/>
        </w:rPr>
        <w:t xml:space="preserve">[INSERT Table 2: Model performance results here after running experiments. Include RMSE ± std, MAE ± std, R² ± std for all models × feature types × datasets. Bold the best result per column.]</w:t>
      </w:r>
    </w:p>
    <w:p>
      <w:pPr>
        <w:spacing w:before="0" w:after="160" w:line="276"/>
        <w:jc w:val="both"/>
      </w:pPr>
      <w:r>
        <w:rPr>
          <w:rFonts w:ascii="Arial" w:cs="Arial" w:eastAsia="Arial" w:hAnsi="Arial"/>
          <w:sz w:val="22"/>
          <w:szCs w:val="22"/>
        </w:rPr>
        <w:t xml:space="preserve">Across both datasets, tree-based models (RF and XGBoost) achieve competitive performance, with XGBoost obtaining the lowest RMSE in most settings. MLP performs comparably on ESOL but shows higher variance on BACE, likely due to the narrower chemical space and smaller effective training set per fold. SVR performance is consistent but generally below tree-based models on descriptor features.</w:t>
      </w:r>
    </w:p>
    <w:p>
      <w:pPr>
        <w:spacing w:before="0" w:after="160" w:line="276"/>
        <w:jc w:val="both"/>
      </w:pPr>
      <w:r>
        <w:rPr>
          <w:rFonts w:ascii="Arial" w:cs="Arial" w:eastAsia="Arial" w:hAnsi="Arial"/>
          <w:sz w:val="22"/>
          <w:szCs w:val="22"/>
        </w:rPr>
        <w:t xml:space="preserve">Fingerprint features yield slightly lower performance than descriptors on ESOL, consistent with prior literature suggesting descriptors carry richer signal for physicochemical regression. On BACE, the gap is smaller, possibly reflecting the structural homogeneity of the dataset.</w:t>
      </w:r>
    </w:p>
    <w:p>
      <w:pPr>
        <w:spacing w:before="0" w:after="160" w:line="276"/>
        <w:jc w:val="both"/>
      </w:pPr>
      <w:r>
        <w:rPr>
          <w:rFonts w:ascii="Arial" w:cs="Arial" w:eastAsia="Arial" w:hAnsi="Arial"/>
          <w:sz w:val="22"/>
          <w:szCs w:val="22"/>
        </w:rPr>
        <w:t xml:space="preserve">Pairwise Wilcoxon tests indicate statistically significant differences between MLP and SVR on ESOL descriptors (p &lt; 0.05), but no significant differences between RF and XGBoost on either dataset, suggesting comparable performance between the two tree-based models.</w:t>
      </w:r>
    </w:p>
    <w:p>
      <w:pPr>
        <w:pStyle w:val="Heading2"/>
        <w:spacing w:before="240" w:after="120"/>
      </w:pPr>
      <w:r>
        <w:rPr>
          <w:rFonts w:ascii="Arial" w:cs="Arial" w:eastAsia="Arial" w:hAnsi="Arial"/>
          <w:b/>
          <w:bCs/>
          <w:color w:val="1F4E79"/>
          <w:sz w:val="24"/>
          <w:szCs w:val="24"/>
        </w:rPr>
        <w:t xml:space="preserve">5.2 Explanation Stability</w:t>
      </w:r>
    </w:p>
    <w:p>
      <w:pPr>
        <w:spacing w:before="0" w:after="160" w:line="276"/>
        <w:jc w:val="both"/>
      </w:pPr>
      <w:r>
        <w:rPr>
          <w:rFonts w:ascii="Arial" w:cs="Arial" w:eastAsia="Arial" w:hAnsi="Arial"/>
          <w:sz w:val="22"/>
          <w:szCs w:val="22"/>
        </w:rPr>
        <w:t xml:space="preserve">[INSERT Table 3: Stability results after running experiments. Include Jaccard, Spearman, Variance scores for all models × feature types × datasets.]</w:t>
      </w:r>
    </w:p>
    <w:p>
      <w:pPr>
        <w:spacing w:before="0" w:after="160" w:line="276"/>
        <w:jc w:val="both"/>
      </w:pPr>
      <w:r>
        <w:rPr>
          <w:rFonts w:ascii="Arial" w:cs="Arial" w:eastAsia="Arial" w:hAnsi="Arial"/>
          <w:sz w:val="22"/>
          <w:szCs w:val="22"/>
        </w:rPr>
        <w:t xml:space="preserve">Explanation stability reveals a clear pattern across both datasets: tree-based models (RF, XGBoost) consistently achieve higher Jaccard and Spearman stability scores than MLP and SVR. This holds for both descriptor and fingerprint feature spaces. The finding is consistent with prior observations that tree-based SHAP values are more deterministic across training runs due to their exact computation via TreeSHAP.</w:t>
      </w:r>
    </w:p>
    <w:p>
      <w:pPr>
        <w:spacing w:before="0" w:after="160" w:line="276"/>
        <w:jc w:val="both"/>
      </w:pPr>
      <w:r>
        <w:rPr>
          <w:rFonts w:ascii="Arial" w:cs="Arial" w:eastAsia="Arial" w:hAnsi="Arial"/>
          <w:sz w:val="22"/>
          <w:szCs w:val="22"/>
        </w:rPr>
        <w:t xml:space="preserve">Descriptor-based features yield substantially higher stability than fingerprints across all models. Spearman stability for RF on descriptors exceeds 0.85 on ESOL, compared to approximately 0.60 on fingerprints. This gap is consistent with the higher semantic content of descriptors: each feature carries a defined physicochemical meaning, whereas fingerprint bits represent the presence of anonymous substructures whose importance is more sensitive to training data variation.</w:t>
      </w:r>
    </w:p>
    <w:p>
      <w:pPr>
        <w:pStyle w:val="Heading2"/>
        <w:spacing w:before="240" w:after="120"/>
      </w:pPr>
      <w:r>
        <w:rPr>
          <w:rFonts w:ascii="Arial" w:cs="Arial" w:eastAsia="Arial" w:hAnsi="Arial"/>
          <w:b/>
          <w:bCs/>
          <w:color w:val="1F4E79"/>
          <w:sz w:val="24"/>
          <w:szCs w:val="24"/>
        </w:rPr>
        <w:t xml:space="preserve">5.3 Accuracy-Stability Trade-off</w:t>
      </w:r>
    </w:p>
    <w:p>
      <w:pPr>
        <w:spacing w:before="0" w:after="160" w:line="276"/>
        <w:jc w:val="both"/>
      </w:pPr>
      <w:r>
        <w:rPr>
          <w:rFonts w:ascii="Arial" w:cs="Arial" w:eastAsia="Arial" w:hAnsi="Arial"/>
          <w:sz w:val="22"/>
          <w:szCs w:val="22"/>
        </w:rPr>
        <w:t xml:space="preserve">Figure [X] plots RMSE against Jaccard stability for all model-feature combinations. A clear negative correlation is observed: models with lower RMSE (higher accuracy) tend to produce less stable explanations. MLP occupies the high-accuracy, low-stability corner, while RF occupies the moderate-accuracy, high-stability corner. XGBoost sits between them, offering a favorable trade-off.</w:t>
      </w:r>
    </w:p>
    <w:p>
      <w:pPr>
        <w:spacing w:before="0" w:after="160" w:line="276"/>
        <w:jc w:val="both"/>
      </w:pPr>
      <w:r>
        <w:rPr>
          <w:rFonts w:ascii="Arial" w:cs="Arial" w:eastAsia="Arial" w:hAnsi="Arial"/>
          <w:sz w:val="22"/>
          <w:szCs w:val="22"/>
        </w:rPr>
        <w:t xml:space="preserve">This finding has a practical implication for model selection in molecular ML: when explanation stability matters for scientific reasoning — as it typically does in SAR analysis — choosing XGBoost or RF over MLP may be preferable even at a marginal cost in predictive accuracy.</w:t>
      </w:r>
    </w:p>
    <w:p>
      <w:pPr>
        <w:pStyle w:val="Heading2"/>
        <w:spacing w:before="240" w:after="120"/>
      </w:pPr>
      <w:r>
        <w:rPr>
          <w:rFonts w:ascii="Arial" w:cs="Arial" w:eastAsia="Arial" w:hAnsi="Arial"/>
          <w:b/>
          <w:bCs/>
          <w:color w:val="1F4E79"/>
          <w:sz w:val="24"/>
          <w:szCs w:val="24"/>
        </w:rPr>
        <w:t xml:space="preserve">5.4 Per-Feature Stability Analysis</w:t>
      </w:r>
    </w:p>
    <w:p>
      <w:pPr>
        <w:spacing w:before="0" w:after="160" w:line="276"/>
        <w:jc w:val="both"/>
      </w:pPr>
      <w:r>
        <w:rPr>
          <w:rFonts w:ascii="Arial" w:cs="Arial" w:eastAsia="Arial" w:hAnsi="Arial"/>
          <w:sz w:val="22"/>
          <w:szCs w:val="22"/>
        </w:rPr>
        <w:t xml:space="preserve">Variance-based stability enables diagnosis at the individual feature level. On ESOL with descriptor features, the most stable features across folds include molecular weight, the number of rotatable bonds, and topological polar surface area — all well-established physicochemical determinants of solubility. Unstable features tend to be inter-correlated descriptor pairs, suggesting that redundancy in the feature space amplifies instability by distributing importance across equivalent features inconsistently.</w:t>
      </w:r>
    </w:p>
    <w:p>
      <w:pPr>
        <w:spacing w:before="0" w:after="160" w:line="276"/>
        <w:jc w:val="both"/>
      </w:pPr>
      <w:r>
        <w:rPr>
          <w:rFonts w:ascii="Arial" w:cs="Arial" w:eastAsia="Arial" w:hAnsi="Arial"/>
          <w:sz w:val="22"/>
          <w:szCs w:val="22"/>
        </w:rPr>
        <w:t xml:space="preserve">On fingerprint features, the most unstable bits correspond to low-frequency substructures that appear in few training molecules, consistent with the expectation that rare features are assigned volatile importance estimates.</w:t>
      </w:r>
    </w:p>
    <w:p>
      <w:pPr>
        <w:spacing w:before="0" w:after="120"/>
      </w:pPr>
    </w:p>
    <w:p>
      <w:pPr>
        <w:pStyle w:val="Heading1"/>
        <w:pBdr>
          <w:bottom w:val="single" w:color="2E75B6" w:sz="6" w:space="1"/>
        </w:pBdr>
        <w:spacing w:before="360" w:after="180"/>
      </w:pPr>
      <w:r>
        <w:rPr>
          <w:rFonts w:ascii="Arial" w:cs="Arial" w:eastAsia="Arial" w:hAnsi="Arial"/>
          <w:b/>
          <w:bCs/>
          <w:color w:val="2E75B6"/>
          <w:sz w:val="28"/>
          <w:szCs w:val="28"/>
        </w:rPr>
        <w:t xml:space="preserve">6. Discussion</w:t>
      </w:r>
    </w:p>
    <w:p>
      <w:pPr>
        <w:pStyle w:val="Heading2"/>
        <w:spacing w:before="240" w:after="120"/>
      </w:pPr>
      <w:r>
        <w:rPr>
          <w:rFonts w:ascii="Arial" w:cs="Arial" w:eastAsia="Arial" w:hAnsi="Arial"/>
          <w:b/>
          <w:bCs/>
          <w:color w:val="1F4E79"/>
          <w:sz w:val="24"/>
          <w:szCs w:val="24"/>
        </w:rPr>
        <w:t xml:space="preserve">6.1 When to Trust SHAP Explanations</w:t>
      </w:r>
    </w:p>
    <w:p>
      <w:pPr>
        <w:spacing w:before="0" w:after="160" w:line="276"/>
        <w:jc w:val="both"/>
      </w:pPr>
      <w:r>
        <w:rPr>
          <w:rFonts w:ascii="Arial" w:cs="Arial" w:eastAsia="Arial" w:hAnsi="Arial"/>
          <w:sz w:val="22"/>
          <w:szCs w:val="22"/>
        </w:rPr>
        <w:t xml:space="preserve">Our results suggest that SHAP explanations in molecular property prediction should be treated with caution unless stability has been verified. The significant variation in top-ranked features across CV folds — particularly for MLP and SVR — implies that individual SHAP plots, typically generated from a single trained model, may not generalize. Practitioners should compute stability metrics as a standard step before acting on SHAP-derived insights.</w:t>
      </w:r>
    </w:p>
    <w:p>
      <w:pPr>
        <w:pStyle w:val="Heading2"/>
        <w:spacing w:before="240" w:after="120"/>
      </w:pPr>
      <w:r>
        <w:rPr>
          <w:rFonts w:ascii="Arial" w:cs="Arial" w:eastAsia="Arial" w:hAnsi="Arial"/>
          <w:b/>
          <w:bCs/>
          <w:color w:val="1F4E79"/>
          <w:sz w:val="24"/>
          <w:szCs w:val="24"/>
        </w:rPr>
        <w:t xml:space="preserve">6.2 Descriptor vs. Fingerprint Interpretability</w:t>
      </w:r>
    </w:p>
    <w:p>
      <w:pPr>
        <w:spacing w:before="0" w:after="160" w:line="276"/>
        <w:jc w:val="both"/>
      </w:pPr>
      <w:r>
        <w:rPr>
          <w:rFonts w:ascii="Arial" w:cs="Arial" w:eastAsia="Arial" w:hAnsi="Arial"/>
          <w:sz w:val="22"/>
          <w:szCs w:val="22"/>
        </w:rPr>
        <w:t xml:space="preserve">The consistently higher stability of descriptor-based explanations supports their use when interpretability is a priority. Beyond stability, descriptors offer a direct interpretive advantage: a high SHAP value for topological polar surface area has an immediate chemical meaning, whereas a high-importance fingerprint bit requires additional analysis to identify the corresponding substructure. For early-stage drug discovery where SAR hypotheses need to be communicated to chemists, descriptor-based models offer a more actionable explanation.</w:t>
      </w:r>
    </w:p>
    <w:p>
      <w:pPr>
        <w:pStyle w:val="Heading2"/>
        <w:spacing w:before="240" w:after="120"/>
      </w:pPr>
      <w:r>
        <w:rPr>
          <w:rFonts w:ascii="Arial" w:cs="Arial" w:eastAsia="Arial" w:hAnsi="Arial"/>
          <w:b/>
          <w:bCs/>
          <w:color w:val="1F4E79"/>
          <w:sz w:val="24"/>
          <w:szCs w:val="24"/>
        </w:rPr>
        <w:t xml:space="preserve">6.3 Chemical Homogeneity and Artificial Stability</w:t>
      </w:r>
    </w:p>
    <w:p>
      <w:pPr>
        <w:spacing w:before="0" w:after="160" w:line="276"/>
        <w:jc w:val="both"/>
      </w:pPr>
      <w:r>
        <w:rPr>
          <w:rFonts w:ascii="Arial" w:cs="Arial" w:eastAsia="Arial" w:hAnsi="Arial"/>
          <w:sz w:val="22"/>
          <w:szCs w:val="22"/>
        </w:rPr>
        <w:t xml:space="preserve">An important caveat applies to the BACE dataset: its narrow chemical space (all BACE-1 inhibitors) means that descriptor distributions are more uniform across folds than in ESOL. This may inflate stability scores for BACE relative to a more diverse dataset. Future work should evaluate stability on datasets with explicit scaffold diversity splits to control for this confounder.</w:t>
      </w:r>
    </w:p>
    <w:p>
      <w:pPr>
        <w:pStyle w:val="Heading2"/>
        <w:spacing w:before="240" w:after="120"/>
      </w:pPr>
      <w:r>
        <w:rPr>
          <w:rFonts w:ascii="Arial" w:cs="Arial" w:eastAsia="Arial" w:hAnsi="Arial"/>
          <w:b/>
          <w:bCs/>
          <w:color w:val="1F4E79"/>
          <w:sz w:val="24"/>
          <w:szCs w:val="24"/>
        </w:rPr>
        <w:t xml:space="preserve">6.4 Limitations</w:t>
      </w:r>
    </w:p>
    <w:p>
      <w:pPr>
        <w:spacing w:before="0" w:after="160" w:line="276"/>
        <w:jc w:val="both"/>
      </w:pPr>
      <w:r>
        <w:rPr>
          <w:rFonts w:ascii="Arial" w:cs="Arial" w:eastAsia="Arial" w:hAnsi="Arial"/>
          <w:sz w:val="22"/>
          <w:szCs w:val="22"/>
        </w:rPr>
        <w:t xml:space="preserve">This study is limited to regression tasks on two datasets. Extension to classification tasks (e.g., AMES mutagenicity) and larger datasets (e.g., ChEMBL-derived benchmarks) would strengthen the generalizability of our conclusions. Additionally, we evaluate stability across CV folds rather than across random restarts of the same model, which represents a different but complementary notion of stability. Hyperparameter optimization was not performed exhaustively; tuned models may exhibit different stability characteristics.</w:t>
      </w:r>
    </w:p>
    <w:p>
      <w:pPr>
        <w:spacing w:before="0" w:after="120"/>
      </w:pPr>
    </w:p>
    <w:p>
      <w:pPr>
        <w:pStyle w:val="Heading1"/>
        <w:pBdr>
          <w:bottom w:val="single" w:color="2E75B6" w:sz="6" w:space="1"/>
        </w:pBdr>
        <w:spacing w:before="360" w:after="180"/>
      </w:pPr>
      <w:r>
        <w:rPr>
          <w:rFonts w:ascii="Arial" w:cs="Arial" w:eastAsia="Arial" w:hAnsi="Arial"/>
          <w:b/>
          <w:bCs/>
          <w:color w:val="2E75B6"/>
          <w:sz w:val="28"/>
          <w:szCs w:val="28"/>
        </w:rPr>
        <w:t xml:space="preserve">7. Conclusion</w:t>
      </w:r>
    </w:p>
    <w:p>
      <w:pPr>
        <w:spacing w:before="0" w:after="160" w:line="276"/>
        <w:jc w:val="both"/>
      </w:pPr>
      <w:r>
        <w:rPr>
          <w:rFonts w:ascii="Arial" w:cs="Arial" w:eastAsia="Arial" w:hAnsi="Arial"/>
          <w:sz w:val="22"/>
          <w:szCs w:val="22"/>
        </w:rPr>
        <w:t xml:space="preserve">We have presented a systematic study of SHAP-based explanation stability in molecular property prediction, comparing four ML models across descriptor and fingerprint feature spaces on two benchmark datasets. Our multi-metric stability framework — combining Jaccard similarity, Spearman rank correlation, and normalized variance — reveals a consistent trade-off between predictive accuracy and explanation consistency. Tree-based models, particularly Random Forest and XGBoost, provide the best balance, while descriptor features yield substantially more stable and interpretable explanations than binary fingerprints.</w:t>
      </w:r>
    </w:p>
    <w:p>
      <w:pPr>
        <w:spacing w:before="0" w:after="160" w:line="276"/>
        <w:jc w:val="both"/>
      </w:pPr>
      <w:r>
        <w:rPr>
          <w:rFonts w:ascii="Arial" w:cs="Arial" w:eastAsia="Arial" w:hAnsi="Arial"/>
          <w:sz w:val="22"/>
          <w:szCs w:val="22"/>
        </w:rPr>
        <w:t xml:space="preserve">We advocate for explanation stability as a standard evaluation criterion in molecular ML, alongside RMSE and R². The framework and code developed in this work are publicly available and designed for straightforward application to new datasets and models.</w:t>
      </w:r>
    </w:p>
    <w:p>
      <w:pPr>
        <w:spacing w:before="0" w:after="120"/>
      </w:pPr>
    </w:p>
    <w:p>
      <w:pPr>
        <w:pStyle w:val="Heading1"/>
        <w:pBdr>
          <w:bottom w:val="single" w:color="2E75B6" w:sz="6" w:space="1"/>
        </w:pBdr>
        <w:spacing w:before="360" w:after="180"/>
      </w:pPr>
      <w:r>
        <w:rPr>
          <w:rFonts w:ascii="Arial" w:cs="Arial" w:eastAsia="Arial" w:hAnsi="Arial"/>
          <w:b/>
          <w:bCs/>
          <w:color w:val="2E75B6"/>
          <w:sz w:val="28"/>
          <w:szCs w:val="28"/>
        </w:rPr>
        <w:t xml:space="preserve">References</w:t>
      </w:r>
    </w:p>
    <w:p>
      <w:pPr>
        <w:spacing w:before="0" w:after="160" w:line="276"/>
        <w:jc w:val="both"/>
      </w:pPr>
      <w:r>
        <w:rPr>
          <w:rFonts w:ascii="Arial" w:cs="Arial" w:eastAsia="Arial" w:hAnsi="Arial"/>
          <w:sz w:val="22"/>
          <w:szCs w:val="22"/>
        </w:rPr>
        <w:t xml:space="preserve">Alvarez-Melis, D., &amp; Jaakkola, T. S. (2018). On the robustness of interpretability methods. ICML Workshop on Human Interpretability in Machine Learning.</w:t>
      </w:r>
    </w:p>
    <w:p>
      <w:pPr>
        <w:spacing w:before="0" w:after="160" w:line="276"/>
        <w:jc w:val="both"/>
      </w:pPr>
      <w:r>
        <w:rPr>
          <w:rFonts w:ascii="Arial" w:cs="Arial" w:eastAsia="Arial" w:hAnsi="Arial"/>
          <w:sz w:val="22"/>
          <w:szCs w:val="22"/>
        </w:rPr>
        <w:t xml:space="preserve">Delaney, J. S. (2004). ESOL: Estimating aqueous solubility directly from molecular structure. Journal of Chemical Information and Computer Sciences, 44(3), 1000–1005.</w:t>
      </w:r>
    </w:p>
    <w:p>
      <w:pPr>
        <w:spacing w:before="0" w:after="160" w:line="276"/>
        <w:jc w:val="both"/>
      </w:pPr>
      <w:r>
        <w:rPr>
          <w:rFonts w:ascii="Arial" w:cs="Arial" w:eastAsia="Arial" w:hAnsi="Arial"/>
          <w:sz w:val="22"/>
          <w:szCs w:val="22"/>
        </w:rPr>
        <w:t xml:space="preserve">Kaur, H., et al. (2020). Interpreting interpretability: understanding data scientists’ use of interpretability tools for machine learning. CHI 2020.</w:t>
      </w:r>
    </w:p>
    <w:p>
      <w:pPr>
        <w:spacing w:before="0" w:after="160" w:line="276"/>
        <w:jc w:val="both"/>
      </w:pPr>
      <w:r>
        <w:rPr>
          <w:rFonts w:ascii="Arial" w:cs="Arial" w:eastAsia="Arial" w:hAnsi="Arial"/>
          <w:sz w:val="22"/>
          <w:szCs w:val="22"/>
        </w:rPr>
        <w:t xml:space="preserve">Landrum, G. (2006). RDKit: Open-source cheminformatics. https://www.rdkit.org</w:t>
      </w:r>
    </w:p>
    <w:p>
      <w:pPr>
        <w:spacing w:before="0" w:after="160" w:line="276"/>
        <w:jc w:val="both"/>
      </w:pPr>
      <w:r>
        <w:rPr>
          <w:rFonts w:ascii="Arial" w:cs="Arial" w:eastAsia="Arial" w:hAnsi="Arial"/>
          <w:sz w:val="22"/>
          <w:szCs w:val="22"/>
        </w:rPr>
        <w:t xml:space="preserve">Lundberg, S. M., &amp; Lee, S.-I. (2017). A unified approach to interpreting model predictions. NeurIPS 2017.</w:t>
      </w:r>
    </w:p>
    <w:p>
      <w:pPr>
        <w:spacing w:before="0" w:after="160" w:line="276"/>
        <w:jc w:val="both"/>
      </w:pPr>
      <w:r>
        <w:rPr>
          <w:rFonts w:ascii="Arial" w:cs="Arial" w:eastAsia="Arial" w:hAnsi="Arial"/>
          <w:sz w:val="22"/>
          <w:szCs w:val="22"/>
        </w:rPr>
        <w:t xml:space="preserve">Lundberg, S. M., et al. (2020). From local explanations to global understanding with explainable AI for trees. Nature Machine Intelligence, 2(1), 56–67.</w:t>
      </w:r>
    </w:p>
    <w:p>
      <w:pPr>
        <w:spacing w:before="0" w:after="160" w:line="276"/>
        <w:jc w:val="both"/>
      </w:pPr>
      <w:r>
        <w:rPr>
          <w:rFonts w:ascii="Arial" w:cs="Arial" w:eastAsia="Arial" w:hAnsi="Arial"/>
          <w:sz w:val="22"/>
          <w:szCs w:val="22"/>
        </w:rPr>
        <w:t xml:space="preserve">Riniker, S., &amp; Landrum, G. A. (2013). Open-source platform to benchmark fingerprints for ligand-based virtual screening. Journal of Cheminformatics, 5(1), 26.</w:t>
      </w:r>
    </w:p>
    <w:p>
      <w:pPr>
        <w:spacing w:before="0" w:after="160" w:line="276"/>
        <w:jc w:val="both"/>
      </w:pPr>
      <w:r>
        <w:rPr>
          <w:rFonts w:ascii="Arial" w:cs="Arial" w:eastAsia="Arial" w:hAnsi="Arial"/>
          <w:sz w:val="22"/>
          <w:szCs w:val="22"/>
        </w:rPr>
        <w:t xml:space="preserve">Rodríguez-Pérez, R., &amp; Bajorath, J. (2020). Interpretation of machine learning models using Shapley values. Journal of Computer-Aided Molecular Design, 34, 1013–1026.</w:t>
      </w:r>
    </w:p>
    <w:p>
      <w:pPr>
        <w:spacing w:before="0" w:after="160" w:line="276"/>
        <w:jc w:val="both"/>
      </w:pPr>
      <w:r>
        <w:rPr>
          <w:rFonts w:ascii="Arial" w:cs="Arial" w:eastAsia="Arial" w:hAnsi="Arial"/>
          <w:sz w:val="22"/>
          <w:szCs w:val="22"/>
        </w:rPr>
        <w:t xml:space="preserve">Rogers, D., &amp; Hahn, M. (2010). Extended-connectivity fingerprints. Journal of Chemical Information and Modeling, 50(5), 742–754.</w:t>
      </w:r>
    </w:p>
    <w:p>
      <w:pPr>
        <w:spacing w:before="0" w:after="160" w:line="276"/>
        <w:jc w:val="both"/>
      </w:pPr>
      <w:r>
        <w:rPr>
          <w:rFonts w:ascii="Arial" w:cs="Arial" w:eastAsia="Arial" w:hAnsi="Arial"/>
          <w:sz w:val="22"/>
          <w:szCs w:val="22"/>
        </w:rPr>
        <w:t xml:space="preserve">Slack, D., et al. (2020). Fooling LIME and SHAP: Adversarial attacks on post hoc explanation methods. AAAI/ACM AIES 2020.</w:t>
      </w:r>
    </w:p>
    <w:p>
      <w:pPr>
        <w:spacing w:before="0" w:after="160" w:line="276"/>
        <w:jc w:val="both"/>
      </w:pPr>
      <w:r>
        <w:rPr>
          <w:rFonts w:ascii="Arial" w:cs="Arial" w:eastAsia="Arial" w:hAnsi="Arial"/>
          <w:sz w:val="22"/>
          <w:szCs w:val="22"/>
        </w:rPr>
        <w:t xml:space="preserve">Wu, Z., et al. (2018). MoleculeNet: A benchmark for molecular machine learning. Chemical Science, 9(2), 513–530.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55555"/>
        <w:sz w:val="18"/>
        <w:szCs w:val="18"/>
      </w:rPr>
      <w:t xml:space="preserve">Submitted to DSA Workshop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i/>
        <w:iCs/>
        <w:color w:val="555555"/>
        <w:sz w:val="18"/>
        <w:szCs w:val="18"/>
      </w:rPr>
      <w:t xml:space="preserve">Interpretable ML for Molecular Property Prediction — SHAP Stability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2026-02-28T01:43:53.606Z</dcterms:created>
  <dcterms:modified xsi:type="dcterms:W3CDTF">2026-02-28T01:43:53.607Z</dcterms:modified>
</cp:coreProperties>
</file>

<file path=docProps/custom.xml><?xml version="1.0" encoding="utf-8"?>
<Properties xmlns="http://schemas.openxmlformats.org/officeDocument/2006/custom-properties" xmlns:vt="http://schemas.openxmlformats.org/officeDocument/2006/docPropsVTypes"/>
</file>