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A8BE" w14:textId="77777777" w:rsidR="00FD782F" w:rsidRPr="00A350BB" w:rsidRDefault="00000000" w:rsidP="00A350BB">
      <w:pPr>
        <w:spacing w:after="120"/>
        <w:rPr>
          <w:rFonts w:ascii="Baskerville Old Face" w:hAnsi="Baskerville Old Face"/>
        </w:rPr>
      </w:pPr>
      <w:r w:rsidRPr="00A350BB">
        <w:rPr>
          <w:rFonts w:ascii="Baskerville Old Face" w:hAnsi="Baskerville Old Face"/>
          <w:smallCaps/>
          <w:sz w:val="20"/>
          <w:szCs w:val="20"/>
        </w:rPr>
        <w:t>Review article</w:t>
      </w:r>
    </w:p>
    <w:p w14:paraId="67FF55D7" w14:textId="77777777" w:rsidR="00FD782F" w:rsidRPr="00A350BB" w:rsidRDefault="00000000" w:rsidP="00A350BB">
      <w:pPr>
        <w:spacing w:after="320"/>
        <w:rPr>
          <w:rFonts w:ascii="Baskerville Old Face" w:hAnsi="Baskerville Old Face"/>
        </w:rPr>
      </w:pPr>
      <w:r w:rsidRPr="00A350BB">
        <w:rPr>
          <w:rFonts w:ascii="Baskerville Old Face" w:hAnsi="Baskerville Old Face"/>
          <w:b/>
          <w:bCs/>
          <w:sz w:val="36"/>
          <w:szCs w:val="36"/>
        </w:rPr>
        <w:t>Mechanisms of Action of Semaglutide and Tirzepatide: From Receptor Pharmacology to Clinical Outcomes</w:t>
      </w:r>
    </w:p>
    <w:p w14:paraId="498D0A9F"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rPr>
        <w:t xml:space="preserve">[Author name(s)]¹ </w:t>
      </w:r>
      <w:r w:rsidRPr="00A350BB">
        <w:rPr>
          <w:rFonts w:ascii="Cambria" w:hAnsi="Cambria" w:cs="Cambria"/>
        </w:rPr>
        <w:t>·</w:t>
      </w:r>
      <w:r w:rsidRPr="00A350BB">
        <w:rPr>
          <w:rFonts w:ascii="Baskerville Old Face" w:hAnsi="Baskerville Old Face"/>
        </w:rPr>
        <w:t xml:space="preserve"> [Affiliation(s)]</w:t>
      </w:r>
    </w:p>
    <w:p w14:paraId="42DD56B8"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Corresponding author:</w:t>
      </w:r>
      <w:r w:rsidRPr="00A350BB">
        <w:rPr>
          <w:rFonts w:ascii="Baskerville Old Face" w:hAnsi="Baskerville Old Face"/>
        </w:rPr>
        <w:t xml:space="preserve"> [Name, address, email]</w:t>
      </w:r>
    </w:p>
    <w:p w14:paraId="4054AC55"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Running title:</w:t>
      </w:r>
      <w:r w:rsidRPr="00A350BB">
        <w:rPr>
          <w:rFonts w:ascii="Baskerville Old Face" w:hAnsi="Baskerville Old Face"/>
        </w:rPr>
        <w:t xml:space="preserve"> Mechanisms of semaglutide and tirzepatide</w:t>
      </w:r>
    </w:p>
    <w:p w14:paraId="0B640A68"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Main text:</w:t>
      </w:r>
      <w:r w:rsidRPr="00A350BB">
        <w:rPr>
          <w:rFonts w:ascii="Baskerville Old Face" w:hAnsi="Baskerville Old Face"/>
        </w:rPr>
        <w:t xml:space="preserve"> approximately 2850 words </w:t>
      </w:r>
      <w:r w:rsidRPr="00A350BB">
        <w:rPr>
          <w:rFonts w:ascii="Cambria" w:hAnsi="Cambria" w:cs="Cambria"/>
        </w:rPr>
        <w:t>·</w:t>
      </w:r>
      <w:r w:rsidRPr="00A350BB">
        <w:rPr>
          <w:rFonts w:ascii="Baskerville Old Face" w:hAnsi="Baskerville Old Face"/>
        </w:rPr>
        <w:t xml:space="preserve"> 3 tables </w:t>
      </w:r>
      <w:r w:rsidRPr="00A350BB">
        <w:rPr>
          <w:rFonts w:ascii="Cambria" w:hAnsi="Cambria" w:cs="Cambria"/>
        </w:rPr>
        <w:t>·</w:t>
      </w:r>
      <w:r w:rsidRPr="00A350BB">
        <w:rPr>
          <w:rFonts w:ascii="Baskerville Old Face" w:hAnsi="Baskerville Old Face"/>
        </w:rPr>
        <w:t xml:space="preserve"> 2 figures </w:t>
      </w:r>
      <w:r w:rsidRPr="00A350BB">
        <w:rPr>
          <w:rFonts w:ascii="Cambria" w:hAnsi="Cambria" w:cs="Cambria"/>
        </w:rPr>
        <w:t>·</w:t>
      </w:r>
      <w:r w:rsidRPr="00A350BB">
        <w:rPr>
          <w:rFonts w:ascii="Baskerville Old Face" w:hAnsi="Baskerville Old Face"/>
        </w:rPr>
        <w:t xml:space="preserve"> 42 references</w:t>
      </w:r>
    </w:p>
    <w:p w14:paraId="17EFDCE0" w14:textId="77777777" w:rsidR="00FD782F" w:rsidRPr="00A350BB" w:rsidRDefault="00FD782F" w:rsidP="00A350BB">
      <w:pPr>
        <w:pBdr>
          <w:bottom w:val="single" w:sz="6" w:space="4" w:color="1F4E79"/>
        </w:pBdr>
        <w:spacing w:after="240"/>
        <w:rPr>
          <w:rFonts w:ascii="Baskerville Old Face" w:hAnsi="Baskerville Old Face"/>
        </w:rPr>
      </w:pPr>
    </w:p>
    <w:p w14:paraId="67F92D7A"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Abstract</w:t>
      </w:r>
    </w:p>
    <w:p w14:paraId="5D5292AF"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Semaglutide (Ozempic, Wegovy) and tirzepatide (Mounjaro, Zepbound) are once-weekly incretin-based peptides that produce glucose lowering and weight loss approaching that achieved with bariatric surgery. Although both mimic gut-derived incretin hormones, they differ fundamentally in receptor pharmacology. Semaglutide is a selective, albumin-bound glucagon-like peptide-1 receptor (GLP-1R) agonist with a half-life of about one week. Tirzepatide is a single GIP-based peptide that engages the glucose-dependent insulinotropic polypeptide receptor (GIPR) more than GLP-1R and acts at GLP-1R as a cAMP-biased agonist with reduced receptor </w:t>
      </w:r>
      <w:proofErr w:type="spellStart"/>
      <w:r w:rsidRPr="00A350BB">
        <w:rPr>
          <w:rFonts w:ascii="Baskerville Old Face" w:hAnsi="Baskerville Old Face"/>
        </w:rPr>
        <w:t>internalisation</w:t>
      </w:r>
      <w:proofErr w:type="spellEnd"/>
      <w:r w:rsidRPr="00A350BB">
        <w:rPr>
          <w:rFonts w:ascii="Baskerville Old Face" w:hAnsi="Baskerville Old Face"/>
        </w:rPr>
        <w:t xml:space="preserve">. Both drugs restore glucose-dependent insulin secretion and suppress glucagon, but most of their effect on body weight arises from reduced energy intake driven by GLP-1R </w:t>
      </w:r>
      <w:proofErr w:type="spellStart"/>
      <w:r w:rsidRPr="00A350BB">
        <w:rPr>
          <w:rFonts w:ascii="Baskerville Old Face" w:hAnsi="Baskerville Old Face"/>
        </w:rPr>
        <w:t>signalling</w:t>
      </w:r>
      <w:proofErr w:type="spellEnd"/>
      <w:r w:rsidRPr="00A350BB">
        <w:rPr>
          <w:rFonts w:ascii="Baskerville Old Face" w:hAnsi="Baskerville Old Face"/>
        </w:rPr>
        <w:t xml:space="preserve"> at circumventricular, hypothalamic and hindbrain sites; slowing of gastric emptying is largely lost with chronic dosing. The GIPR component of tirzepatide adds weight-independent insulin </w:t>
      </w:r>
      <w:proofErr w:type="spellStart"/>
      <w:r w:rsidRPr="00A350BB">
        <w:rPr>
          <w:rFonts w:ascii="Baskerville Old Face" w:hAnsi="Baskerville Old Face"/>
        </w:rPr>
        <w:t>sensitisation</w:t>
      </w:r>
      <w:proofErr w:type="spellEnd"/>
      <w:r w:rsidRPr="00A350BB">
        <w:rPr>
          <w:rFonts w:ascii="Baskerville Old Face" w:hAnsi="Baskerville Old Face"/>
        </w:rPr>
        <w:t xml:space="preserve"> through adipose tissue, central anorexigenic </w:t>
      </w:r>
      <w:proofErr w:type="spellStart"/>
      <w:r w:rsidRPr="00A350BB">
        <w:rPr>
          <w:rFonts w:ascii="Baskerville Old Face" w:hAnsi="Baskerville Old Face"/>
        </w:rPr>
        <w:t>signalling</w:t>
      </w:r>
      <w:proofErr w:type="spellEnd"/>
      <w:r w:rsidRPr="00A350BB">
        <w:rPr>
          <w:rFonts w:ascii="Baskerville Old Face" w:hAnsi="Baskerville Old Face"/>
        </w:rPr>
        <w:t xml:space="preserve"> and, in preclinical models, suppression of GLP-1R agonist-induced emesis. These differences are consistent with the superiority of tirzepatide over semaglutide for weight loss (20.2% vs 13.7% at 72 weeks in SURMOUNT-5). Outcome trials show that semaglutide reduces major adverse cardiovascular events and kidney disease progression, largely independently of weight loss, while tirzepatide reduces heart failure events in obesity-related heart failure with preserved ejection fraction. We </w:t>
      </w:r>
      <w:proofErr w:type="spellStart"/>
      <w:r w:rsidRPr="00A350BB">
        <w:rPr>
          <w:rFonts w:ascii="Baskerville Old Face" w:hAnsi="Baskerville Old Face"/>
        </w:rPr>
        <w:t>synthesise</w:t>
      </w:r>
      <w:proofErr w:type="spellEnd"/>
      <w:r w:rsidRPr="00A350BB">
        <w:rPr>
          <w:rFonts w:ascii="Baskerville Old Face" w:hAnsi="Baskerville Old Face"/>
        </w:rPr>
        <w:t xml:space="preserve"> the molecular, physiological and clinical evidence for these mechanisms, examine the unresolved paradox that both GIPR agonism and antagonism enhance weight loss, discuss mechanism-linked adverse effects, and outline the multi-receptor and oral agents now emerging.</w:t>
      </w:r>
    </w:p>
    <w:p w14:paraId="43D23CF5"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Keywords:</w:t>
      </w:r>
      <w:r w:rsidRPr="00A350BB">
        <w:rPr>
          <w:rFonts w:ascii="Baskerville Old Face" w:hAnsi="Baskerville Old Face"/>
        </w:rPr>
        <w:t xml:space="preserve"> semaglutide; tirzepatide; GLP-1 receptor; GIP receptor; incretin; obesity; type 2 diabetes; biased agonism</w:t>
      </w:r>
    </w:p>
    <w:p w14:paraId="737966BB" w14:textId="77777777" w:rsidR="00FD782F" w:rsidRPr="00A350BB" w:rsidRDefault="00000000" w:rsidP="00A350BB">
      <w:pPr>
        <w:rPr>
          <w:rFonts w:ascii="Baskerville Old Face" w:hAnsi="Baskerville Old Face"/>
        </w:rPr>
      </w:pPr>
      <w:r w:rsidRPr="00A350BB">
        <w:rPr>
          <w:rFonts w:ascii="Baskerville Old Face" w:hAnsi="Baskerville Old Fac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782F" w:rsidRPr="00A350BB" w14:paraId="761E14A0" w14:textId="77777777">
        <w:tblPrEx>
          <w:tblCellMar>
            <w:top w:w="0" w:type="dxa"/>
            <w:bottom w:w="0" w:type="dxa"/>
          </w:tblCellMar>
        </w:tblPrEx>
        <w:tc>
          <w:tcPr>
            <w:tcW w:w="9360" w:type="dxa"/>
            <w:tcBorders>
              <w:top w:val="single" w:sz="12" w:space="0" w:color="1F4E79"/>
              <w:left w:val="none" w:sz="0" w:space="0" w:color="FFFFFF"/>
              <w:bottom w:val="none" w:sz="0" w:space="0" w:color="FFFFFF"/>
              <w:right w:val="none" w:sz="0" w:space="0" w:color="FFFFFF"/>
            </w:tcBorders>
            <w:shd w:val="clear" w:color="auto" w:fill="EAF1F8"/>
            <w:tcMar>
              <w:top w:w="140" w:type="dxa"/>
              <w:left w:w="200" w:type="dxa"/>
              <w:bottom w:w="140" w:type="dxa"/>
              <w:right w:w="200" w:type="dxa"/>
            </w:tcMar>
          </w:tcPr>
          <w:p w14:paraId="13670B13" w14:textId="77777777" w:rsidR="00FD782F" w:rsidRPr="00A350BB" w:rsidRDefault="00000000" w:rsidP="00A350BB">
            <w:pPr>
              <w:spacing w:after="100"/>
              <w:rPr>
                <w:rFonts w:ascii="Baskerville Old Face" w:hAnsi="Baskerville Old Face"/>
              </w:rPr>
            </w:pPr>
            <w:r w:rsidRPr="00A350BB">
              <w:rPr>
                <w:rFonts w:ascii="Baskerville Old Face" w:hAnsi="Baskerville Old Face"/>
                <w:b/>
                <w:bCs/>
              </w:rPr>
              <w:lastRenderedPageBreak/>
              <w:t>Key points</w:t>
            </w:r>
          </w:p>
          <w:p w14:paraId="7320842F"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Semaglutide is a selective GLP-1R agonist; tirzepatide is an imbalanced (GIPR-</w:t>
            </w:r>
            <w:proofErr w:type="spellStart"/>
            <w:r w:rsidRPr="00A350BB">
              <w:rPr>
                <w:rFonts w:ascii="Baskerville Old Face" w:hAnsi="Baskerville Old Face"/>
                <w:sz w:val="20"/>
                <w:szCs w:val="20"/>
              </w:rPr>
              <w:t>favoured</w:t>
            </w:r>
            <w:proofErr w:type="spellEnd"/>
            <w:r w:rsidRPr="00A350BB">
              <w:rPr>
                <w:rFonts w:ascii="Baskerville Old Face" w:hAnsi="Baskerville Old Face"/>
                <w:sz w:val="20"/>
                <w:szCs w:val="20"/>
              </w:rPr>
              <w:t>), cAMP-biased dual GIPR/GLP-1R agonist.</w:t>
            </w:r>
          </w:p>
          <w:p w14:paraId="417BE653"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 xml:space="preserve">Weight loss with both drugs is driven mainly by reduced food intake via GLP-1R </w:t>
            </w:r>
            <w:proofErr w:type="spellStart"/>
            <w:r w:rsidRPr="00A350BB">
              <w:rPr>
                <w:rFonts w:ascii="Baskerville Old Face" w:hAnsi="Baskerville Old Face"/>
                <w:sz w:val="20"/>
                <w:szCs w:val="20"/>
              </w:rPr>
              <w:t>signalling</w:t>
            </w:r>
            <w:proofErr w:type="spellEnd"/>
            <w:r w:rsidRPr="00A350BB">
              <w:rPr>
                <w:rFonts w:ascii="Baskerville Old Face" w:hAnsi="Baskerville Old Face"/>
                <w:sz w:val="20"/>
                <w:szCs w:val="20"/>
              </w:rPr>
              <w:t xml:space="preserve"> in circumventricular, hypothalamic and hindbrain circuits, not by sustained gastric slowing.</w:t>
            </w:r>
          </w:p>
          <w:p w14:paraId="493FE3AE"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 xml:space="preserve">GIPR agonism contributes weight-independent insulin </w:t>
            </w:r>
            <w:proofErr w:type="spellStart"/>
            <w:r w:rsidRPr="00A350BB">
              <w:rPr>
                <w:rFonts w:ascii="Baskerville Old Face" w:hAnsi="Baskerville Old Face"/>
                <w:sz w:val="20"/>
                <w:szCs w:val="20"/>
              </w:rPr>
              <w:t>sensitisation</w:t>
            </w:r>
            <w:proofErr w:type="spellEnd"/>
            <w:r w:rsidRPr="00A350BB">
              <w:rPr>
                <w:rFonts w:ascii="Baskerville Old Face" w:hAnsi="Baskerville Old Face"/>
                <w:sz w:val="20"/>
                <w:szCs w:val="20"/>
              </w:rPr>
              <w:t xml:space="preserve"> through adipose tissue and may improve tolerability by suppressing hindbrain emetic </w:t>
            </w:r>
            <w:proofErr w:type="spellStart"/>
            <w:r w:rsidRPr="00A350BB">
              <w:rPr>
                <w:rFonts w:ascii="Baskerville Old Face" w:hAnsi="Baskerville Old Face"/>
                <w:sz w:val="20"/>
                <w:szCs w:val="20"/>
              </w:rPr>
              <w:t>signalling</w:t>
            </w:r>
            <w:proofErr w:type="spellEnd"/>
            <w:r w:rsidRPr="00A350BB">
              <w:rPr>
                <w:rFonts w:ascii="Baskerville Old Face" w:hAnsi="Baskerville Old Face"/>
                <w:sz w:val="20"/>
                <w:szCs w:val="20"/>
              </w:rPr>
              <w:t>.</w:t>
            </w:r>
          </w:p>
          <w:p w14:paraId="330E68C6"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 xml:space="preserve">Semaglutide's cardiovascular benefit in SELECT was largely independent of the amount of weight lost; about one-third was statistically mediated by </w:t>
            </w:r>
            <w:proofErr w:type="spellStart"/>
            <w:r w:rsidRPr="00A350BB">
              <w:rPr>
                <w:rFonts w:ascii="Baskerville Old Face" w:hAnsi="Baskerville Old Face"/>
                <w:sz w:val="20"/>
                <w:szCs w:val="20"/>
              </w:rPr>
              <w:t>waist</w:t>
            </w:r>
            <w:proofErr w:type="spellEnd"/>
            <w:r w:rsidRPr="00A350BB">
              <w:rPr>
                <w:rFonts w:ascii="Baskerville Old Face" w:hAnsi="Baskerville Old Face"/>
                <w:sz w:val="20"/>
                <w:szCs w:val="20"/>
              </w:rPr>
              <w:t xml:space="preserve"> reduction.</w:t>
            </w:r>
          </w:p>
          <w:p w14:paraId="4AD6303F"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Both drugs require continued treatment: about two-thirds of lost weight returns within a year of stopping.</w:t>
            </w:r>
          </w:p>
          <w:p w14:paraId="1605C332" w14:textId="77777777" w:rsidR="00FD782F" w:rsidRPr="00A350BB" w:rsidRDefault="00000000" w:rsidP="00A350BB">
            <w:pPr>
              <w:pStyle w:val="ListParagraph"/>
              <w:numPr>
                <w:ilvl w:val="0"/>
                <w:numId w:val="2"/>
              </w:numPr>
              <w:spacing w:after="60" w:line="276" w:lineRule="auto"/>
              <w:rPr>
                <w:rFonts w:ascii="Baskerville Old Face" w:hAnsi="Baskerville Old Face"/>
              </w:rPr>
            </w:pPr>
            <w:r w:rsidRPr="00A350BB">
              <w:rPr>
                <w:rFonts w:ascii="Baskerville Old Face" w:hAnsi="Baskerville Old Face"/>
                <w:sz w:val="20"/>
                <w:szCs w:val="20"/>
              </w:rPr>
              <w:t xml:space="preserve">Both GIPR agonism and GIPR antagonism enhance GLP-1R-driven weight loss; receptor </w:t>
            </w:r>
            <w:proofErr w:type="spellStart"/>
            <w:r w:rsidRPr="00A350BB">
              <w:rPr>
                <w:rFonts w:ascii="Baskerville Old Face" w:hAnsi="Baskerville Old Face"/>
                <w:sz w:val="20"/>
                <w:szCs w:val="20"/>
              </w:rPr>
              <w:t>desensitisation</w:t>
            </w:r>
            <w:proofErr w:type="spellEnd"/>
            <w:r w:rsidRPr="00A350BB">
              <w:rPr>
                <w:rFonts w:ascii="Baskerville Old Face" w:hAnsi="Baskerville Old Face"/>
                <w:sz w:val="20"/>
                <w:szCs w:val="20"/>
              </w:rPr>
              <w:t xml:space="preserve"> is one leading explanation of this paradox.</w:t>
            </w:r>
          </w:p>
        </w:tc>
      </w:tr>
    </w:tbl>
    <w:p w14:paraId="7B0A388E" w14:textId="77777777" w:rsidR="00FD782F" w:rsidRPr="00A350BB" w:rsidRDefault="00FD782F" w:rsidP="00A350BB">
      <w:pPr>
        <w:spacing w:after="200"/>
        <w:rPr>
          <w:rFonts w:ascii="Baskerville Old Face" w:hAnsi="Baskerville Old Face"/>
        </w:rPr>
      </w:pPr>
    </w:p>
    <w:p w14:paraId="5228984B"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Abbreviations</w:t>
      </w:r>
    </w:p>
    <w:p w14:paraId="7A67670F" w14:textId="77777777" w:rsidR="00FD782F" w:rsidRPr="00A350BB" w:rsidRDefault="00000000" w:rsidP="00A350BB">
      <w:pPr>
        <w:spacing w:after="200" w:line="276" w:lineRule="auto"/>
        <w:jc w:val="both"/>
        <w:rPr>
          <w:rFonts w:ascii="Baskerville Old Face" w:hAnsi="Baskerville Old Face"/>
        </w:rPr>
      </w:pPr>
      <w:proofErr w:type="spellStart"/>
      <w:r w:rsidRPr="00A350BB">
        <w:rPr>
          <w:rFonts w:ascii="Baskerville Old Face" w:hAnsi="Baskerville Old Face"/>
          <w:b/>
          <w:bCs/>
          <w:sz w:val="20"/>
          <w:szCs w:val="20"/>
        </w:rPr>
        <w:t>AgRP</w:t>
      </w:r>
      <w:proofErr w:type="spellEnd"/>
      <w:r w:rsidRPr="00A350BB">
        <w:rPr>
          <w:rFonts w:ascii="Baskerville Old Face" w:hAnsi="Baskerville Old Face"/>
          <w:sz w:val="20"/>
          <w:szCs w:val="20"/>
        </w:rPr>
        <w:t xml:space="preserve">, agouti-related peptide; </w:t>
      </w:r>
      <w:r w:rsidRPr="00A350BB">
        <w:rPr>
          <w:rFonts w:ascii="Baskerville Old Face" w:hAnsi="Baskerville Old Face"/>
          <w:b/>
          <w:bCs/>
          <w:sz w:val="20"/>
          <w:szCs w:val="20"/>
        </w:rPr>
        <w:t>AP</w:t>
      </w:r>
      <w:r w:rsidRPr="00A350BB">
        <w:rPr>
          <w:rFonts w:ascii="Baskerville Old Face" w:hAnsi="Baskerville Old Face"/>
          <w:sz w:val="20"/>
          <w:szCs w:val="20"/>
        </w:rPr>
        <w:t xml:space="preserve">, area postrema; </w:t>
      </w:r>
      <w:r w:rsidRPr="00A350BB">
        <w:rPr>
          <w:rFonts w:ascii="Baskerville Old Face" w:hAnsi="Baskerville Old Face"/>
          <w:b/>
          <w:bCs/>
          <w:sz w:val="20"/>
          <w:szCs w:val="20"/>
        </w:rPr>
        <w:t>CVO</w:t>
      </w:r>
      <w:r w:rsidRPr="00A350BB">
        <w:rPr>
          <w:rFonts w:ascii="Baskerville Old Face" w:hAnsi="Baskerville Old Face"/>
          <w:sz w:val="20"/>
          <w:szCs w:val="20"/>
        </w:rPr>
        <w:t xml:space="preserve">, circumventricular organ; </w:t>
      </w:r>
      <w:r w:rsidRPr="00A350BB">
        <w:rPr>
          <w:rFonts w:ascii="Baskerville Old Face" w:hAnsi="Baskerville Old Face"/>
          <w:b/>
          <w:bCs/>
          <w:sz w:val="20"/>
          <w:szCs w:val="20"/>
        </w:rPr>
        <w:t>DPP-4</w:t>
      </w:r>
      <w:r w:rsidRPr="00A350BB">
        <w:rPr>
          <w:rFonts w:ascii="Baskerville Old Face" w:hAnsi="Baskerville Old Face"/>
          <w:sz w:val="20"/>
          <w:szCs w:val="20"/>
        </w:rPr>
        <w:t xml:space="preserve">, dipeptidyl peptidase-4; </w:t>
      </w:r>
      <w:r w:rsidRPr="00A350BB">
        <w:rPr>
          <w:rFonts w:ascii="Baskerville Old Face" w:hAnsi="Baskerville Old Face"/>
          <w:b/>
          <w:bCs/>
          <w:sz w:val="20"/>
          <w:szCs w:val="20"/>
        </w:rPr>
        <w:t>eGFR</w:t>
      </w:r>
      <w:r w:rsidRPr="00A350BB">
        <w:rPr>
          <w:rFonts w:ascii="Baskerville Old Face" w:hAnsi="Baskerville Old Face"/>
          <w:sz w:val="20"/>
          <w:szCs w:val="20"/>
        </w:rPr>
        <w:t xml:space="preserve">, estimated glomerular filtration rate; </w:t>
      </w:r>
      <w:r w:rsidRPr="00A350BB">
        <w:rPr>
          <w:rFonts w:ascii="Baskerville Old Face" w:hAnsi="Baskerville Old Face"/>
          <w:b/>
          <w:bCs/>
          <w:sz w:val="20"/>
          <w:szCs w:val="20"/>
        </w:rPr>
        <w:t>GIP(R)</w:t>
      </w:r>
      <w:r w:rsidRPr="00A350BB">
        <w:rPr>
          <w:rFonts w:ascii="Baskerville Old Face" w:hAnsi="Baskerville Old Face"/>
          <w:sz w:val="20"/>
          <w:szCs w:val="20"/>
        </w:rPr>
        <w:t xml:space="preserve">, glucose-dependent insulinotropic polypeptide (receptor); </w:t>
      </w:r>
      <w:r w:rsidRPr="00A350BB">
        <w:rPr>
          <w:rFonts w:ascii="Baskerville Old Face" w:hAnsi="Baskerville Old Face"/>
          <w:b/>
          <w:bCs/>
          <w:sz w:val="20"/>
          <w:szCs w:val="20"/>
        </w:rPr>
        <w:t>GLP-1(R)</w:t>
      </w:r>
      <w:r w:rsidRPr="00A350BB">
        <w:rPr>
          <w:rFonts w:ascii="Baskerville Old Face" w:hAnsi="Baskerville Old Face"/>
          <w:sz w:val="20"/>
          <w:szCs w:val="20"/>
        </w:rPr>
        <w:t xml:space="preserve">, glucagon-like peptide-1 (receptor); </w:t>
      </w:r>
      <w:r w:rsidRPr="00A350BB">
        <w:rPr>
          <w:rFonts w:ascii="Baskerville Old Face" w:hAnsi="Baskerville Old Face"/>
          <w:b/>
          <w:bCs/>
          <w:sz w:val="20"/>
          <w:szCs w:val="20"/>
        </w:rPr>
        <w:t>HFpEF</w:t>
      </w:r>
      <w:r w:rsidRPr="00A350BB">
        <w:rPr>
          <w:rFonts w:ascii="Baskerville Old Face" w:hAnsi="Baskerville Old Face"/>
          <w:sz w:val="20"/>
          <w:szCs w:val="20"/>
        </w:rPr>
        <w:t xml:space="preserve">, heart failure with preserved ejection fraction; </w:t>
      </w:r>
      <w:r w:rsidRPr="00A350BB">
        <w:rPr>
          <w:rFonts w:ascii="Baskerville Old Face" w:hAnsi="Baskerville Old Face"/>
          <w:b/>
          <w:bCs/>
          <w:sz w:val="20"/>
          <w:szCs w:val="20"/>
        </w:rPr>
        <w:t>MACE</w:t>
      </w:r>
      <w:r w:rsidRPr="00A350BB">
        <w:rPr>
          <w:rFonts w:ascii="Baskerville Old Face" w:hAnsi="Baskerville Old Face"/>
          <w:sz w:val="20"/>
          <w:szCs w:val="20"/>
        </w:rPr>
        <w:t xml:space="preserve">, major adverse cardiovascular events; </w:t>
      </w:r>
      <w:r w:rsidRPr="00A350BB">
        <w:rPr>
          <w:rFonts w:ascii="Baskerville Old Face" w:hAnsi="Baskerville Old Face"/>
          <w:b/>
          <w:bCs/>
          <w:sz w:val="20"/>
          <w:szCs w:val="20"/>
        </w:rPr>
        <w:t>MASH</w:t>
      </w:r>
      <w:r w:rsidRPr="00A350BB">
        <w:rPr>
          <w:rFonts w:ascii="Baskerville Old Face" w:hAnsi="Baskerville Old Face"/>
          <w:sz w:val="20"/>
          <w:szCs w:val="20"/>
        </w:rPr>
        <w:t xml:space="preserve">, metabolic dysfunction-associated steatohepatitis; </w:t>
      </w:r>
      <w:r w:rsidRPr="00A350BB">
        <w:rPr>
          <w:rFonts w:ascii="Baskerville Old Face" w:hAnsi="Baskerville Old Face"/>
          <w:b/>
          <w:bCs/>
          <w:sz w:val="20"/>
          <w:szCs w:val="20"/>
        </w:rPr>
        <w:t>NAION</w:t>
      </w:r>
      <w:r w:rsidRPr="00A350BB">
        <w:rPr>
          <w:rFonts w:ascii="Baskerville Old Face" w:hAnsi="Baskerville Old Face"/>
          <w:sz w:val="20"/>
          <w:szCs w:val="20"/>
        </w:rPr>
        <w:t>, non-</w:t>
      </w:r>
      <w:proofErr w:type="spellStart"/>
      <w:r w:rsidRPr="00A350BB">
        <w:rPr>
          <w:rFonts w:ascii="Baskerville Old Face" w:hAnsi="Baskerville Old Face"/>
          <w:sz w:val="20"/>
          <w:szCs w:val="20"/>
        </w:rPr>
        <w:t>arteritic</w:t>
      </w:r>
      <w:proofErr w:type="spellEnd"/>
      <w:r w:rsidRPr="00A350BB">
        <w:rPr>
          <w:rFonts w:ascii="Baskerville Old Face" w:hAnsi="Baskerville Old Face"/>
          <w:sz w:val="20"/>
          <w:szCs w:val="20"/>
        </w:rPr>
        <w:t xml:space="preserve"> anterior </w:t>
      </w:r>
      <w:proofErr w:type="spellStart"/>
      <w:r w:rsidRPr="00A350BB">
        <w:rPr>
          <w:rFonts w:ascii="Baskerville Old Face" w:hAnsi="Baskerville Old Face"/>
          <w:sz w:val="20"/>
          <w:szCs w:val="20"/>
        </w:rPr>
        <w:t>ischaemic</w:t>
      </w:r>
      <w:proofErr w:type="spellEnd"/>
      <w:r w:rsidRPr="00A350BB">
        <w:rPr>
          <w:rFonts w:ascii="Baskerville Old Face" w:hAnsi="Baskerville Old Face"/>
          <w:sz w:val="20"/>
          <w:szCs w:val="20"/>
        </w:rPr>
        <w:t xml:space="preserve"> optic neuropathy; </w:t>
      </w:r>
      <w:r w:rsidRPr="00A350BB">
        <w:rPr>
          <w:rFonts w:ascii="Baskerville Old Face" w:hAnsi="Baskerville Old Face"/>
          <w:b/>
          <w:bCs/>
          <w:sz w:val="20"/>
          <w:szCs w:val="20"/>
        </w:rPr>
        <w:t>NTS</w:t>
      </w:r>
      <w:r w:rsidRPr="00A350BB">
        <w:rPr>
          <w:rFonts w:ascii="Baskerville Old Face" w:hAnsi="Baskerville Old Face"/>
          <w:sz w:val="20"/>
          <w:szCs w:val="20"/>
        </w:rPr>
        <w:t xml:space="preserve">, nucleus of the solitary tract; </w:t>
      </w:r>
      <w:r w:rsidRPr="00A350BB">
        <w:rPr>
          <w:rFonts w:ascii="Baskerville Old Face" w:hAnsi="Baskerville Old Face"/>
          <w:b/>
          <w:bCs/>
          <w:sz w:val="20"/>
          <w:szCs w:val="20"/>
        </w:rPr>
        <w:t>POMC</w:t>
      </w:r>
      <w:r w:rsidRPr="00A350BB">
        <w:rPr>
          <w:rFonts w:ascii="Baskerville Old Face" w:hAnsi="Baskerville Old Face"/>
          <w:sz w:val="20"/>
          <w:szCs w:val="20"/>
        </w:rPr>
        <w:t xml:space="preserve">, pro-opiomelanocortin; </w:t>
      </w:r>
      <w:r w:rsidRPr="00A350BB">
        <w:rPr>
          <w:rFonts w:ascii="Baskerville Old Face" w:hAnsi="Baskerville Old Face"/>
          <w:b/>
          <w:bCs/>
          <w:sz w:val="20"/>
          <w:szCs w:val="20"/>
        </w:rPr>
        <w:t>T2D</w:t>
      </w:r>
      <w:r w:rsidRPr="00A350BB">
        <w:rPr>
          <w:rFonts w:ascii="Baskerville Old Face" w:hAnsi="Baskerville Old Face"/>
          <w:sz w:val="20"/>
          <w:szCs w:val="20"/>
        </w:rPr>
        <w:t>, type 2 diabetes.</w:t>
      </w:r>
    </w:p>
    <w:p w14:paraId="6BE9A747" w14:textId="77777777" w:rsidR="00FD782F" w:rsidRPr="00A350BB" w:rsidRDefault="00000000" w:rsidP="00A350BB">
      <w:pPr>
        <w:rPr>
          <w:rFonts w:ascii="Baskerville Old Face" w:hAnsi="Baskerville Old Face"/>
        </w:rPr>
      </w:pPr>
      <w:r w:rsidRPr="00A350BB">
        <w:rPr>
          <w:rFonts w:ascii="Baskerville Old Face" w:hAnsi="Baskerville Old Face"/>
        </w:rPr>
        <w:br w:type="page"/>
      </w:r>
    </w:p>
    <w:p w14:paraId="7DC3404E"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lastRenderedPageBreak/>
        <w:t>1. Introduction</w:t>
      </w:r>
    </w:p>
    <w:p w14:paraId="4686F7BB"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Semaglutide and tirzepatide have changed the pharmacological treatment of type 2 diabetes (T2D) and obesity. Both are once-weekly subcutaneous peptides derived from the incretin hormones, yet they engage different receptors and signal differently once bound. Understanding these differences explains why tirzepatide produces greater glucose lowering and weight loss, why both drugs share most of their adverse effects, and why their benefits wane when treatment stops.</w:t>
      </w:r>
    </w:p>
    <w:p w14:paraId="42DAA377"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The therapeutic rationale rests on the incretin effect: oral glucose elicits far more insulin secretion than an </w:t>
      </w:r>
      <w:proofErr w:type="spellStart"/>
      <w:r w:rsidRPr="00A350BB">
        <w:rPr>
          <w:rFonts w:ascii="Baskerville Old Face" w:hAnsi="Baskerville Old Face"/>
        </w:rPr>
        <w:t>isoglycaemic</w:t>
      </w:r>
      <w:proofErr w:type="spellEnd"/>
      <w:r w:rsidRPr="00A350BB">
        <w:rPr>
          <w:rFonts w:ascii="Baskerville Old Face" w:hAnsi="Baskerville Old Face"/>
        </w:rPr>
        <w:t xml:space="preserve"> intravenous glucose infusion. In healthy people, incretin factors account for roughly 73% of the insulin response to oral glucose, but only about 36% in people with T2D [1]. Native glucagon-like peptide-1 (GLP-1) and glucose-dependent insulinotropic polypeptide (GIP) are cleared within minutes [2], so drug development focused on stable, long-acting receptor agonists. Exenatide and liraglutide established the class; semaglutide extended dosing to once weekly; and tirzepatide added a second receptor.</w:t>
      </w:r>
    </w:p>
    <w:p w14:paraId="58BDE099"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This review integrates molecular, physiological and clinical evidence on how each drug works. We begin with incretin biology and receptor pharmacology, then examine actions on the islet, brain, gut, adipose tissue, liver, heart and kidney, before linking mechanism to efficacy, durability and safety. We close with the unresolved GIP agonist–antagonist paradox and the next generation of incretin-based therapies. All cited references were checked against their PubMed records.</w:t>
      </w:r>
    </w:p>
    <w:p w14:paraId="075E3BA8"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2. Incretin physiology</w:t>
      </w:r>
    </w:p>
    <w:p w14:paraId="452348FD"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GIP is secreted by enteroendocrine K cells concentrated in the duodenum and proximal jejunum, whereas GLP-1 is secreted by L cells whose density increases toward the distal ileum and colon [2]. Both hormones act through class B G protein-coupled receptors that couple predominantly to G</w:t>
      </w:r>
      <w:r w:rsidRPr="00A350BB">
        <w:rPr>
          <w:rFonts w:ascii="Cambria" w:hAnsi="Cambria" w:cs="Cambria"/>
        </w:rPr>
        <w:t>α</w:t>
      </w:r>
      <w:r w:rsidRPr="00A350BB">
        <w:rPr>
          <w:rFonts w:ascii="Baskerville Old Face" w:hAnsi="Baskerville Old Face"/>
        </w:rPr>
        <w:t xml:space="preserve">s. Receptor activation raises intracellular cAMP and engages protein kinase A and Epac2; in </w:t>
      </w:r>
      <w:r w:rsidRPr="00A350BB">
        <w:rPr>
          <w:rFonts w:ascii="Cambria" w:hAnsi="Cambria" w:cs="Cambria"/>
        </w:rPr>
        <w:t>β</w:t>
      </w:r>
      <w:r w:rsidRPr="00A350BB">
        <w:rPr>
          <w:rFonts w:ascii="Baskerville Old Face" w:hAnsi="Baskerville Old Face"/>
        </w:rPr>
        <w:t xml:space="preserve"> cells this amplifies insulin secretion only when glucose is already elevated, which is why incretin-based drugs carry little intrinsic risk of </w:t>
      </w:r>
      <w:proofErr w:type="spellStart"/>
      <w:r w:rsidRPr="00A350BB">
        <w:rPr>
          <w:rFonts w:ascii="Baskerville Old Face" w:hAnsi="Baskerville Old Face"/>
        </w:rPr>
        <w:t>hypoglycaemia</w:t>
      </w:r>
      <w:proofErr w:type="spellEnd"/>
      <w:r w:rsidRPr="00A350BB">
        <w:rPr>
          <w:rFonts w:ascii="Baskerville Old Face" w:hAnsi="Baskerville Old Face"/>
        </w:rPr>
        <w:t xml:space="preserve"> [2].</w:t>
      </w:r>
    </w:p>
    <w:p w14:paraId="75B3EB26"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The two receptors differ in tissue distribution and function. GLP-1R is expressed in </w:t>
      </w:r>
      <w:r w:rsidRPr="00A350BB">
        <w:rPr>
          <w:rFonts w:ascii="Cambria" w:hAnsi="Cambria" w:cs="Cambria"/>
        </w:rPr>
        <w:t>β</w:t>
      </w:r>
      <w:r w:rsidRPr="00A350BB">
        <w:rPr>
          <w:rFonts w:ascii="Baskerville Old Face" w:hAnsi="Baskerville Old Face"/>
        </w:rPr>
        <w:t xml:space="preserve"> cells, the stomach and intestine, the heart and vasculature, the kidney and discrete brain regions; its activation stimulates insulin, suppresses glucagon, slows gastric emptying and reduces appetite [2]. GIPR is expressed in islet </w:t>
      </w:r>
      <w:r w:rsidRPr="00A350BB">
        <w:rPr>
          <w:rFonts w:ascii="Cambria" w:hAnsi="Cambria" w:cs="Cambria"/>
        </w:rPr>
        <w:t>β</w:t>
      </w:r>
      <w:r w:rsidRPr="00A350BB">
        <w:rPr>
          <w:rFonts w:ascii="Baskerville Old Face" w:hAnsi="Baskerville Old Face"/>
        </w:rPr>
        <w:t xml:space="preserve"> and </w:t>
      </w:r>
      <w:r w:rsidRPr="00A350BB">
        <w:rPr>
          <w:rFonts w:ascii="Cambria" w:hAnsi="Cambria" w:cs="Cambria"/>
        </w:rPr>
        <w:t>α</w:t>
      </w:r>
      <w:r w:rsidRPr="00A350BB">
        <w:rPr>
          <w:rFonts w:ascii="Baskerville Old Face" w:hAnsi="Baskerville Old Face"/>
        </w:rPr>
        <w:t xml:space="preserve"> cells, adipocytes and the brain. GIP stimulates insulin and, unlike GLP-1, promotes glucagon secretion at low glucose; in adipose tissue it enhances blood flow and triglyceride storage [3].</w:t>
      </w:r>
    </w:p>
    <w:p w14:paraId="1250F776"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In T2D the two incretins diverge. Under </w:t>
      </w:r>
      <w:proofErr w:type="spellStart"/>
      <w:r w:rsidRPr="00A350BB">
        <w:rPr>
          <w:rFonts w:ascii="Baskerville Old Face" w:hAnsi="Baskerville Old Face"/>
        </w:rPr>
        <w:t>hyperglycaemic</w:t>
      </w:r>
      <w:proofErr w:type="spellEnd"/>
      <w:r w:rsidRPr="00A350BB">
        <w:rPr>
          <w:rFonts w:ascii="Baskerville Old Face" w:hAnsi="Baskerville Old Face"/>
        </w:rPr>
        <w:t xml:space="preserve"> clamp conditions, GLP-1 retained most of its insulinotropic activity and also lowered glucagon, whereas the maximal insulin response to GIP was 54% lower than in healthy controls and GIP did not lower glucagon [4]. This finding long discouraged GIP-based therapy and explains why the success of a GIP-dominant dual agonist was initially unexpected.</w:t>
      </w:r>
    </w:p>
    <w:p w14:paraId="473217A6"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lastRenderedPageBreak/>
        <w:t>3. Molecular pharmacology</w:t>
      </w:r>
    </w:p>
    <w:p w14:paraId="67C21478"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Both drugs achieve once-weekly dosing through the same two engineering steps: an </w:t>
      </w:r>
      <w:r w:rsidRPr="00A350BB">
        <w:rPr>
          <w:rFonts w:ascii="Cambria" w:hAnsi="Cambria" w:cs="Cambria"/>
        </w:rPr>
        <w:t>α</w:t>
      </w:r>
      <w:r w:rsidRPr="00A350BB">
        <w:rPr>
          <w:rFonts w:ascii="Baskerville Old Face" w:hAnsi="Baskerville Old Face"/>
        </w:rPr>
        <w:t>-</w:t>
      </w:r>
      <w:proofErr w:type="spellStart"/>
      <w:r w:rsidRPr="00A350BB">
        <w:rPr>
          <w:rFonts w:ascii="Baskerville Old Face" w:hAnsi="Baskerville Old Face"/>
        </w:rPr>
        <w:t>aminoisobutyric</w:t>
      </w:r>
      <w:proofErr w:type="spellEnd"/>
      <w:r w:rsidRPr="00A350BB">
        <w:rPr>
          <w:rFonts w:ascii="Baskerville Old Face" w:hAnsi="Baskerville Old Face"/>
        </w:rPr>
        <w:t xml:space="preserve"> acid (</w:t>
      </w:r>
      <w:proofErr w:type="spellStart"/>
      <w:r w:rsidRPr="00A350BB">
        <w:rPr>
          <w:rFonts w:ascii="Baskerville Old Face" w:hAnsi="Baskerville Old Face"/>
        </w:rPr>
        <w:t>Aib</w:t>
      </w:r>
      <w:proofErr w:type="spellEnd"/>
      <w:r w:rsidRPr="00A350BB">
        <w:rPr>
          <w:rFonts w:ascii="Baskerville Old Face" w:hAnsi="Baskerville Old Face"/>
        </w:rPr>
        <w:t>) residue near the N-terminus blocks cleavage by dipeptidyl peptidase-4 (DPP-4), and a long fatty diacid side chain binds serum albumin, slowing renal clearance. They diverge in which receptors they engage and how they signal once bound (Table 1).</w:t>
      </w:r>
    </w:p>
    <w:p w14:paraId="1B981F48"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3.1 Semaglutide</w:t>
      </w:r>
    </w:p>
    <w:p w14:paraId="35F4BEE9"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Semaglutide is an analogue of human GLP-1 with two amino acid substitutions, </w:t>
      </w:r>
      <w:proofErr w:type="spellStart"/>
      <w:r w:rsidRPr="00A350BB">
        <w:rPr>
          <w:rFonts w:ascii="Baskerville Old Face" w:hAnsi="Baskerville Old Face"/>
        </w:rPr>
        <w:t>Aib</w:t>
      </w:r>
      <w:proofErr w:type="spellEnd"/>
      <w:r w:rsidRPr="00A350BB">
        <w:rPr>
          <w:rFonts w:ascii="Baskerville Old Face" w:hAnsi="Baskerville Old Face"/>
        </w:rPr>
        <w:t xml:space="preserve"> at position 8 and arginine at position 34, and a C18 fatty diacid attached to lysine 26 through a hydrophilic linker [5]. Its GLP-1R affinity (0.38 </w:t>
      </w:r>
      <w:proofErr w:type="spellStart"/>
      <w:r w:rsidRPr="00A350BB">
        <w:rPr>
          <w:rFonts w:ascii="Baskerville Old Face" w:hAnsi="Baskerville Old Face"/>
        </w:rPr>
        <w:t>nM</w:t>
      </w:r>
      <w:proofErr w:type="spellEnd"/>
      <w:r w:rsidRPr="00A350BB">
        <w:rPr>
          <w:rFonts w:ascii="Baskerville Old Face" w:hAnsi="Baskerville Old Face"/>
        </w:rPr>
        <w:t>) is about three-fold lower than that of liraglutide, but its albumin affinity is higher; in mini-pigs the intravenous half-life was 46 hours [5], and in humans it is approximately one week [6]. Semaglutide is a full, selective GLP-1R agonist.</w:t>
      </w:r>
    </w:p>
    <w:p w14:paraId="094CBB80"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3.2 Tirzepatide</w:t>
      </w:r>
    </w:p>
    <w:p w14:paraId="5FC1E295"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Tirzepatide is a 39-amino-acid peptide built on the native GIP sequence, carrying </w:t>
      </w:r>
      <w:proofErr w:type="spellStart"/>
      <w:r w:rsidRPr="00A350BB">
        <w:rPr>
          <w:rFonts w:ascii="Baskerville Old Face" w:hAnsi="Baskerville Old Face"/>
        </w:rPr>
        <w:t>Aib</w:t>
      </w:r>
      <w:proofErr w:type="spellEnd"/>
      <w:r w:rsidRPr="00A350BB">
        <w:rPr>
          <w:rFonts w:ascii="Baskerville Old Face" w:hAnsi="Baskerville Old Face"/>
        </w:rPr>
        <w:t xml:space="preserve"> residues and a C20 fatty diacid moiety that supports once-weekly dosing [7]. It activates both GIPR and GLP-1R, with potency at GIPR similar to native GIP but lower potency at GLP-1R than native GLP-1 [7]. Two features distinguish it from a simple combination of the two hormones [8]:</w:t>
      </w:r>
    </w:p>
    <w:p w14:paraId="2C1E5A1A"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b/>
          <w:bCs/>
        </w:rPr>
        <w:t>Imbalanced agonism.</w:t>
      </w:r>
      <w:r w:rsidRPr="00A350BB">
        <w:rPr>
          <w:rFonts w:ascii="Baskerville Old Face" w:hAnsi="Baskerville Old Face"/>
        </w:rPr>
        <w:t xml:space="preserve"> Receptor-occupancy modelling at clinically effective doses shows greater engagement of GIPR than of GLP-1R.</w:t>
      </w:r>
    </w:p>
    <w:p w14:paraId="23736779"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b/>
          <w:bCs/>
        </w:rPr>
        <w:t>Biased agonism at GLP-1R.</w:t>
      </w:r>
      <w:r w:rsidRPr="00A350BB">
        <w:rPr>
          <w:rFonts w:ascii="Baskerville Old Face" w:hAnsi="Baskerville Old Face"/>
        </w:rPr>
        <w:t xml:space="preserve"> At GIPR, tirzepatide mimics native GIP. At GLP-1R, it </w:t>
      </w:r>
      <w:proofErr w:type="spellStart"/>
      <w:r w:rsidRPr="00A350BB">
        <w:rPr>
          <w:rFonts w:ascii="Baskerville Old Face" w:hAnsi="Baskerville Old Face"/>
        </w:rPr>
        <w:t>favours</w:t>
      </w:r>
      <w:proofErr w:type="spellEnd"/>
      <w:r w:rsidRPr="00A350BB">
        <w:rPr>
          <w:rFonts w:ascii="Baskerville Old Face" w:hAnsi="Baskerville Old Face"/>
        </w:rPr>
        <w:t xml:space="preserve"> cAMP generation over </w:t>
      </w:r>
      <w:r w:rsidRPr="00A350BB">
        <w:rPr>
          <w:rFonts w:ascii="Cambria" w:hAnsi="Cambria" w:cs="Cambria"/>
        </w:rPr>
        <w:t>β</w:t>
      </w:r>
      <w:r w:rsidRPr="00A350BB">
        <w:rPr>
          <w:rFonts w:ascii="Baskerville Old Face" w:hAnsi="Baskerville Old Face"/>
        </w:rPr>
        <w:t>-</w:t>
      </w:r>
      <w:proofErr w:type="spellStart"/>
      <w:r w:rsidRPr="00A350BB">
        <w:rPr>
          <w:rFonts w:ascii="Baskerville Old Face" w:hAnsi="Baskerville Old Face"/>
        </w:rPr>
        <w:t>arrestin</w:t>
      </w:r>
      <w:proofErr w:type="spellEnd"/>
      <w:r w:rsidRPr="00A350BB">
        <w:rPr>
          <w:rFonts w:ascii="Baskerville Old Face" w:hAnsi="Baskerville Old Face"/>
        </w:rPr>
        <w:t xml:space="preserve"> recruitment and drives weaker receptor </w:t>
      </w:r>
      <w:proofErr w:type="spellStart"/>
      <w:r w:rsidRPr="00A350BB">
        <w:rPr>
          <w:rFonts w:ascii="Baskerville Old Face" w:hAnsi="Baskerville Old Face"/>
        </w:rPr>
        <w:t>internalisation</w:t>
      </w:r>
      <w:proofErr w:type="spellEnd"/>
      <w:r w:rsidRPr="00A350BB">
        <w:rPr>
          <w:rFonts w:ascii="Baskerville Old Face" w:hAnsi="Baskerville Old Face"/>
        </w:rPr>
        <w:t xml:space="preserve"> than GLP-1. In primary islets, </w:t>
      </w:r>
      <w:r w:rsidRPr="00A350BB">
        <w:rPr>
          <w:rFonts w:ascii="Cambria" w:hAnsi="Cambria" w:cs="Cambria"/>
        </w:rPr>
        <w:t>β</w:t>
      </w:r>
      <w:r w:rsidRPr="00A350BB">
        <w:rPr>
          <w:rFonts w:ascii="Baskerville Old Face" w:hAnsi="Baskerville Old Face"/>
        </w:rPr>
        <w:t xml:space="preserve">-arrestin-1 limited the insulin response to GLP-1 but not to tirzepatide, suggesting that the bias helps sustain insulinotropic </w:t>
      </w:r>
      <w:proofErr w:type="spellStart"/>
      <w:r w:rsidRPr="00A350BB">
        <w:rPr>
          <w:rFonts w:ascii="Baskerville Old Face" w:hAnsi="Baskerville Old Face"/>
        </w:rPr>
        <w:t>signalling</w:t>
      </w:r>
      <w:proofErr w:type="spellEnd"/>
      <w:r w:rsidRPr="00A350BB">
        <w:rPr>
          <w:rFonts w:ascii="Baskerville Old Face" w:hAnsi="Baskerville Old Face"/>
        </w:rPr>
        <w:t>.</w:t>
      </w:r>
    </w:p>
    <w:p w14:paraId="1D554023"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3.3 Structural basis</w:t>
      </w:r>
    </w:p>
    <w:p w14:paraId="6A8A3483"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Cryogenic electron microscopy and molecular dynamics simulations of tirzepatide bound to both receptors showed that it closely resembles native GIP in how it activates GIPR, but differs markedly from GLP-1 at GLP-1R, consistent with its reduced </w:t>
      </w:r>
      <w:proofErr w:type="spellStart"/>
      <w:r w:rsidRPr="00A350BB">
        <w:rPr>
          <w:rFonts w:ascii="Baskerville Old Face" w:hAnsi="Baskerville Old Face"/>
        </w:rPr>
        <w:t>desensitisation</w:t>
      </w:r>
      <w:proofErr w:type="spellEnd"/>
      <w:r w:rsidRPr="00A350BB">
        <w:rPr>
          <w:rFonts w:ascii="Baskerville Old Face" w:hAnsi="Baskerville Old Face"/>
        </w:rPr>
        <w:t xml:space="preserve"> of that receptor [9]. The fatty acid modification, together with the peptide sequence, contributes to this mode of action [9], which illustrates that lipidation is not merely a pharmacokinetic device.</w:t>
      </w:r>
    </w:p>
    <w:p w14:paraId="530D6F76" w14:textId="77777777" w:rsidR="00FD782F" w:rsidRPr="00A350BB" w:rsidRDefault="00000000" w:rsidP="00A350BB">
      <w:pPr>
        <w:keepNext/>
        <w:spacing w:before="200" w:after="100"/>
        <w:rPr>
          <w:rFonts w:ascii="Baskerville Old Face" w:hAnsi="Baskerville Old Face"/>
        </w:rPr>
      </w:pPr>
      <w:r w:rsidRPr="00A350BB">
        <w:rPr>
          <w:rFonts w:ascii="Baskerville Old Face" w:hAnsi="Baskerville Old Face"/>
          <w:b/>
          <w:bCs/>
          <w:sz w:val="20"/>
          <w:szCs w:val="20"/>
        </w:rPr>
        <w:t>Table 1. Molecular and pharmacological comparison of semaglutide and tirzepatide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3430"/>
        <w:gridCol w:w="3430"/>
      </w:tblGrid>
      <w:tr w:rsidR="00FD782F" w:rsidRPr="00A350BB" w14:paraId="4ED8829E" w14:textId="77777777" w:rsidTr="00A350BB">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9F4F5"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Feature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734D7"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Semaglutide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731423"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Tirzepatide</w:t>
            </w:r>
          </w:p>
        </w:tc>
      </w:tr>
      <w:tr w:rsidR="00FD782F" w:rsidRPr="00A350BB" w14:paraId="5F6CB047"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17C3A2"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Brand names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B90EB2"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Ozempic (T2D), Wegovy (obesity), Rybelsus (oral, T2D)</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758B4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Mounjaro (T2D), Zepbound (obesity)</w:t>
            </w:r>
          </w:p>
        </w:tc>
      </w:tr>
      <w:tr w:rsidR="00FD782F" w:rsidRPr="00A350BB" w14:paraId="14FA7807"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B3884E"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Receptor targets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81037B"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GLP-1R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6F7C2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GIPR and GLP-1R</w:t>
            </w:r>
          </w:p>
        </w:tc>
      </w:tr>
      <w:tr w:rsidR="00FD782F" w:rsidRPr="00A350BB" w14:paraId="65EA79B0"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DB5D30"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Peptide backbone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92E090"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Human GLP-1(7–37) analogue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BDE44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Native GIP sequence, 39 amino acids</w:t>
            </w:r>
          </w:p>
        </w:tc>
      </w:tr>
      <w:tr w:rsidR="00FD782F" w:rsidRPr="00A350BB" w14:paraId="19D46C62"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4B3A3D"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DPP-4 protection</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06262E" w14:textId="77777777" w:rsidR="00FD782F" w:rsidRPr="00A350BB" w:rsidRDefault="00000000" w:rsidP="00A350BB">
            <w:pPr>
              <w:rPr>
                <w:rFonts w:ascii="Baskerville Old Face" w:hAnsi="Baskerville Old Face"/>
              </w:rPr>
            </w:pPr>
            <w:proofErr w:type="spellStart"/>
            <w:r w:rsidRPr="00A350BB">
              <w:rPr>
                <w:rFonts w:ascii="Baskerville Old Face" w:hAnsi="Baskerville Old Face"/>
                <w:sz w:val="18"/>
                <w:szCs w:val="18"/>
              </w:rPr>
              <w:t>Aib</w:t>
            </w:r>
            <w:proofErr w:type="spellEnd"/>
            <w:r w:rsidRPr="00A350BB">
              <w:rPr>
                <w:rFonts w:ascii="Baskerville Old Face" w:hAnsi="Baskerville Old Face"/>
                <w:sz w:val="18"/>
                <w:szCs w:val="18"/>
              </w:rPr>
              <w:t xml:space="preserve"> at position 8</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F37B77" w14:textId="77777777" w:rsidR="00FD782F" w:rsidRPr="00A350BB" w:rsidRDefault="00000000" w:rsidP="00A350BB">
            <w:pPr>
              <w:rPr>
                <w:rFonts w:ascii="Baskerville Old Face" w:hAnsi="Baskerville Old Face"/>
              </w:rPr>
            </w:pPr>
            <w:proofErr w:type="spellStart"/>
            <w:r w:rsidRPr="00A350BB">
              <w:rPr>
                <w:rFonts w:ascii="Baskerville Old Face" w:hAnsi="Baskerville Old Face"/>
                <w:sz w:val="18"/>
                <w:szCs w:val="18"/>
              </w:rPr>
              <w:t>Aib</w:t>
            </w:r>
            <w:proofErr w:type="spellEnd"/>
            <w:r w:rsidRPr="00A350BB">
              <w:rPr>
                <w:rFonts w:ascii="Baskerville Old Face" w:hAnsi="Baskerville Old Face"/>
                <w:sz w:val="18"/>
                <w:szCs w:val="18"/>
              </w:rPr>
              <w:t xml:space="preserve"> residues</w:t>
            </w:r>
          </w:p>
        </w:tc>
      </w:tr>
      <w:tr w:rsidR="00FD782F" w:rsidRPr="00A350BB" w14:paraId="1C67A948"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4EB1AA"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lastRenderedPageBreak/>
              <w:t>Albumin binder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273DE"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C18 fatty diacid on Lys26</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23CC7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C20 fatty diacid</w:t>
            </w:r>
          </w:p>
        </w:tc>
      </w:tr>
      <w:tr w:rsidR="00FD782F" w:rsidRPr="00A350BB" w14:paraId="01A9EAFB"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5DD89"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Half-life in humans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A0BB5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About 1 week</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3EF78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About 5 days*</w:t>
            </w:r>
          </w:p>
        </w:tc>
      </w:tr>
      <w:tr w:rsidR="00FD782F" w:rsidRPr="00A350BB" w14:paraId="3BFC8002"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A84DDD"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Receptor balance</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BFF75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Selective GLP-1R</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80CB1A"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Imbalanced: greater GIPR engagement</w:t>
            </w:r>
          </w:p>
        </w:tc>
      </w:tr>
      <w:tr w:rsidR="00FD782F" w:rsidRPr="00A350BB" w14:paraId="0E5A20C9"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C7A537"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 xml:space="preserve">GLP-1R </w:t>
            </w:r>
            <w:proofErr w:type="spellStart"/>
            <w:r w:rsidRPr="00A350BB">
              <w:rPr>
                <w:rFonts w:ascii="Baskerville Old Face" w:hAnsi="Baskerville Old Face"/>
                <w:sz w:val="18"/>
                <w:szCs w:val="18"/>
              </w:rPr>
              <w:t>signalling</w:t>
            </w:r>
            <w:proofErr w:type="spellEnd"/>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1A1CAC"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Full agonist</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CAEFB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 xml:space="preserve">cAMP-biased; less </w:t>
            </w:r>
            <w:r w:rsidRPr="00A350BB">
              <w:rPr>
                <w:rFonts w:ascii="Cambria" w:hAnsi="Cambria" w:cs="Cambria"/>
                <w:sz w:val="18"/>
                <w:szCs w:val="18"/>
              </w:rPr>
              <w:t>β</w:t>
            </w:r>
            <w:r w:rsidRPr="00A350BB">
              <w:rPr>
                <w:rFonts w:ascii="Baskerville Old Face" w:hAnsi="Baskerville Old Face"/>
                <w:sz w:val="18"/>
                <w:szCs w:val="18"/>
              </w:rPr>
              <w:t>-</w:t>
            </w:r>
            <w:proofErr w:type="spellStart"/>
            <w:r w:rsidRPr="00A350BB">
              <w:rPr>
                <w:rFonts w:ascii="Baskerville Old Face" w:hAnsi="Baskerville Old Face"/>
                <w:sz w:val="18"/>
                <w:szCs w:val="18"/>
              </w:rPr>
              <w:t>arrestin</w:t>
            </w:r>
            <w:proofErr w:type="spellEnd"/>
            <w:r w:rsidRPr="00A350BB">
              <w:rPr>
                <w:rFonts w:ascii="Baskerville Old Face" w:hAnsi="Baskerville Old Face"/>
                <w:sz w:val="18"/>
                <w:szCs w:val="18"/>
              </w:rPr>
              <w:t xml:space="preserve"> recruitment and </w:t>
            </w:r>
            <w:proofErr w:type="spellStart"/>
            <w:r w:rsidRPr="00A350BB">
              <w:rPr>
                <w:rFonts w:ascii="Baskerville Old Face" w:hAnsi="Baskerville Old Face"/>
                <w:sz w:val="18"/>
                <w:szCs w:val="18"/>
              </w:rPr>
              <w:t>internalisation</w:t>
            </w:r>
            <w:proofErr w:type="spellEnd"/>
          </w:p>
        </w:tc>
      </w:tr>
      <w:tr w:rsidR="00FD782F" w:rsidRPr="00A350BB" w14:paraId="211D6DB0" w14:textId="77777777" w:rsidTr="00A350BB">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87D70"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Weekly maintenance doses</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E0F0EE"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0.5–2 mg (T2D); 2.4 mg (obesity)</w:t>
            </w:r>
          </w:p>
        </w:tc>
        <w:tc>
          <w:tcPr>
            <w:tcW w:w="34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8799A0"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5, 10 or 15 mg</w:t>
            </w:r>
          </w:p>
        </w:tc>
      </w:tr>
    </w:tbl>
    <w:p w14:paraId="0105B542" w14:textId="77777777" w:rsidR="00FD782F" w:rsidRPr="00A350BB" w:rsidRDefault="00000000" w:rsidP="00A350BB">
      <w:pPr>
        <w:spacing w:before="80" w:after="240"/>
        <w:rPr>
          <w:rFonts w:ascii="Baskerville Old Face" w:hAnsi="Baskerville Old Face"/>
        </w:rPr>
      </w:pPr>
      <w:r w:rsidRPr="00A350BB">
        <w:rPr>
          <w:rFonts w:ascii="Baskerville Old Face" w:hAnsi="Baskerville Old Face"/>
          <w:i/>
          <w:iCs/>
          <w:sz w:val="17"/>
          <w:szCs w:val="17"/>
        </w:rPr>
        <w:t xml:space="preserve">Sources: [5–9]. *From the US prescribing information. </w:t>
      </w:r>
      <w:proofErr w:type="spellStart"/>
      <w:r w:rsidRPr="00A350BB">
        <w:rPr>
          <w:rFonts w:ascii="Baskerville Old Face" w:hAnsi="Baskerville Old Face"/>
          <w:i/>
          <w:iCs/>
          <w:sz w:val="17"/>
          <w:szCs w:val="17"/>
        </w:rPr>
        <w:t>Aib</w:t>
      </w:r>
      <w:proofErr w:type="spellEnd"/>
      <w:r w:rsidRPr="00A350BB">
        <w:rPr>
          <w:rFonts w:ascii="Baskerville Old Face" w:hAnsi="Baskerville Old Face"/>
          <w:i/>
          <w:iCs/>
          <w:sz w:val="17"/>
          <w:szCs w:val="17"/>
        </w:rPr>
        <w:t xml:space="preserve">, </w:t>
      </w:r>
      <w:r w:rsidRPr="00A350BB">
        <w:rPr>
          <w:rFonts w:ascii="Cambria" w:hAnsi="Cambria" w:cs="Cambria"/>
          <w:i/>
          <w:iCs/>
          <w:sz w:val="17"/>
          <w:szCs w:val="17"/>
        </w:rPr>
        <w:t>α</w:t>
      </w:r>
      <w:r w:rsidRPr="00A350BB">
        <w:rPr>
          <w:rFonts w:ascii="Baskerville Old Face" w:hAnsi="Baskerville Old Face"/>
          <w:i/>
          <w:iCs/>
          <w:sz w:val="17"/>
          <w:szCs w:val="17"/>
        </w:rPr>
        <w:t>-</w:t>
      </w:r>
      <w:proofErr w:type="spellStart"/>
      <w:r w:rsidRPr="00A350BB">
        <w:rPr>
          <w:rFonts w:ascii="Baskerville Old Face" w:hAnsi="Baskerville Old Face"/>
          <w:i/>
          <w:iCs/>
          <w:sz w:val="17"/>
          <w:szCs w:val="17"/>
        </w:rPr>
        <w:t>aminoisobutyric</w:t>
      </w:r>
      <w:proofErr w:type="spellEnd"/>
      <w:r w:rsidRPr="00A350BB">
        <w:rPr>
          <w:rFonts w:ascii="Baskerville Old Face" w:hAnsi="Baskerville Old Face"/>
          <w:i/>
          <w:iCs/>
          <w:sz w:val="17"/>
          <w:szCs w:val="17"/>
        </w:rPr>
        <w:t xml:space="preserve"> acid; DPP-4, dipeptidyl peptidase-4.</w:t>
      </w:r>
    </w:p>
    <w:p w14:paraId="530760EB"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4. Islet actions and insulin sensitivity</w:t>
      </w:r>
    </w:p>
    <w:p w14:paraId="5D1DFD33"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Both drugs lower glucose primarily by restoring glucose-dependent insulin secretion and suppressing inappropriate glucagon release. Tirzepatide adds a measurable improvement in insulin sensitivity that is only partly explained by weight loss.</w:t>
      </w:r>
    </w:p>
    <w:p w14:paraId="62876D0F"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In a 28-week mechanistic trial in T2D, tirzepatide 15 mg increased the clamp disposition index, an integrated measure of insulin secretion relative to sensitivity, significantly more than semaglutide 1 mg (estimated treatment difference 0.84; 95% CI 0.46–1.21) [10]. This reflected greater improvements in both total insulin secretion and clamp-derived insulin sensitivity (M value difference 1.52 mg/kg/min), and tirzepatide produced lower postprandial glucose, insulin and glucagon concentrations than semaglutide on meal testing [10].</w:t>
      </w:r>
    </w:p>
    <w:p w14:paraId="006FC8FF"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Preclinical work supports a direct GIPR contribution to insulin </w:t>
      </w:r>
      <w:proofErr w:type="spellStart"/>
      <w:r w:rsidRPr="00A350BB">
        <w:rPr>
          <w:rFonts w:ascii="Baskerville Old Face" w:hAnsi="Baskerville Old Face"/>
        </w:rPr>
        <w:t>sensitisation</w:t>
      </w:r>
      <w:proofErr w:type="spellEnd"/>
      <w:r w:rsidRPr="00A350BB">
        <w:rPr>
          <w:rFonts w:ascii="Baskerville Old Face" w:hAnsi="Baskerville Old Face"/>
        </w:rPr>
        <w:t>. In obese mice lacking GLP-1R, and therefore without GLP-1R-driven weight loss, tirzepatide still improved insulin sensitivity by enhancing glucose disposal in white adipose tissue; a long-acting selective GIPR agonist reproduced this effect, which was accompanied by lower circulating branched-chain amino acids and ketoacids [11]. At the islet, the GIP component may also preserve counter-regulatory glucagon release as glucose falls [3].</w:t>
      </w:r>
    </w:p>
    <w:p w14:paraId="5B7E8B5E"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5. Central nervous system actions</w:t>
      </w:r>
    </w:p>
    <w:p w14:paraId="20B57FDA"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Weight loss with both drugs comes predominantly from eating less. In adults with obesity, 20 weeks of semaglutide 2.4 mg reduced ad libitum energy intake by 35% compared with placebo, with less hunger, greater fullness, better control of eating and fewer and weaker food cravings [12]. In rodents, semaglutide reduced food intake and altered food preference without decreasing energy expenditure [13].</w:t>
      </w:r>
    </w:p>
    <w:p w14:paraId="6DF67FF2"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5.1 Access to the brain</w:t>
      </w:r>
    </w:p>
    <w:p w14:paraId="24975822"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Albumin-bound semaglutide does not cross the intact blood–brain barrier. Fluorescently labelled semaglutide reached the brain through circumventricular organs and selected periventricular sites, including the brainstem, septal nucleus and hypothalamus [13]. From these entry points it activated neurons in ten brain areas, including secondary regions without direct GLP-1R engagement such as the lateral parabrachial nucleus, a node implicated in meal termination [13].</w:t>
      </w:r>
    </w:p>
    <w:p w14:paraId="5D1CD582"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lastRenderedPageBreak/>
        <w:t>5.2 Hypothalamus</w:t>
      </w:r>
    </w:p>
    <w:p w14:paraId="3637CF2B"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In the arcuate nucleus, labelled liraglutide was </w:t>
      </w:r>
      <w:proofErr w:type="spellStart"/>
      <w:r w:rsidRPr="00A350BB">
        <w:rPr>
          <w:rFonts w:ascii="Baskerville Old Face" w:hAnsi="Baskerville Old Face"/>
        </w:rPr>
        <w:t>internalised</w:t>
      </w:r>
      <w:proofErr w:type="spellEnd"/>
      <w:r w:rsidRPr="00A350BB">
        <w:rPr>
          <w:rFonts w:ascii="Baskerville Old Face" w:hAnsi="Baskerville Old Face"/>
        </w:rPr>
        <w:t xml:space="preserve"> by pro-opiomelanocortin/cocaine- and amphetamine-regulated transcript (POMC/CART) neurons. GLP-1 directly excited these anorexigenic neurons and indirectly inhibited orexigenic neuropeptide Y/agouti-related peptide (NPY/</w:t>
      </w:r>
      <w:proofErr w:type="spellStart"/>
      <w:r w:rsidRPr="00A350BB">
        <w:rPr>
          <w:rFonts w:ascii="Baskerville Old Face" w:hAnsi="Baskerville Old Face"/>
        </w:rPr>
        <w:t>AgRP</w:t>
      </w:r>
      <w:proofErr w:type="spellEnd"/>
      <w:r w:rsidRPr="00A350BB">
        <w:rPr>
          <w:rFonts w:ascii="Baskerville Old Face" w:hAnsi="Baskerville Old Face"/>
        </w:rPr>
        <w:t xml:space="preserve">) neurons through GABA-dependent </w:t>
      </w:r>
      <w:proofErr w:type="spellStart"/>
      <w:r w:rsidRPr="00A350BB">
        <w:rPr>
          <w:rFonts w:ascii="Baskerville Old Face" w:hAnsi="Baskerville Old Face"/>
        </w:rPr>
        <w:t>signalling</w:t>
      </w:r>
      <w:proofErr w:type="spellEnd"/>
      <w:r w:rsidRPr="00A350BB">
        <w:rPr>
          <w:rFonts w:ascii="Baskerville Old Face" w:hAnsi="Baskerville Old Face"/>
        </w:rPr>
        <w:t xml:space="preserve"> [14]. Weight loss in rats persisted when GLP-1R was removed from vagal afferents, the area postrema or the paraventricular nucleus, pointing to arcuate POMC/CART neurons as a likely key site [14].</w:t>
      </w:r>
    </w:p>
    <w:p w14:paraId="16137087"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5.3 Hindbrain and reward</w:t>
      </w:r>
    </w:p>
    <w:p w14:paraId="02D09E99"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The area postrema (AP) and nucleus of the solitary tract (NTS) integrate vagal and circulating signals. Semaglutide increased expression of prolactin-releasing hormone and tyrosine hydroxylase in the AP [13]. Hindbrain GLP-1R activation promotes satiation but also mediates nausea and conditioned aversion, linking efficacy and the main tolerability limit of the class. Beyond homeostatic feeding, GLP-1R </w:t>
      </w:r>
      <w:proofErr w:type="spellStart"/>
      <w:r w:rsidRPr="00A350BB">
        <w:rPr>
          <w:rFonts w:ascii="Baskerville Old Face" w:hAnsi="Baskerville Old Face"/>
        </w:rPr>
        <w:t>signalling</w:t>
      </w:r>
      <w:proofErr w:type="spellEnd"/>
      <w:r w:rsidRPr="00A350BB">
        <w:rPr>
          <w:rFonts w:ascii="Baskerville Old Face" w:hAnsi="Baskerville Old Face"/>
        </w:rPr>
        <w:t xml:space="preserve"> dampens reward. In a phase 2 trial in 48 adults with alcohol use disorder, low-dose semaglutide reduced laboratory alcohol self-administration, drinks per drinking day and craving [15].</w:t>
      </w:r>
    </w:p>
    <w:p w14:paraId="186105DD"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 xml:space="preserve">5.4 Central GIPR </w:t>
      </w:r>
      <w:proofErr w:type="spellStart"/>
      <w:r w:rsidRPr="00A350BB">
        <w:rPr>
          <w:rFonts w:ascii="Baskerville Old Face" w:hAnsi="Baskerville Old Face"/>
          <w:color w:val="auto"/>
        </w:rPr>
        <w:t>signalling</w:t>
      </w:r>
      <w:proofErr w:type="spellEnd"/>
    </w:p>
    <w:p w14:paraId="5D2A9E31"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Three lines of evidence suggest that the brain contributes to the added efficacy of tirzepatide. First, mice lacking GIPR in the central nervous system were resistant to the weight-lowering effect of acylated GIP, and the superiority of GIP/GLP-1 co-agonism over GLP-1 agonism alone was lost [16]. Second, GIPR is expressed on distinct inhibitory (GABAergic) and excitatory neuron populations in the AP/NTS; in mice, rats and musk shrews, GIPR agonism blocked emesis and illness </w:t>
      </w:r>
      <w:proofErr w:type="spellStart"/>
      <w:r w:rsidRPr="00A350BB">
        <w:rPr>
          <w:rFonts w:ascii="Baskerville Old Face" w:hAnsi="Baskerville Old Face"/>
        </w:rPr>
        <w:t>behaviours</w:t>
      </w:r>
      <w:proofErr w:type="spellEnd"/>
      <w:r w:rsidRPr="00A350BB">
        <w:rPr>
          <w:rFonts w:ascii="Baskerville Old Face" w:hAnsi="Baskerville Old Face"/>
        </w:rPr>
        <w:t xml:space="preserve"> induced by GLP-1R agonists while preserving reduced food intake and weight loss [17]. Third, the picture is heterogeneous: hypothalamic GIPR was not required for the synergy of co-agonism on body weight, and </w:t>
      </w:r>
      <w:proofErr w:type="spellStart"/>
      <w:r w:rsidRPr="00A350BB">
        <w:rPr>
          <w:rFonts w:ascii="Baskerville Old Face" w:hAnsi="Baskerville Old Face"/>
        </w:rPr>
        <w:t>chemogenetic</w:t>
      </w:r>
      <w:proofErr w:type="spellEnd"/>
      <w:r w:rsidRPr="00A350BB">
        <w:rPr>
          <w:rFonts w:ascii="Baskerville Old Face" w:hAnsi="Baskerville Old Face"/>
        </w:rPr>
        <w:t xml:space="preserve"> activation of dorsal vagal complex GIPR neurons reduced intake but also induced conditioned taste avoidance [18]. Peripherally administered GIPR agonists reached only circumventricular organs [18].</w:t>
      </w:r>
    </w:p>
    <w:p w14:paraId="4703A367"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Together, these data support two complementary hypotheses: GIPR adds anorexigenic </w:t>
      </w:r>
      <w:proofErr w:type="spellStart"/>
      <w:r w:rsidRPr="00A350BB">
        <w:rPr>
          <w:rFonts w:ascii="Baskerville Old Face" w:hAnsi="Baskerville Old Face"/>
        </w:rPr>
        <w:t>signalling</w:t>
      </w:r>
      <w:proofErr w:type="spellEnd"/>
      <w:r w:rsidRPr="00A350BB">
        <w:rPr>
          <w:rFonts w:ascii="Baskerville Old Face" w:hAnsi="Baskerville Old Face"/>
        </w:rPr>
        <w:t>, and GIPR improves tolerability, allowing greater effective GLP-1R engagement. Which predominates in humans is unresolved.</w:t>
      </w:r>
    </w:p>
    <w:p w14:paraId="71A08BF1"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6. Gastrointestinal actions</w:t>
      </w:r>
    </w:p>
    <w:p w14:paraId="3725A179"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GLP-1R activation slows gastric emptying through vagal pathways, flattening postprandial glucose excursions [2]. With long-acting agonists this effect is largely lost over time. After 20 weeks of semaglutide 2.4 mg, gastric emptying assessed by paracetamol absorption showed no evidence of delay: early absorption measures were unchanged, and a small difference in total absorption over 5 hours was not significant after adjustment for body weight [12]. Gastric slowing is therefore unlikely to explain sustained weight loss, which was 9.9% in the same study [12].</w:t>
      </w:r>
    </w:p>
    <w:p w14:paraId="39B081CA"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The same vagal and hindbrain pathways underlie the dominant adverse effects of the class: nausea, vomiting, </w:t>
      </w:r>
      <w:proofErr w:type="spellStart"/>
      <w:r w:rsidRPr="00A350BB">
        <w:rPr>
          <w:rFonts w:ascii="Baskerville Old Face" w:hAnsi="Baskerville Old Face"/>
        </w:rPr>
        <w:t>diarrhoea</w:t>
      </w:r>
      <w:proofErr w:type="spellEnd"/>
      <w:r w:rsidRPr="00A350BB">
        <w:rPr>
          <w:rFonts w:ascii="Baskerville Old Face" w:hAnsi="Baskerville Old Face"/>
        </w:rPr>
        <w:t xml:space="preserve"> and constipation, which cluster during dose escalation (Section 10).</w:t>
      </w:r>
    </w:p>
    <w:p w14:paraId="436FEC43" w14:textId="77777777" w:rsidR="00FD782F" w:rsidRPr="00A350BB" w:rsidRDefault="00000000" w:rsidP="00A350BB">
      <w:pPr>
        <w:keepNext/>
        <w:spacing w:before="200" w:after="80"/>
        <w:jc w:val="center"/>
        <w:rPr>
          <w:rFonts w:ascii="Baskerville Old Face" w:hAnsi="Baskerville Old Face"/>
        </w:rPr>
      </w:pPr>
      <w:r w:rsidRPr="00A350BB">
        <w:rPr>
          <w:rFonts w:ascii="Baskerville Old Face" w:hAnsi="Baskerville Old Face"/>
          <w:noProof/>
        </w:rPr>
        <w:lastRenderedPageBreak/>
        <w:drawing>
          <wp:inline distT="0" distB="0" distL="0" distR="0" wp14:anchorId="5493E5EA" wp14:editId="48E8224A">
            <wp:extent cx="5905500" cy="4724400"/>
            <wp:effectExtent l="0" t="0" r="0" b="0"/>
            <wp:docPr id="1" name="fig1.png" descr="Figure 1. Integrated sites of action of semaglutide and tirzepatide. Both drugs act through GLP-1R in the brain, islet, gut, heart and kidney (blue). Tirzepatide additionally engages GIPR (orange), adding central anorexigenic and anti-emetic signalling, insulinotropic effects and adipose insulin sensitisation. Liver benefits are largely indirect. Based on ; outcome trials as cited in Table 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724400"/>
                    </a:xfrm>
                    <a:prstGeom prst="rect">
                      <a:avLst/>
                    </a:prstGeom>
                  </pic:spPr>
                </pic:pic>
              </a:graphicData>
            </a:graphic>
          </wp:inline>
        </w:drawing>
      </w:r>
    </w:p>
    <w:p w14:paraId="37C7A3ED" w14:textId="77777777" w:rsidR="00FD782F" w:rsidRPr="00A350BB" w:rsidRDefault="00000000" w:rsidP="00A350BB">
      <w:pPr>
        <w:spacing w:after="280"/>
        <w:jc w:val="both"/>
        <w:rPr>
          <w:rFonts w:ascii="Baskerville Old Face" w:hAnsi="Baskerville Old Face"/>
        </w:rPr>
      </w:pPr>
      <w:r w:rsidRPr="00A350BB">
        <w:rPr>
          <w:rFonts w:ascii="Baskerville Old Face" w:hAnsi="Baskerville Old Face"/>
          <w:b/>
          <w:bCs/>
          <w:sz w:val="18"/>
          <w:szCs w:val="18"/>
        </w:rPr>
        <w:t>Figure 1. Integrated sites of action of semaglutide and tirzepatide.</w:t>
      </w:r>
      <w:r w:rsidRPr="00A350BB">
        <w:rPr>
          <w:rFonts w:ascii="Baskerville Old Face" w:hAnsi="Baskerville Old Face"/>
          <w:sz w:val="18"/>
          <w:szCs w:val="18"/>
        </w:rPr>
        <w:t xml:space="preserve"> Both drugs act through GLP-1R in the brain, islet, gut, heart and kidney (blue). Tirzepatide additionally engages GIPR (orange), adding central anorexigenic and anti-emetic </w:t>
      </w:r>
      <w:proofErr w:type="spellStart"/>
      <w:r w:rsidRPr="00A350BB">
        <w:rPr>
          <w:rFonts w:ascii="Baskerville Old Face" w:hAnsi="Baskerville Old Face"/>
          <w:sz w:val="18"/>
          <w:szCs w:val="18"/>
        </w:rPr>
        <w:t>signalling</w:t>
      </w:r>
      <w:proofErr w:type="spellEnd"/>
      <w:r w:rsidRPr="00A350BB">
        <w:rPr>
          <w:rFonts w:ascii="Baskerville Old Face" w:hAnsi="Baskerville Old Face"/>
          <w:sz w:val="18"/>
          <w:szCs w:val="18"/>
        </w:rPr>
        <w:t xml:space="preserve">, insulinotropic effects and adipose insulin </w:t>
      </w:r>
      <w:proofErr w:type="spellStart"/>
      <w:r w:rsidRPr="00A350BB">
        <w:rPr>
          <w:rFonts w:ascii="Baskerville Old Face" w:hAnsi="Baskerville Old Face"/>
          <w:sz w:val="18"/>
          <w:szCs w:val="18"/>
        </w:rPr>
        <w:t>sensitisation</w:t>
      </w:r>
      <w:proofErr w:type="spellEnd"/>
      <w:r w:rsidRPr="00A350BB">
        <w:rPr>
          <w:rFonts w:ascii="Baskerville Old Face" w:hAnsi="Baskerville Old Face"/>
          <w:sz w:val="18"/>
          <w:szCs w:val="18"/>
        </w:rPr>
        <w:t>. Liver benefits are largely indirect. Based on [2,3,8,11,13,17]; outcome trials as cited in Table 2.</w:t>
      </w:r>
    </w:p>
    <w:p w14:paraId="00E88FEC"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7. Adipose, liver, cardiovascular and renal effects</w:t>
      </w:r>
    </w:p>
    <w:p w14:paraId="74E5F585"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7.1 Adipose tissue</w:t>
      </w:r>
    </w:p>
    <w:p w14:paraId="3508F6A4"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GLP-1R expression in adipocytes is sparse, whereas GIPR is abundant. GIP increases adipose blood flow and promotes lipoprotein lipase-mediated triglyceride uptake. The lipid-buffering hypothesis proposes that improved subcutaneous storage reduces spill-over of lipid into liver and muscle, improving insulin sensitivity [3]. The weight-independent insulin </w:t>
      </w:r>
      <w:proofErr w:type="spellStart"/>
      <w:r w:rsidRPr="00A350BB">
        <w:rPr>
          <w:rFonts w:ascii="Baskerville Old Face" w:hAnsi="Baskerville Old Face"/>
        </w:rPr>
        <w:t>sensitisation</w:t>
      </w:r>
      <w:proofErr w:type="spellEnd"/>
      <w:r w:rsidRPr="00A350BB">
        <w:rPr>
          <w:rFonts w:ascii="Baskerville Old Face" w:hAnsi="Baskerville Old Face"/>
        </w:rPr>
        <w:t xml:space="preserve"> seen in GLP-1R-null mice supports this model [11].</w:t>
      </w:r>
    </w:p>
    <w:p w14:paraId="33EAB23E"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7.2 Liver</w:t>
      </w:r>
    </w:p>
    <w:p w14:paraId="4DC4C4FF"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Hepatocytes express little or no GLP-1R, so liver benefits are thought to be largely indirect, reflecting weight loss, improved insulin sensitivity and reduced </w:t>
      </w:r>
      <w:proofErr w:type="spellStart"/>
      <w:r w:rsidRPr="00A350BB">
        <w:rPr>
          <w:rFonts w:ascii="Baskerville Old Face" w:hAnsi="Baskerville Old Face"/>
        </w:rPr>
        <w:t>lipotoxicity</w:t>
      </w:r>
      <w:proofErr w:type="spellEnd"/>
      <w:r w:rsidRPr="00A350BB">
        <w:rPr>
          <w:rFonts w:ascii="Baskerville Old Face" w:hAnsi="Baskerville Old Face"/>
        </w:rPr>
        <w:t xml:space="preserve">. In the phase 3 ESSENCE trial in biopsy-proven metabolic dysfunction-associated steatohepatitis (MASH) with stage F2–F3 fibrosis, semaglutide 2.4 mg achieved resolution of steatohepatitis in 62.9% of patients versus 34.3% with placebo, and fibrosis </w:t>
      </w:r>
      <w:r w:rsidRPr="00A350BB">
        <w:rPr>
          <w:rFonts w:ascii="Baskerville Old Face" w:hAnsi="Baskerville Old Face"/>
        </w:rPr>
        <w:lastRenderedPageBreak/>
        <w:t>improvement in 36.8% versus 22.4%, at 72 weeks [19]. In the phase 2 SYNERGY-NASH trial, tirzepatide resolved MASH in 44–62% of participants across doses versus 10% with placebo at 52 weeks [20].</w:t>
      </w:r>
    </w:p>
    <w:p w14:paraId="10C647A0"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7.3 Heart and vasculature</w:t>
      </w:r>
    </w:p>
    <w:p w14:paraId="21B68890"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GLP-1R is expressed in the sinoatrial node, vascular smooth muscle and immune cells. Agonism lowers blood pressure, increases resting heart rate and reduces systemic inflammation [2]. In SUSTAIN-6, semaglutide reduced major adverse cardiovascular events (MACE) in T2D (hazard ratio [HR] 0.74; 95% CI 0.58–0.95) [6]. In SELECT, which enrolled 17,604 people with established cardiovascular disease and overweight or obesity but without diabetes, semaglutide 2.4 mg reduced MACE by 20% (HR 0.80; 95% CI 0.72–0.90) [21].</w:t>
      </w:r>
    </w:p>
    <w:p w14:paraId="72A1C211"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Weight loss does not fully explain this benefit. In a prespecified SELECT analysis, MACE reduction was consistent across all categories of baseline weight and waist circumference; weight loss at week 20 showed no linear relationship with subsequent MACE risk; and an estimated 33% of the benefit was statistically mediated by reduction in waist circumference [22]. The remainder is attributed to direct vascular, anti-inflammatory and </w:t>
      </w:r>
      <w:proofErr w:type="spellStart"/>
      <w:r w:rsidRPr="00A350BB">
        <w:rPr>
          <w:rFonts w:ascii="Baskerville Old Face" w:hAnsi="Baskerville Old Face"/>
        </w:rPr>
        <w:t>haemodynamic</w:t>
      </w:r>
      <w:proofErr w:type="spellEnd"/>
      <w:r w:rsidRPr="00A350BB">
        <w:rPr>
          <w:rFonts w:ascii="Baskerville Old Face" w:hAnsi="Baskerville Old Face"/>
        </w:rPr>
        <w:t xml:space="preserve"> effects. In heart failure with preserved ejection fraction (HFpEF) and obesity, semaglutide improved symptoms and physical limitation and reduced C-reactive protein by 43.5% versus 7.3% with placebo [23], while tirzepatide reduced the composite of cardiovascular death or worsening heart failure (HR 0.62; 95% CI 0.41–0.95) [24]. In SURPASS-CVOT, tirzepatide was non-inferior but not superior to dulaglutide for MACE (HR 0.92; 95.3% CI 0.83–1.01) [25].</w:t>
      </w:r>
    </w:p>
    <w:p w14:paraId="429F0A80"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7.4 Kidney</w:t>
      </w:r>
    </w:p>
    <w:p w14:paraId="6A62A1F2"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In FLOW, semaglutide 1 mg reduced major kidney disease events by 24% in people with T2D and chronic kidney disease (HR 0.76; 95% CI 0.66–0.88), slowed the annual decline in estimated glomerular filtration rate (eGFR) by 1.16 mL/min/1.73 m², and reduced cardiovascular death (HR 0.71) and death from any cause (HR 0.80) [26]. Proposed mechanisms include reduced glomerular hyperfiltration, natriuresis, lower blood pressure and anti-inflammatory effects.</w:t>
      </w:r>
    </w:p>
    <w:p w14:paraId="64EBABC3" w14:textId="77777777" w:rsidR="00FD782F" w:rsidRPr="00A350BB" w:rsidRDefault="00000000" w:rsidP="00A350BB">
      <w:pPr>
        <w:keepNext/>
        <w:spacing w:before="200" w:after="100"/>
        <w:rPr>
          <w:rFonts w:ascii="Baskerville Old Face" w:hAnsi="Baskerville Old Face"/>
        </w:rPr>
      </w:pPr>
      <w:r w:rsidRPr="00A350BB">
        <w:rPr>
          <w:rFonts w:ascii="Baskerville Old Face" w:hAnsi="Baskerville Old Face"/>
          <w:b/>
          <w:bCs/>
          <w:sz w:val="20"/>
          <w:szCs w:val="20"/>
        </w:rPr>
        <w:t>Table 2. Cardiovascular, kidney and liver outcome trials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900"/>
        <w:gridCol w:w="1700"/>
        <w:gridCol w:w="3260"/>
      </w:tblGrid>
      <w:tr w:rsidR="00FD782F" w:rsidRPr="00A350BB" w14:paraId="33FB4972" w14:textId="77777777" w:rsidTr="00A350BB">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29326E"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Trial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07098"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Population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6C2765"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Comparison</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304608"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Primary result</w:t>
            </w:r>
          </w:p>
        </w:tc>
      </w:tr>
      <w:tr w:rsidR="00FD782F" w:rsidRPr="00A350BB" w14:paraId="72B02F88"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3D582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SUSTAIN-6 [6]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6BCF49"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T2D at high CV risk (n = 3,297)</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FBF01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Semaglutide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36BAFB"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MACE HR 0.74 (0.58–0.95)</w:t>
            </w:r>
          </w:p>
        </w:tc>
      </w:tr>
      <w:tr w:rsidR="00FD782F" w:rsidRPr="00A350BB" w14:paraId="4E8E9EEF"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1C7A73"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SELECT [21]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928C5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CVD with overweight or obesity, no diabetes (n = 17,604)</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1E6AC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Semaglutide 2.4 mg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F31C3A"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MACE HR 0.80 (0.72–0.90)</w:t>
            </w:r>
          </w:p>
        </w:tc>
      </w:tr>
      <w:tr w:rsidR="00FD782F" w:rsidRPr="00A350BB" w14:paraId="6158C4B9"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7403B3"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FLOW [26]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BED1CE"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T2D with CKD (n = 3,533)</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839543"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Semaglutide 1 mg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022BD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Major kidney disease events HR 0.76 (0.66–0.88)</w:t>
            </w:r>
          </w:p>
        </w:tc>
      </w:tr>
      <w:tr w:rsidR="00FD782F" w:rsidRPr="00A350BB" w14:paraId="7E5A7C57"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7FE372"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STEP-HFpEF [23]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45580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HFpEF with obesity (n = 529)</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4E75DC"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Semaglutide 2.4 mg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0C3BAE"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 xml:space="preserve">KCCQ-CSS +7.8 points; weight </w:t>
            </w:r>
            <w:r w:rsidRPr="00A350BB">
              <w:rPr>
                <w:rFonts w:ascii="Cambria Math" w:hAnsi="Cambria Math" w:cs="Cambria Math"/>
                <w:sz w:val="18"/>
                <w:szCs w:val="18"/>
              </w:rPr>
              <w:t>−</w:t>
            </w:r>
            <w:r w:rsidRPr="00A350BB">
              <w:rPr>
                <w:rFonts w:ascii="Baskerville Old Face" w:hAnsi="Baskerville Old Face"/>
                <w:sz w:val="18"/>
                <w:szCs w:val="18"/>
              </w:rPr>
              <w:t>10.7 percentage points</w:t>
            </w:r>
          </w:p>
        </w:tc>
      </w:tr>
      <w:tr w:rsidR="00FD782F" w:rsidRPr="00A350BB" w14:paraId="663017CF"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6118A7"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SUMMIT [24]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FBB30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HFpEF with obesity (n = 731)</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E10173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Tirzepatide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56921B"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CV death or worsening HF HR 0.62 (0.41–0.95)</w:t>
            </w:r>
          </w:p>
        </w:tc>
      </w:tr>
      <w:tr w:rsidR="00FD782F" w:rsidRPr="00A350BB" w14:paraId="514BA6E8"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0E3FBB"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SURPASS-CVOT [25]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FD979"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 xml:space="preserve">T2D with ASCVD (n = 13,165 </w:t>
            </w:r>
            <w:proofErr w:type="spellStart"/>
            <w:r w:rsidRPr="00A350BB">
              <w:rPr>
                <w:rFonts w:ascii="Baskerville Old Face" w:hAnsi="Baskerville Old Face"/>
                <w:sz w:val="18"/>
                <w:szCs w:val="18"/>
              </w:rPr>
              <w:t>analysed</w:t>
            </w:r>
            <w:proofErr w:type="spellEnd"/>
            <w:r w:rsidRPr="00A350BB">
              <w:rPr>
                <w:rFonts w:ascii="Baskerville Old Face" w:hAnsi="Baskerville Old Face"/>
                <w:sz w:val="18"/>
                <w:szCs w:val="18"/>
              </w:rPr>
              <w: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36F06A"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Tirzepatide vs dulaglutide</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B1FD3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MACE HR 0.92 (0.83–1.01); non-inferior</w:t>
            </w:r>
          </w:p>
        </w:tc>
      </w:tr>
      <w:tr w:rsidR="00FD782F" w:rsidRPr="00A350BB" w14:paraId="72B54FB0"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4EE527"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ESSENCE [19]</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9DEF7"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MASH, F2–F3 fibrosis (n = 800, interim)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AB5C6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Semaglutide 2.4 mg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03ED59"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MASH resolution 62.9% vs 34.3%</w:t>
            </w:r>
          </w:p>
        </w:tc>
      </w:tr>
      <w:tr w:rsidR="00FD782F" w:rsidRPr="00A350BB" w14:paraId="36E20FCE" w14:textId="77777777" w:rsidTr="00A350BB">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F036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lastRenderedPageBreak/>
              <w:t>SYNERGY-NASH [20]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F278FC"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MASH, F2–F3 fibrosis (n = 190); phase 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182AF9"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Tirzepatide vs placebo</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355A9D"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MASH resolution 44–62% vs 10%</w:t>
            </w:r>
          </w:p>
        </w:tc>
      </w:tr>
    </w:tbl>
    <w:p w14:paraId="1985125A" w14:textId="77777777" w:rsidR="00FD782F" w:rsidRPr="00A350BB" w:rsidRDefault="00000000" w:rsidP="00A350BB">
      <w:pPr>
        <w:spacing w:before="80" w:after="240"/>
        <w:rPr>
          <w:rFonts w:ascii="Baskerville Old Face" w:hAnsi="Baskerville Old Face"/>
        </w:rPr>
      </w:pPr>
      <w:r w:rsidRPr="00A350BB">
        <w:rPr>
          <w:rFonts w:ascii="Baskerville Old Face" w:hAnsi="Baskerville Old Face"/>
          <w:i/>
          <w:iCs/>
          <w:sz w:val="17"/>
          <w:szCs w:val="17"/>
        </w:rPr>
        <w:t>Hazard ratios with 95% confidence intervals (95.3% for SURPASS-CVOT). ASCVD, atherosclerotic cardiovascular disease; CKD, chronic kidney disease; KCCQ-CSS, Kansas City Cardiomyopathy Questionnaire clinical summary score.</w:t>
      </w:r>
    </w:p>
    <w:p w14:paraId="211DC93C"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8. The GIP paradox</w:t>
      </w:r>
    </w:p>
    <w:p w14:paraId="0EBDC1AA"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A central unresolved question is why both activating and blocking GIPR, when combined with GLP-1R agonism, enhance weight loss. Genome-wide association studies implicate GIPR in obesity, and GIPR knockout mice resist diet-induced obesity [27]. Antagonistic anti-GIPR antibodies protected obese mice and non-human primates against weight gain, and weight loss was enhanced when they were co-administered with GLP-1R agonists [27]. </w:t>
      </w:r>
      <w:proofErr w:type="spellStart"/>
      <w:r w:rsidRPr="00A350BB">
        <w:rPr>
          <w:rFonts w:ascii="Baskerville Old Face" w:hAnsi="Baskerville Old Face"/>
        </w:rPr>
        <w:t>Maridebart</w:t>
      </w:r>
      <w:proofErr w:type="spellEnd"/>
      <w:r w:rsidRPr="00A350BB">
        <w:rPr>
          <w:rFonts w:ascii="Baskerville Old Face" w:hAnsi="Baskerville Old Face"/>
        </w:rPr>
        <w:t xml:space="preserve"> </w:t>
      </w:r>
      <w:proofErr w:type="spellStart"/>
      <w:r w:rsidRPr="00A350BB">
        <w:rPr>
          <w:rFonts w:ascii="Baskerville Old Face" w:hAnsi="Baskerville Old Face"/>
        </w:rPr>
        <w:t>cafraglutide</w:t>
      </w:r>
      <w:proofErr w:type="spellEnd"/>
      <w:r w:rsidRPr="00A350BB">
        <w:rPr>
          <w:rFonts w:ascii="Baskerville Old Face" w:hAnsi="Baskerville Old Face"/>
        </w:rPr>
        <w:t xml:space="preserve"> (AMG 133), a GIPR-antagonist antibody conjugated to two GLP-1 analogue peptides, produced dose-dependent weight loss in a phase 1 trial that was maintained for up to 150 days after the last dose [28].</w:t>
      </w:r>
    </w:p>
    <w:p w14:paraId="20BB5972"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Several hypotheses attempt to reconcile these observations:</w:t>
      </w:r>
    </w:p>
    <w:p w14:paraId="4E633737"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b/>
          <w:bCs/>
        </w:rPr>
        <w:t xml:space="preserve">Receptor </w:t>
      </w:r>
      <w:proofErr w:type="spellStart"/>
      <w:r w:rsidRPr="00A350BB">
        <w:rPr>
          <w:rFonts w:ascii="Baskerville Old Face" w:hAnsi="Baskerville Old Face"/>
          <w:b/>
          <w:bCs/>
        </w:rPr>
        <w:t>desensitisation</w:t>
      </w:r>
      <w:proofErr w:type="spellEnd"/>
      <w:r w:rsidRPr="00A350BB">
        <w:rPr>
          <w:rFonts w:ascii="Baskerville Old Face" w:hAnsi="Baskerville Old Face"/>
          <w:b/>
          <w:bCs/>
        </w:rPr>
        <w:t>.</w:t>
      </w:r>
      <w:r w:rsidRPr="00A350BB">
        <w:rPr>
          <w:rFonts w:ascii="Baskerville Old Face" w:hAnsi="Baskerville Old Face"/>
        </w:rPr>
        <w:t xml:space="preserve"> Chronic GIPR agonism </w:t>
      </w:r>
      <w:proofErr w:type="spellStart"/>
      <w:r w:rsidRPr="00A350BB">
        <w:rPr>
          <w:rFonts w:ascii="Baskerville Old Face" w:hAnsi="Baskerville Old Face"/>
        </w:rPr>
        <w:t>desensitised</w:t>
      </w:r>
      <w:proofErr w:type="spellEnd"/>
      <w:r w:rsidRPr="00A350BB">
        <w:rPr>
          <w:rFonts w:ascii="Baskerville Old Face" w:hAnsi="Baskerville Old Face"/>
        </w:rPr>
        <w:t xml:space="preserve"> GIPR in primary adipocytes in vitro and in adipose tissue in vivo, so a long-acting agonist functioned like an antagonist in that tissue [29].</w:t>
      </w:r>
    </w:p>
    <w:p w14:paraId="4F4A19CA"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b/>
          <w:bCs/>
        </w:rPr>
        <w:t>Tissue-specific effects.</w:t>
      </w:r>
      <w:r w:rsidRPr="00A350BB">
        <w:rPr>
          <w:rFonts w:ascii="Baskerville Old Face" w:hAnsi="Baskerville Old Face"/>
        </w:rPr>
        <w:t xml:space="preserve"> Agonism may dominate in the central nervous system, adding anorexia and suppressing emesis [16,17], while antagonist-like effects dominate in adipose tissue.</w:t>
      </w:r>
    </w:p>
    <w:p w14:paraId="68CC27EE"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b/>
          <w:bCs/>
        </w:rPr>
        <w:t>Different routes to the same end.</w:t>
      </w:r>
      <w:r w:rsidRPr="00A350BB">
        <w:rPr>
          <w:rFonts w:ascii="Baskerville Old Face" w:hAnsi="Baskerville Old Face"/>
        </w:rPr>
        <w:t xml:space="preserve"> Agonism may act chiefly through tolerability and adipose insulin </w:t>
      </w:r>
      <w:proofErr w:type="spellStart"/>
      <w:r w:rsidRPr="00A350BB">
        <w:rPr>
          <w:rFonts w:ascii="Baskerville Old Face" w:hAnsi="Baskerville Old Face"/>
        </w:rPr>
        <w:t>sensitisation</w:t>
      </w:r>
      <w:proofErr w:type="spellEnd"/>
      <w:r w:rsidRPr="00A350BB">
        <w:rPr>
          <w:rFonts w:ascii="Baskerville Old Face" w:hAnsi="Baskerville Old Face"/>
        </w:rPr>
        <w:t>, and antagonism chiefly by amplifying GLP-1R-driven anorexia.</w:t>
      </w:r>
    </w:p>
    <w:p w14:paraId="7B24D596"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Direct mechanistic comparisons in humans are needed. Because tirzepatide is GIPR-</w:t>
      </w:r>
      <w:proofErr w:type="spellStart"/>
      <w:r w:rsidRPr="00A350BB">
        <w:rPr>
          <w:rFonts w:ascii="Baskerville Old Face" w:hAnsi="Baskerville Old Face"/>
        </w:rPr>
        <w:t>favoured</w:t>
      </w:r>
      <w:proofErr w:type="spellEnd"/>
      <w:r w:rsidRPr="00A350BB">
        <w:rPr>
          <w:rFonts w:ascii="Baskerville Old Face" w:hAnsi="Baskerville Old Face"/>
        </w:rPr>
        <w:t xml:space="preserve"> [8], its clinical profile cannot be read simply as GLP-1R agonism with a small GIP contribution.</w:t>
      </w:r>
    </w:p>
    <w:p w14:paraId="4F22CC8F"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9. Clinical efficacy linked to mechanism</w:t>
      </w:r>
    </w:p>
    <w:p w14:paraId="050E678A"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In T2D, SURPASS-2 compared tirzepatide 5, 10 and 15 mg with semaglutide 1 mg over 40 weeks in 1,879 patients: HbA1c fell by 2.01, 2.24 and 2.30 percentage points with tirzepatide versus 1.86 points with semaglutide, and weight fell 1.9–5.5 kg more with tirzepatide [30]. In obesity without diabetes, semaglutide 2.4 mg reduced weight by 14.9% versus 2.4% with placebo at 68 weeks (STEP 1) [31], and tirzepatide 15 mg by 20.9% versus 3.1% at 72 weeks (SURMOUNT-1) [32]. In the head-to-head SURMOUNT-5 trial, tirzepatide reduced weight by 20.2% versus 13.7% with semaglutide at 72 weeks, with greater </w:t>
      </w:r>
      <w:proofErr w:type="spellStart"/>
      <w:r w:rsidRPr="00A350BB">
        <w:rPr>
          <w:rFonts w:ascii="Baskerville Old Face" w:hAnsi="Baskerville Old Face"/>
        </w:rPr>
        <w:t>waist</w:t>
      </w:r>
      <w:proofErr w:type="spellEnd"/>
      <w:r w:rsidRPr="00A350BB">
        <w:rPr>
          <w:rFonts w:ascii="Baskerville Old Face" w:hAnsi="Baskerville Old Face"/>
        </w:rPr>
        <w:t xml:space="preserve"> reduction (18.4 vs 13.0 cm) [33] (Figure 2).</w:t>
      </w:r>
    </w:p>
    <w:p w14:paraId="14A6C797" w14:textId="77777777" w:rsidR="00FD782F" w:rsidRPr="00A350BB" w:rsidRDefault="00000000" w:rsidP="00A350BB">
      <w:pPr>
        <w:keepNext/>
        <w:spacing w:before="200" w:after="80"/>
        <w:jc w:val="center"/>
        <w:rPr>
          <w:rFonts w:ascii="Baskerville Old Face" w:hAnsi="Baskerville Old Face"/>
        </w:rPr>
      </w:pPr>
      <w:r w:rsidRPr="00A350BB">
        <w:rPr>
          <w:rFonts w:ascii="Baskerville Old Face" w:hAnsi="Baskerville Old Face"/>
          <w:noProof/>
        </w:rPr>
        <w:lastRenderedPageBreak/>
        <w:drawing>
          <wp:inline distT="0" distB="0" distL="0" distR="0" wp14:anchorId="0C785A63" wp14:editId="003031DB">
            <wp:extent cx="5905500" cy="2819400"/>
            <wp:effectExtent l="0" t="0" r="0" b="0"/>
            <wp:docPr id="2" name="fig2.png" descr="Figure 2. Mean percentage change in body weight in pivotal trials. Each row joins the active treatment to its comparator. SURMOUNT-5 is the only head-to-head comparison of tirzepatide and semaglutide; other comparisons across trials are indirect and should be interpreted cautiously. Data from . MTD, maximum tolerated dos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819400"/>
                    </a:xfrm>
                    <a:prstGeom prst="rect">
                      <a:avLst/>
                    </a:prstGeom>
                  </pic:spPr>
                </pic:pic>
              </a:graphicData>
            </a:graphic>
          </wp:inline>
        </w:drawing>
      </w:r>
    </w:p>
    <w:p w14:paraId="5D43B702" w14:textId="77777777" w:rsidR="00FD782F" w:rsidRPr="00A350BB" w:rsidRDefault="00000000" w:rsidP="00A350BB">
      <w:pPr>
        <w:spacing w:after="280"/>
        <w:jc w:val="both"/>
        <w:rPr>
          <w:rFonts w:ascii="Baskerville Old Face" w:hAnsi="Baskerville Old Face"/>
        </w:rPr>
      </w:pPr>
      <w:r w:rsidRPr="00A350BB">
        <w:rPr>
          <w:rFonts w:ascii="Baskerville Old Face" w:hAnsi="Baskerville Old Face"/>
          <w:b/>
          <w:bCs/>
          <w:sz w:val="18"/>
          <w:szCs w:val="18"/>
        </w:rPr>
        <w:t>Figure 2. Mean percentage change in body weight in pivotal trials.</w:t>
      </w:r>
      <w:r w:rsidRPr="00A350BB">
        <w:rPr>
          <w:rFonts w:ascii="Baskerville Old Face" w:hAnsi="Baskerville Old Face"/>
          <w:sz w:val="18"/>
          <w:szCs w:val="18"/>
        </w:rPr>
        <w:t xml:space="preserve"> Each row joins the active treatment to its comparator. SURMOUNT-5 is the only head-to-head comparison of tirzepatide and semaglutide; other comparisons across trials are indirect and should be interpreted cautiously. Data from [31–36]. MTD, maximum tolerated dose.</w:t>
      </w:r>
    </w:p>
    <w:p w14:paraId="09D0A8B0"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Three mechanistic explanations for tirzepatide's advantage are compatible with these data: additional central anorexigenic </w:t>
      </w:r>
      <w:proofErr w:type="spellStart"/>
      <w:r w:rsidRPr="00A350BB">
        <w:rPr>
          <w:rFonts w:ascii="Baskerville Old Face" w:hAnsi="Baskerville Old Face"/>
        </w:rPr>
        <w:t>signalling</w:t>
      </w:r>
      <w:proofErr w:type="spellEnd"/>
      <w:r w:rsidRPr="00A350BB">
        <w:rPr>
          <w:rFonts w:ascii="Baskerville Old Face" w:hAnsi="Baskerville Old Face"/>
        </w:rPr>
        <w:t xml:space="preserve"> via GIPR [16]; better tolerability through hindbrain GIPR, allowing greater effective GLP-1R engagement [17]; and GIPR-mediated adipose insulin </w:t>
      </w:r>
      <w:proofErr w:type="spellStart"/>
      <w:r w:rsidRPr="00A350BB">
        <w:rPr>
          <w:rFonts w:ascii="Baskerville Old Face" w:hAnsi="Baskerville Old Face"/>
        </w:rPr>
        <w:t>sensitisation</w:t>
      </w:r>
      <w:proofErr w:type="spellEnd"/>
      <w:r w:rsidRPr="00A350BB">
        <w:rPr>
          <w:rFonts w:ascii="Baskerville Old Face" w:hAnsi="Baskerville Old Face"/>
        </w:rPr>
        <w:t xml:space="preserve"> [10,11]. Cross-trial comparisons are limited by differences in populations, dose escalation and </w:t>
      </w:r>
      <w:proofErr w:type="spellStart"/>
      <w:r w:rsidRPr="00A350BB">
        <w:rPr>
          <w:rFonts w:ascii="Baskerville Old Face" w:hAnsi="Baskerville Old Face"/>
        </w:rPr>
        <w:t>estimands</w:t>
      </w:r>
      <w:proofErr w:type="spellEnd"/>
      <w:r w:rsidRPr="00A350BB">
        <w:rPr>
          <w:rFonts w:ascii="Baskerville Old Face" w:hAnsi="Baskerville Old Face"/>
        </w:rPr>
        <w:t>, and SURMOUNT-5 was open-label.</w:t>
      </w:r>
    </w:p>
    <w:p w14:paraId="24E41D10" w14:textId="77777777" w:rsidR="00FD782F" w:rsidRPr="00A350BB" w:rsidRDefault="00000000" w:rsidP="00A350BB">
      <w:pPr>
        <w:pStyle w:val="Heading2"/>
        <w:rPr>
          <w:rFonts w:ascii="Baskerville Old Face" w:hAnsi="Baskerville Old Face"/>
          <w:color w:val="auto"/>
        </w:rPr>
      </w:pPr>
      <w:r w:rsidRPr="00A350BB">
        <w:rPr>
          <w:rFonts w:ascii="Baskerville Old Face" w:hAnsi="Baskerville Old Face"/>
          <w:color w:val="auto"/>
        </w:rPr>
        <w:t>9.1 Durability and the chronic nature of the mechanism</w:t>
      </w:r>
    </w:p>
    <w:p w14:paraId="5E3BC055"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Because these drugs act on homeostatic and reward circuits rather than permanently altering them, their effects depend on continued exposure. One year after stopping semaglutide and lifestyle intervention in the STEP 1 extension, participants regained two-thirds of their prior weight loss, and cardiometabolic improvements reverted toward baseline [37]. In SURMOUNT-4, after a 36-week tirzepatide lead-in producing 20.9% weight loss, participants switched to placebo regained 14.0% of body weight over 52 weeks, whereas those who continued tirzepatide lost a further 5.5% [38].</w:t>
      </w:r>
    </w:p>
    <w:p w14:paraId="354E6EB2"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10. Safety and mechanism-linked adverse effects</w:t>
      </w:r>
    </w:p>
    <w:p w14:paraId="1CF97922"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Most adverse effects of both drugs are predictable extensions of incretin receptor pharmacology (Table 3). Gastrointestinal events dominate: in SURPASS-2, nausea occurred in 17–22% of tirzepatide recipients and 18% of semaglutide recipients [30]. Discontinuation because of adverse events in SURMOUNT-1 was 4.3–7.1% with tirzepatide versus 2.6% with placebo [32], and in STEP 1, 4.5% of semaglutide recipients stopped because of gastrointestinal events versus 0.8% on placebo [31].</w:t>
      </w:r>
    </w:p>
    <w:p w14:paraId="29A8D85B"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Lean mass is a growing concern. A network meta-analysis of 22 </w:t>
      </w:r>
      <w:proofErr w:type="spellStart"/>
      <w:r w:rsidRPr="00A350BB">
        <w:rPr>
          <w:rFonts w:ascii="Baskerville Old Face" w:hAnsi="Baskerville Old Face"/>
        </w:rPr>
        <w:t>randomised</w:t>
      </w:r>
      <w:proofErr w:type="spellEnd"/>
      <w:r w:rsidRPr="00A350BB">
        <w:rPr>
          <w:rFonts w:ascii="Baskerville Old Face" w:hAnsi="Baskerville Old Face"/>
        </w:rPr>
        <w:t xml:space="preserve"> trials found that lean mass accounted for about 25% of weight lost with GLP-1R-based agents; tirzepatide 15 mg and semaglutide 2.4 mg </w:t>
      </w:r>
      <w:r w:rsidRPr="00A350BB">
        <w:rPr>
          <w:rFonts w:ascii="Baskerville Old Face" w:hAnsi="Baskerville Old Face"/>
        </w:rPr>
        <w:lastRenderedPageBreak/>
        <w:t xml:space="preserve">were the most effective at reducing fat but among the least lean-sparing [39]. This has prompted trials combining incretin drugs with inhibitors of myostatin and activin </w:t>
      </w:r>
      <w:proofErr w:type="spellStart"/>
      <w:r w:rsidRPr="00A350BB">
        <w:rPr>
          <w:rFonts w:ascii="Baskerville Old Face" w:hAnsi="Baskerville Old Face"/>
        </w:rPr>
        <w:t>signalling</w:t>
      </w:r>
      <w:proofErr w:type="spellEnd"/>
      <w:r w:rsidRPr="00A350BB">
        <w:rPr>
          <w:rFonts w:ascii="Baskerville Old Face" w:hAnsi="Baskerville Old Face"/>
        </w:rPr>
        <w:t xml:space="preserve">, such as </w:t>
      </w:r>
      <w:proofErr w:type="spellStart"/>
      <w:r w:rsidRPr="00A350BB">
        <w:rPr>
          <w:rFonts w:ascii="Baskerville Old Face" w:hAnsi="Baskerville Old Face"/>
        </w:rPr>
        <w:t>bimagrumab</w:t>
      </w:r>
      <w:proofErr w:type="spellEnd"/>
      <w:r w:rsidRPr="00A350BB">
        <w:rPr>
          <w:rFonts w:ascii="Baskerville Old Face" w:hAnsi="Baskerville Old Face"/>
        </w:rPr>
        <w:t xml:space="preserve"> [40].</w:t>
      </w:r>
    </w:p>
    <w:p w14:paraId="4D80EE14"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In rodents, GLP-1R agonists activate thyroid C cells, causing calcitonin release and C-cell hyperplasia. Primate C cells express little GLP-1R and did not respond, and 20 months of high-dose liraglutide did not cause C-cell hyperplasia in monkeys [41]. Human relevance is therefore uncertain, but both drugs are contraindicated in people with a personal or family history of medullary thyroid carcinoma or multiple endocrine neoplasia type 2. Rapid </w:t>
      </w:r>
      <w:proofErr w:type="spellStart"/>
      <w:r w:rsidRPr="00A350BB">
        <w:rPr>
          <w:rFonts w:ascii="Baskerville Old Face" w:hAnsi="Baskerville Old Face"/>
        </w:rPr>
        <w:t>glycaemic</w:t>
      </w:r>
      <w:proofErr w:type="spellEnd"/>
      <w:r w:rsidRPr="00A350BB">
        <w:rPr>
          <w:rFonts w:ascii="Baskerville Old Face" w:hAnsi="Baskerville Old Face"/>
        </w:rPr>
        <w:t xml:space="preserve"> improvement was associated with more diabetic retinopathy complications in SUSTAIN-6 (HR 1.76; 95% CI 1.11–2.78) [6]. In a single-</w:t>
      </w:r>
      <w:proofErr w:type="spellStart"/>
      <w:r w:rsidRPr="00A350BB">
        <w:rPr>
          <w:rFonts w:ascii="Baskerville Old Face" w:hAnsi="Baskerville Old Face"/>
        </w:rPr>
        <w:t>centre</w:t>
      </w:r>
      <w:proofErr w:type="spellEnd"/>
      <w:r w:rsidRPr="00A350BB">
        <w:rPr>
          <w:rFonts w:ascii="Baskerville Old Face" w:hAnsi="Baskerville Old Face"/>
        </w:rPr>
        <w:t xml:space="preserve"> retrospective cohort, semaglutide was associated with a higher 36-month cumulative incidence of non-</w:t>
      </w:r>
      <w:proofErr w:type="spellStart"/>
      <w:r w:rsidRPr="00A350BB">
        <w:rPr>
          <w:rFonts w:ascii="Baskerville Old Face" w:hAnsi="Baskerville Old Face"/>
        </w:rPr>
        <w:t>arteritic</w:t>
      </w:r>
      <w:proofErr w:type="spellEnd"/>
      <w:r w:rsidRPr="00A350BB">
        <w:rPr>
          <w:rFonts w:ascii="Baskerville Old Face" w:hAnsi="Baskerville Old Face"/>
        </w:rPr>
        <w:t xml:space="preserve"> anterior </w:t>
      </w:r>
      <w:proofErr w:type="spellStart"/>
      <w:r w:rsidRPr="00A350BB">
        <w:rPr>
          <w:rFonts w:ascii="Baskerville Old Face" w:hAnsi="Baskerville Old Face"/>
        </w:rPr>
        <w:t>ischaemic</w:t>
      </w:r>
      <w:proofErr w:type="spellEnd"/>
      <w:r w:rsidRPr="00A350BB">
        <w:rPr>
          <w:rFonts w:ascii="Baskerville Old Face" w:hAnsi="Baskerville Old Face"/>
        </w:rPr>
        <w:t xml:space="preserve"> optic neuropathy (NAION) in patients with T2D (8.9% vs 1.8%) [42]; causality and mechanism remain unresolved.</w:t>
      </w:r>
    </w:p>
    <w:p w14:paraId="663A58FE" w14:textId="77777777" w:rsidR="00FD782F" w:rsidRPr="00A350BB" w:rsidRDefault="00000000" w:rsidP="00A350BB">
      <w:pPr>
        <w:keepNext/>
        <w:spacing w:before="200" w:after="100"/>
        <w:rPr>
          <w:rFonts w:ascii="Baskerville Old Face" w:hAnsi="Baskerville Old Face"/>
        </w:rPr>
      </w:pPr>
      <w:r w:rsidRPr="00A350BB">
        <w:rPr>
          <w:rFonts w:ascii="Baskerville Old Face" w:hAnsi="Baskerville Old Face"/>
          <w:b/>
          <w:bCs/>
          <w:sz w:val="20"/>
          <w:szCs w:val="20"/>
        </w:rPr>
        <w:t>Table 3. Mechanism-linked adverse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3800"/>
        <w:gridCol w:w="3260"/>
      </w:tblGrid>
      <w:tr w:rsidR="00FD782F" w:rsidRPr="00A350BB" w14:paraId="6F91CD72" w14:textId="77777777" w:rsidTr="00A350BB">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74FF68"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Adverse effect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7731A5"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Proposed mechanism</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B839E5" w14:textId="77777777" w:rsidR="00FD782F" w:rsidRPr="00A350BB" w:rsidRDefault="00000000" w:rsidP="00A350BB">
            <w:pPr>
              <w:rPr>
                <w:rFonts w:ascii="Baskerville Old Face" w:hAnsi="Baskerville Old Face"/>
              </w:rPr>
            </w:pPr>
            <w:r w:rsidRPr="00A350BB">
              <w:rPr>
                <w:rFonts w:ascii="Baskerville Old Face" w:hAnsi="Baskerville Old Face"/>
                <w:b/>
                <w:bCs/>
                <w:sz w:val="18"/>
                <w:szCs w:val="18"/>
              </w:rPr>
              <w:t>Evidence</w:t>
            </w:r>
          </w:p>
        </w:tc>
      </w:tr>
      <w:tr w:rsidR="00FD782F" w:rsidRPr="00A350BB" w14:paraId="1D4B9D80"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8384A7"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 xml:space="preserve">Nausea, vomiting, </w:t>
            </w:r>
            <w:proofErr w:type="spellStart"/>
            <w:r w:rsidRPr="00A350BB">
              <w:rPr>
                <w:rFonts w:ascii="Baskerville Old Face" w:hAnsi="Baskerville Old Face"/>
                <w:sz w:val="18"/>
                <w:szCs w:val="18"/>
              </w:rPr>
              <w:t>diarrhoea</w:t>
            </w:r>
            <w:proofErr w:type="spellEnd"/>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84C66C"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Hindbrain (AP/NTS) and vagal GLP-1R activation</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BCE93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Most common events; peak during dose escalation [30,31]</w:t>
            </w:r>
          </w:p>
        </w:tc>
      </w:tr>
      <w:tr w:rsidR="00FD782F" w:rsidRPr="00A350BB" w14:paraId="64C52BC6"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E60C04"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Lean mass loss</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7F17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Negative energy balance; magnitude of weight loss</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A7070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About 25% of weight lost [39]</w:t>
            </w:r>
          </w:p>
        </w:tc>
      </w:tr>
      <w:tr w:rsidR="00FD782F" w:rsidRPr="00A350BB" w14:paraId="55B6BFE8"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2D266A"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Diabetic retinopathy worsening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7A86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Rapid fall in HbA1c</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73F62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SUSTAIN-6 HR 1.76 (1.11–2.78) [6]</w:t>
            </w:r>
          </w:p>
        </w:tc>
      </w:tr>
      <w:tr w:rsidR="00FD782F" w:rsidRPr="00A350BB" w14:paraId="45D5D8E0"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ED18A5"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Thyroid C-cell hyperplasia</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D76B53"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Dense C-cell GLP-1R in rodents, sparse in primates</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3D32E3"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Rodent-specific to date [41]</w:t>
            </w:r>
          </w:p>
        </w:tc>
      </w:tr>
      <w:tr w:rsidR="00FD782F" w:rsidRPr="00A350BB" w14:paraId="5E73EFCD"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EDDBDF"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Increased heart rate</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18D354"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Sinoatrial node GLP-1R</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7004C6"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Consistent small increase [2]</w:t>
            </w:r>
          </w:p>
        </w:tc>
      </w:tr>
      <w:tr w:rsidR="00FD782F" w:rsidRPr="00A350BB" w14:paraId="08119775" w14:textId="77777777" w:rsidTr="00A350BB">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C37D71"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NAION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B01618"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Unknown</w:t>
            </w:r>
          </w:p>
        </w:tc>
        <w:tc>
          <w:tcPr>
            <w:tcW w:w="3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4C597B" w14:textId="77777777" w:rsidR="00FD782F" w:rsidRPr="00A350BB" w:rsidRDefault="00000000" w:rsidP="00A350BB">
            <w:pPr>
              <w:rPr>
                <w:rFonts w:ascii="Baskerville Old Face" w:hAnsi="Baskerville Old Face"/>
              </w:rPr>
            </w:pPr>
            <w:r w:rsidRPr="00A350BB">
              <w:rPr>
                <w:rFonts w:ascii="Baskerville Old Face" w:hAnsi="Baskerville Old Face"/>
                <w:sz w:val="18"/>
                <w:szCs w:val="18"/>
              </w:rPr>
              <w:t>Observational association only [42]</w:t>
            </w:r>
          </w:p>
        </w:tc>
      </w:tr>
    </w:tbl>
    <w:p w14:paraId="25EC19D4" w14:textId="77777777" w:rsidR="00FD782F" w:rsidRPr="00A350BB" w:rsidRDefault="00000000" w:rsidP="00A350BB">
      <w:pPr>
        <w:spacing w:before="80" w:after="240"/>
        <w:rPr>
          <w:rFonts w:ascii="Baskerville Old Face" w:hAnsi="Baskerville Old Face"/>
        </w:rPr>
      </w:pPr>
      <w:r w:rsidRPr="00A350BB">
        <w:rPr>
          <w:rFonts w:ascii="Baskerville Old Face" w:hAnsi="Baskerville Old Face"/>
          <w:i/>
          <w:iCs/>
          <w:sz w:val="17"/>
          <w:szCs w:val="17"/>
        </w:rPr>
        <w:t>AP, area postrema; NAION, non-</w:t>
      </w:r>
      <w:proofErr w:type="spellStart"/>
      <w:r w:rsidRPr="00A350BB">
        <w:rPr>
          <w:rFonts w:ascii="Baskerville Old Face" w:hAnsi="Baskerville Old Face"/>
          <w:i/>
          <w:iCs/>
          <w:sz w:val="17"/>
          <w:szCs w:val="17"/>
        </w:rPr>
        <w:t>arteritic</w:t>
      </w:r>
      <w:proofErr w:type="spellEnd"/>
      <w:r w:rsidRPr="00A350BB">
        <w:rPr>
          <w:rFonts w:ascii="Baskerville Old Face" w:hAnsi="Baskerville Old Face"/>
          <w:i/>
          <w:iCs/>
          <w:sz w:val="17"/>
          <w:szCs w:val="17"/>
        </w:rPr>
        <w:t xml:space="preserve"> anterior </w:t>
      </w:r>
      <w:proofErr w:type="spellStart"/>
      <w:r w:rsidRPr="00A350BB">
        <w:rPr>
          <w:rFonts w:ascii="Baskerville Old Face" w:hAnsi="Baskerville Old Face"/>
          <w:i/>
          <w:iCs/>
          <w:sz w:val="17"/>
          <w:szCs w:val="17"/>
        </w:rPr>
        <w:t>ischaemic</w:t>
      </w:r>
      <w:proofErr w:type="spellEnd"/>
      <w:r w:rsidRPr="00A350BB">
        <w:rPr>
          <w:rFonts w:ascii="Baskerville Old Face" w:hAnsi="Baskerville Old Face"/>
          <w:i/>
          <w:iCs/>
          <w:sz w:val="17"/>
          <w:szCs w:val="17"/>
        </w:rPr>
        <w:t xml:space="preserve"> optic neuropathy; NTS, nucleus of the solitary tract.</w:t>
      </w:r>
    </w:p>
    <w:p w14:paraId="6DA7A7F0"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11. Knowledge gaps and future directions</w:t>
      </w:r>
    </w:p>
    <w:p w14:paraId="53E29ECB"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 xml:space="preserve">The field is moving from one or two receptors to several, and from injected peptides to oral small molecules. </w:t>
      </w:r>
      <w:proofErr w:type="spellStart"/>
      <w:r w:rsidRPr="00A350BB">
        <w:rPr>
          <w:rFonts w:ascii="Baskerville Old Face" w:hAnsi="Baskerville Old Face"/>
        </w:rPr>
        <w:t>Retatrutide</w:t>
      </w:r>
      <w:proofErr w:type="spellEnd"/>
      <w:r w:rsidRPr="00A350BB">
        <w:rPr>
          <w:rFonts w:ascii="Baskerville Old Face" w:hAnsi="Baskerville Old Face"/>
        </w:rPr>
        <w:t xml:space="preserve">, which adds glucagon receptor agonism to GIPR and GLP-1R agonism, reduced weight by 24.2% at 48 weeks with the 12 mg dose in phase 2 [36]. </w:t>
      </w:r>
      <w:proofErr w:type="spellStart"/>
      <w:r w:rsidRPr="00A350BB">
        <w:rPr>
          <w:rFonts w:ascii="Baskerville Old Face" w:hAnsi="Baskerville Old Face"/>
        </w:rPr>
        <w:t>CagriSema</w:t>
      </w:r>
      <w:proofErr w:type="spellEnd"/>
      <w:r w:rsidRPr="00A350BB">
        <w:rPr>
          <w:rFonts w:ascii="Baskerville Old Face" w:hAnsi="Baskerville Old Face"/>
        </w:rPr>
        <w:t xml:space="preserve">, which combines semaglutide with the long-acting amylin analogue </w:t>
      </w:r>
      <w:proofErr w:type="spellStart"/>
      <w:r w:rsidRPr="00A350BB">
        <w:rPr>
          <w:rFonts w:ascii="Baskerville Old Face" w:hAnsi="Baskerville Old Face"/>
        </w:rPr>
        <w:t>cagrilintide</w:t>
      </w:r>
      <w:proofErr w:type="spellEnd"/>
      <w:r w:rsidRPr="00A350BB">
        <w:rPr>
          <w:rFonts w:ascii="Baskerville Old Face" w:hAnsi="Baskerville Old Face"/>
        </w:rPr>
        <w:t xml:space="preserve">, reduced weight by 20.4% versus 3.0% with placebo at 68 weeks in REDEFINE 1 [35]. </w:t>
      </w:r>
      <w:proofErr w:type="spellStart"/>
      <w:r w:rsidRPr="00A350BB">
        <w:rPr>
          <w:rFonts w:ascii="Baskerville Old Face" w:hAnsi="Baskerville Old Face"/>
        </w:rPr>
        <w:t>Orforglipron</w:t>
      </w:r>
      <w:proofErr w:type="spellEnd"/>
      <w:r w:rsidRPr="00A350BB">
        <w:rPr>
          <w:rFonts w:ascii="Baskerville Old Face" w:hAnsi="Baskerville Old Face"/>
        </w:rPr>
        <w:t xml:space="preserve">, a once-daily oral non-peptide GLP-1R agonist, reduced weight by 11.2% with the 36 mg dose versus 2.1% with placebo at 72 weeks [34]. Further clinical trials of GIPR antagonism with </w:t>
      </w:r>
      <w:proofErr w:type="spellStart"/>
      <w:r w:rsidRPr="00A350BB">
        <w:rPr>
          <w:rFonts w:ascii="Baskerville Old Face" w:hAnsi="Baskerville Old Face"/>
        </w:rPr>
        <w:t>maridebart</w:t>
      </w:r>
      <w:proofErr w:type="spellEnd"/>
      <w:r w:rsidRPr="00A350BB">
        <w:rPr>
          <w:rFonts w:ascii="Baskerville Old Face" w:hAnsi="Baskerville Old Face"/>
        </w:rPr>
        <w:t xml:space="preserve"> </w:t>
      </w:r>
      <w:proofErr w:type="spellStart"/>
      <w:r w:rsidRPr="00A350BB">
        <w:rPr>
          <w:rFonts w:ascii="Baskerville Old Face" w:hAnsi="Baskerville Old Face"/>
        </w:rPr>
        <w:t>cafraglutide</w:t>
      </w:r>
      <w:proofErr w:type="spellEnd"/>
      <w:r w:rsidRPr="00A350BB">
        <w:rPr>
          <w:rFonts w:ascii="Baskerville Old Face" w:hAnsi="Baskerville Old Face"/>
        </w:rPr>
        <w:t xml:space="preserve"> will directly test the GIP paradox [28].</w:t>
      </w:r>
    </w:p>
    <w:p w14:paraId="37F2AE49"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Key mechanistic questions remain open:</w:t>
      </w:r>
    </w:p>
    <w:p w14:paraId="7414E681"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rPr>
        <w:t xml:space="preserve">Which tissues mediate the GIPR contribution in humans, and does </w:t>
      </w:r>
      <w:proofErr w:type="gramStart"/>
      <w:r w:rsidRPr="00A350BB">
        <w:rPr>
          <w:rFonts w:ascii="Baskerville Old Face" w:hAnsi="Baskerville Old Face"/>
        </w:rPr>
        <w:t>sustained</w:t>
      </w:r>
      <w:proofErr w:type="gramEnd"/>
      <w:r w:rsidRPr="00A350BB">
        <w:rPr>
          <w:rFonts w:ascii="Baskerville Old Face" w:hAnsi="Baskerville Old Face"/>
        </w:rPr>
        <w:t xml:space="preserve"> agonism act as functional antagonism?</w:t>
      </w:r>
    </w:p>
    <w:p w14:paraId="60DBE7B6"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rPr>
        <w:t>How much of the cardiovascular and renal benefit is independent of weight loss, and is it shared by tirzepatide?</w:t>
      </w:r>
    </w:p>
    <w:p w14:paraId="6F550CE7"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rPr>
        <w:t>Can lean mass be preserved without sacrificing fat loss?</w:t>
      </w:r>
    </w:p>
    <w:p w14:paraId="2CDCE751"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rPr>
        <w:t>How can benefit be maintained after treatment is reduced or stopped?</w:t>
      </w:r>
    </w:p>
    <w:p w14:paraId="31A2C965" w14:textId="77777777" w:rsidR="00FD782F" w:rsidRPr="00A350BB" w:rsidRDefault="00000000" w:rsidP="00A350BB">
      <w:pPr>
        <w:pStyle w:val="ListParagraph"/>
        <w:numPr>
          <w:ilvl w:val="0"/>
          <w:numId w:val="2"/>
        </w:numPr>
        <w:spacing w:after="100" w:line="300" w:lineRule="auto"/>
        <w:jc w:val="both"/>
        <w:rPr>
          <w:rFonts w:ascii="Baskerville Old Face" w:hAnsi="Baskerville Old Face"/>
        </w:rPr>
      </w:pPr>
      <w:r w:rsidRPr="00A350BB">
        <w:rPr>
          <w:rFonts w:ascii="Baskerville Old Face" w:hAnsi="Baskerville Old Face"/>
        </w:rPr>
        <w:lastRenderedPageBreak/>
        <w:t>What is the long-term safety of chronic multi-receptor agonism, including ocular and pancreatobiliary effects?</w:t>
      </w:r>
    </w:p>
    <w:p w14:paraId="4D14FFA8"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12. Conclusions</w:t>
      </w:r>
    </w:p>
    <w:p w14:paraId="39A0B350" w14:textId="77777777" w:rsidR="00FD782F" w:rsidRPr="00A350BB" w:rsidRDefault="00000000" w:rsidP="00A350BB">
      <w:pPr>
        <w:spacing w:after="160" w:line="300" w:lineRule="auto"/>
        <w:jc w:val="both"/>
        <w:rPr>
          <w:rFonts w:ascii="Baskerville Old Face" w:hAnsi="Baskerville Old Face"/>
        </w:rPr>
      </w:pPr>
      <w:r w:rsidRPr="00A350BB">
        <w:rPr>
          <w:rFonts w:ascii="Baskerville Old Face" w:hAnsi="Baskerville Old Face"/>
        </w:rPr>
        <w:t>Semaglutide acts through potent, sustained and selective GLP-1R activation across the islet, gut, brain, heart and kidney. Tirzepatide engages the same pathways through a GIPR-</w:t>
      </w:r>
      <w:proofErr w:type="spellStart"/>
      <w:r w:rsidRPr="00A350BB">
        <w:rPr>
          <w:rFonts w:ascii="Baskerville Old Face" w:hAnsi="Baskerville Old Face"/>
        </w:rPr>
        <w:t>favoured</w:t>
      </w:r>
      <w:proofErr w:type="spellEnd"/>
      <w:r w:rsidRPr="00A350BB">
        <w:rPr>
          <w:rFonts w:ascii="Baskerville Old Face" w:hAnsi="Baskerville Old Face"/>
        </w:rPr>
        <w:t xml:space="preserve">, cAMP-biased dual agonist profile that adds central GIPR </w:t>
      </w:r>
      <w:proofErr w:type="spellStart"/>
      <w:r w:rsidRPr="00A350BB">
        <w:rPr>
          <w:rFonts w:ascii="Baskerville Old Face" w:hAnsi="Baskerville Old Face"/>
        </w:rPr>
        <w:t>signalling</w:t>
      </w:r>
      <w:proofErr w:type="spellEnd"/>
      <w:r w:rsidRPr="00A350BB">
        <w:rPr>
          <w:rFonts w:ascii="Baskerville Old Face" w:hAnsi="Baskerville Old Face"/>
        </w:rPr>
        <w:t xml:space="preserve">, potential tolerability benefits and adipose-mediated insulin </w:t>
      </w:r>
      <w:proofErr w:type="spellStart"/>
      <w:r w:rsidRPr="00A350BB">
        <w:rPr>
          <w:rFonts w:ascii="Baskerville Old Face" w:hAnsi="Baskerville Old Face"/>
        </w:rPr>
        <w:t>sensitisation</w:t>
      </w:r>
      <w:proofErr w:type="spellEnd"/>
      <w:r w:rsidRPr="00A350BB">
        <w:rPr>
          <w:rFonts w:ascii="Baskerville Old Face" w:hAnsi="Baskerville Old Face"/>
        </w:rPr>
        <w:t xml:space="preserve">. These differences are consistent with tirzepatide's greater </w:t>
      </w:r>
      <w:proofErr w:type="spellStart"/>
      <w:r w:rsidRPr="00A350BB">
        <w:rPr>
          <w:rFonts w:ascii="Baskerville Old Face" w:hAnsi="Baskerville Old Face"/>
        </w:rPr>
        <w:t>glycaemic</w:t>
      </w:r>
      <w:proofErr w:type="spellEnd"/>
      <w:r w:rsidRPr="00A350BB">
        <w:rPr>
          <w:rFonts w:ascii="Baskerville Old Face" w:hAnsi="Baskerville Old Face"/>
        </w:rPr>
        <w:t xml:space="preserve"> and weight effects, whereas semaglutide currently has </w:t>
      </w:r>
      <w:proofErr w:type="gramStart"/>
      <w:r w:rsidRPr="00A350BB">
        <w:rPr>
          <w:rFonts w:ascii="Baskerville Old Face" w:hAnsi="Baskerville Old Face"/>
        </w:rPr>
        <w:t>the</w:t>
      </w:r>
      <w:proofErr w:type="gramEnd"/>
      <w:r w:rsidRPr="00A350BB">
        <w:rPr>
          <w:rFonts w:ascii="Baskerville Old Face" w:hAnsi="Baskerville Old Face"/>
        </w:rPr>
        <w:t xml:space="preserve"> broader base of proven cardiovascular and kidney outcomes. For both drugs, the dominant mechanism of weight loss is central suppression of food intake, which is why benefits persist only with continued treatment. Resolving the GIP paradox and the weight-independent mechanisms of organ protection will shape the next generation of incretin-based medicines.</w:t>
      </w:r>
    </w:p>
    <w:p w14:paraId="650BD163"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Declarations</w:t>
      </w:r>
    </w:p>
    <w:p w14:paraId="116CAE31"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Funding:</w:t>
      </w:r>
      <w:r w:rsidRPr="00A350BB">
        <w:rPr>
          <w:rFonts w:ascii="Baskerville Old Face" w:hAnsi="Baskerville Old Face"/>
        </w:rPr>
        <w:t xml:space="preserve"> [State funding sources, or “None.”]</w:t>
      </w:r>
    </w:p>
    <w:p w14:paraId="11633E82"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Competing interests:</w:t>
      </w:r>
      <w:r w:rsidRPr="00A350BB">
        <w:rPr>
          <w:rFonts w:ascii="Baskerville Old Face" w:hAnsi="Baskerville Old Face"/>
        </w:rPr>
        <w:t xml:space="preserve"> [Declare any relationships with manufacturers of incretin-based therapies, or “None.”]</w:t>
      </w:r>
    </w:p>
    <w:p w14:paraId="2761B740"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Author contributions:</w:t>
      </w:r>
      <w:r w:rsidRPr="00A350BB">
        <w:rPr>
          <w:rFonts w:ascii="Baskerville Old Face" w:hAnsi="Baskerville Old Face"/>
        </w:rPr>
        <w:t xml:space="preserve"> [Describe contributions using the </w:t>
      </w:r>
      <w:proofErr w:type="spellStart"/>
      <w:r w:rsidRPr="00A350BB">
        <w:rPr>
          <w:rFonts w:ascii="Baskerville Old Face" w:hAnsi="Baskerville Old Face"/>
        </w:rPr>
        <w:t>CRediT</w:t>
      </w:r>
      <w:proofErr w:type="spellEnd"/>
      <w:r w:rsidRPr="00A350BB">
        <w:rPr>
          <w:rFonts w:ascii="Baskerville Old Face" w:hAnsi="Baskerville Old Face"/>
        </w:rPr>
        <w:t xml:space="preserve"> taxonomy.]</w:t>
      </w:r>
    </w:p>
    <w:p w14:paraId="6ABFEAAA" w14:textId="77777777" w:rsidR="00FD782F" w:rsidRPr="00A350BB" w:rsidRDefault="00000000" w:rsidP="00A350BB">
      <w:pPr>
        <w:spacing w:after="160" w:line="300" w:lineRule="auto"/>
        <w:rPr>
          <w:rFonts w:ascii="Baskerville Old Face" w:hAnsi="Baskerville Old Face"/>
        </w:rPr>
      </w:pPr>
      <w:r w:rsidRPr="00A350BB">
        <w:rPr>
          <w:rFonts w:ascii="Baskerville Old Face" w:hAnsi="Baskerville Old Face"/>
          <w:b/>
          <w:bCs/>
        </w:rPr>
        <w:t>Use of AI tools:</w:t>
      </w:r>
      <w:r w:rsidRPr="00A350BB">
        <w:rPr>
          <w:rFonts w:ascii="Baskerville Old Face" w:hAnsi="Baskerville Old Face"/>
        </w:rPr>
        <w:t xml:space="preserve"> [Disclose any use of AI-assisted drafting according to the target journal’s policy.]</w:t>
      </w:r>
    </w:p>
    <w:p w14:paraId="5F9A627C" w14:textId="77777777" w:rsidR="00FD782F" w:rsidRPr="00A350BB" w:rsidRDefault="00000000" w:rsidP="00A350BB">
      <w:pPr>
        <w:pStyle w:val="Heading1"/>
        <w:rPr>
          <w:rFonts w:ascii="Baskerville Old Face" w:hAnsi="Baskerville Old Face"/>
          <w:color w:val="auto"/>
        </w:rPr>
      </w:pPr>
      <w:r w:rsidRPr="00A350BB">
        <w:rPr>
          <w:rFonts w:ascii="Baskerville Old Face" w:hAnsi="Baskerville Old Face"/>
          <w:color w:val="auto"/>
        </w:rPr>
        <w:t>References</w:t>
      </w:r>
    </w:p>
    <w:p w14:paraId="40C10A03"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1.</w:t>
      </w:r>
      <w:r w:rsidRPr="00A350BB">
        <w:rPr>
          <w:rFonts w:ascii="Baskerville Old Face" w:hAnsi="Baskerville Old Face"/>
          <w:sz w:val="19"/>
          <w:szCs w:val="19"/>
        </w:rPr>
        <w:tab/>
        <w:t xml:space="preserve">Nauck M, </w:t>
      </w:r>
      <w:proofErr w:type="spellStart"/>
      <w:r w:rsidRPr="00A350BB">
        <w:rPr>
          <w:rFonts w:ascii="Baskerville Old Face" w:hAnsi="Baskerville Old Face"/>
          <w:sz w:val="19"/>
          <w:szCs w:val="19"/>
        </w:rPr>
        <w:t>Stöckmann</w:t>
      </w:r>
      <w:proofErr w:type="spellEnd"/>
      <w:r w:rsidRPr="00A350BB">
        <w:rPr>
          <w:rFonts w:ascii="Baskerville Old Face" w:hAnsi="Baskerville Old Face"/>
          <w:sz w:val="19"/>
          <w:szCs w:val="19"/>
        </w:rPr>
        <w:t xml:space="preserve"> F, Ebert R, Creutzfeldt W. Reduced incretin effect in type 2 (non-insulin-dependent) diabetes. </w:t>
      </w:r>
      <w:proofErr w:type="spellStart"/>
      <w:r w:rsidRPr="00A350BB">
        <w:rPr>
          <w:rFonts w:ascii="Baskerville Old Face" w:hAnsi="Baskerville Old Face"/>
          <w:sz w:val="19"/>
          <w:szCs w:val="19"/>
        </w:rPr>
        <w:t>Diabetologia</w:t>
      </w:r>
      <w:proofErr w:type="spellEnd"/>
      <w:r w:rsidRPr="00A350BB">
        <w:rPr>
          <w:rFonts w:ascii="Baskerville Old Face" w:hAnsi="Baskerville Old Face"/>
          <w:sz w:val="19"/>
          <w:szCs w:val="19"/>
        </w:rPr>
        <w:t>. 1986;29(1):46-52. doi:</w:t>
      </w:r>
      <w:hyperlink r:id="rId9" w:history="1">
        <w:r w:rsidRPr="00A350BB">
          <w:rPr>
            <w:rStyle w:val="Hyperlink"/>
            <w:rFonts w:ascii="Baskerville Old Face" w:hAnsi="Baskerville Old Face"/>
            <w:color w:val="auto"/>
            <w:sz w:val="19"/>
            <w:szCs w:val="19"/>
          </w:rPr>
          <w:t>10.1007/BF02427280</w:t>
        </w:r>
      </w:hyperlink>
    </w:p>
    <w:p w14:paraId="48A9DC32"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t>2.</w:t>
      </w:r>
      <w:r w:rsidRPr="00A350BB">
        <w:rPr>
          <w:rFonts w:ascii="Baskerville Old Face" w:hAnsi="Baskerville Old Face"/>
          <w:sz w:val="19"/>
          <w:szCs w:val="19"/>
        </w:rPr>
        <w:tab/>
        <w:t xml:space="preserve">Drucker DJ. Mechanisms of action and therapeutic application of glucagon-like peptide-1. </w:t>
      </w:r>
      <w:proofErr w:type="spellStart"/>
      <w:r w:rsidRPr="00A350BB">
        <w:rPr>
          <w:rFonts w:ascii="Baskerville Old Face" w:hAnsi="Baskerville Old Face"/>
          <w:sz w:val="19"/>
          <w:szCs w:val="19"/>
          <w:lang w:val="nl-NL"/>
        </w:rPr>
        <w:t>Cell</w:t>
      </w:r>
      <w:proofErr w:type="spellEnd"/>
      <w:r w:rsidRPr="00A350BB">
        <w:rPr>
          <w:rFonts w:ascii="Baskerville Old Face" w:hAnsi="Baskerville Old Face"/>
          <w:sz w:val="19"/>
          <w:szCs w:val="19"/>
          <w:lang w:val="nl-NL"/>
        </w:rPr>
        <w:t xml:space="preserve"> </w:t>
      </w:r>
      <w:proofErr w:type="spellStart"/>
      <w:r w:rsidRPr="00A350BB">
        <w:rPr>
          <w:rFonts w:ascii="Baskerville Old Face" w:hAnsi="Baskerville Old Face"/>
          <w:sz w:val="19"/>
          <w:szCs w:val="19"/>
          <w:lang w:val="nl-NL"/>
        </w:rPr>
        <w:t>Metab</w:t>
      </w:r>
      <w:proofErr w:type="spellEnd"/>
      <w:r w:rsidRPr="00A350BB">
        <w:rPr>
          <w:rFonts w:ascii="Baskerville Old Face" w:hAnsi="Baskerville Old Face"/>
          <w:sz w:val="19"/>
          <w:szCs w:val="19"/>
          <w:lang w:val="nl-NL"/>
        </w:rPr>
        <w:t xml:space="preserve">. 2018;27(4):740-56.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10" w:history="1">
        <w:r w:rsidRPr="00A350BB">
          <w:rPr>
            <w:rStyle w:val="Hyperlink"/>
            <w:rFonts w:ascii="Baskerville Old Face" w:hAnsi="Baskerville Old Face"/>
            <w:color w:val="auto"/>
            <w:sz w:val="19"/>
            <w:szCs w:val="19"/>
            <w:lang w:val="nl-NL"/>
          </w:rPr>
          <w:t>10.1016/j.cmet.2018.03.001</w:t>
        </w:r>
      </w:hyperlink>
    </w:p>
    <w:p w14:paraId="37715277"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nl-NL"/>
        </w:rPr>
        <w:t>3.</w:t>
      </w:r>
      <w:r w:rsidRPr="00A350BB">
        <w:rPr>
          <w:rFonts w:ascii="Baskerville Old Face" w:hAnsi="Baskerville Old Face"/>
          <w:sz w:val="19"/>
          <w:szCs w:val="19"/>
          <w:lang w:val="nl-NL"/>
        </w:rPr>
        <w:tab/>
      </w:r>
      <w:proofErr w:type="spellStart"/>
      <w:r w:rsidRPr="00A350BB">
        <w:rPr>
          <w:rFonts w:ascii="Baskerville Old Face" w:hAnsi="Baskerville Old Face"/>
          <w:sz w:val="19"/>
          <w:szCs w:val="19"/>
          <w:lang w:val="nl-NL"/>
        </w:rPr>
        <w:t>Samms</w:t>
      </w:r>
      <w:proofErr w:type="spellEnd"/>
      <w:r w:rsidRPr="00A350BB">
        <w:rPr>
          <w:rFonts w:ascii="Baskerville Old Face" w:hAnsi="Baskerville Old Face"/>
          <w:sz w:val="19"/>
          <w:szCs w:val="19"/>
          <w:lang w:val="nl-NL"/>
        </w:rPr>
        <w:t xml:space="preserve"> RJ, </w:t>
      </w:r>
      <w:proofErr w:type="spellStart"/>
      <w:r w:rsidRPr="00A350BB">
        <w:rPr>
          <w:rFonts w:ascii="Baskerville Old Face" w:hAnsi="Baskerville Old Face"/>
          <w:sz w:val="19"/>
          <w:szCs w:val="19"/>
          <w:lang w:val="nl-NL"/>
        </w:rPr>
        <w:t>Coghlan</w:t>
      </w:r>
      <w:proofErr w:type="spellEnd"/>
      <w:r w:rsidRPr="00A350BB">
        <w:rPr>
          <w:rFonts w:ascii="Baskerville Old Face" w:hAnsi="Baskerville Old Face"/>
          <w:sz w:val="19"/>
          <w:szCs w:val="19"/>
          <w:lang w:val="nl-NL"/>
        </w:rPr>
        <w:t xml:space="preserve"> MP, Sloop KW. </w:t>
      </w:r>
      <w:r w:rsidRPr="00A350BB">
        <w:rPr>
          <w:rFonts w:ascii="Baskerville Old Face" w:hAnsi="Baskerville Old Face"/>
          <w:sz w:val="19"/>
          <w:szCs w:val="19"/>
        </w:rPr>
        <w:t xml:space="preserve">How may GIP enhance the therapeutic efficacy of GLP-1? Trends Endocrinol </w:t>
      </w:r>
      <w:proofErr w:type="spellStart"/>
      <w:r w:rsidRPr="00A350BB">
        <w:rPr>
          <w:rFonts w:ascii="Baskerville Old Face" w:hAnsi="Baskerville Old Face"/>
          <w:sz w:val="19"/>
          <w:szCs w:val="19"/>
        </w:rPr>
        <w:t>Metab</w:t>
      </w:r>
      <w:proofErr w:type="spellEnd"/>
      <w:r w:rsidRPr="00A350BB">
        <w:rPr>
          <w:rFonts w:ascii="Baskerville Old Face" w:hAnsi="Baskerville Old Face"/>
          <w:sz w:val="19"/>
          <w:szCs w:val="19"/>
        </w:rPr>
        <w:t>. 2020;31(6):410-21. doi:</w:t>
      </w:r>
      <w:hyperlink r:id="rId11" w:history="1">
        <w:r w:rsidRPr="00A350BB">
          <w:rPr>
            <w:rStyle w:val="Hyperlink"/>
            <w:rFonts w:ascii="Baskerville Old Face" w:hAnsi="Baskerville Old Face"/>
            <w:color w:val="auto"/>
            <w:sz w:val="19"/>
            <w:szCs w:val="19"/>
          </w:rPr>
          <w:t>10.1016/j.tem.2020.02.006</w:t>
        </w:r>
      </w:hyperlink>
    </w:p>
    <w:p w14:paraId="11757314"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t>4.</w:t>
      </w:r>
      <w:r w:rsidRPr="00A350BB">
        <w:rPr>
          <w:rFonts w:ascii="Baskerville Old Face" w:hAnsi="Baskerville Old Face"/>
          <w:sz w:val="19"/>
          <w:szCs w:val="19"/>
        </w:rPr>
        <w:tab/>
        <w:t xml:space="preserve">Nauck MA, </w:t>
      </w:r>
      <w:proofErr w:type="spellStart"/>
      <w:r w:rsidRPr="00A350BB">
        <w:rPr>
          <w:rFonts w:ascii="Baskerville Old Face" w:hAnsi="Baskerville Old Face"/>
          <w:sz w:val="19"/>
          <w:szCs w:val="19"/>
        </w:rPr>
        <w:t>Heimesaat</w:t>
      </w:r>
      <w:proofErr w:type="spellEnd"/>
      <w:r w:rsidRPr="00A350BB">
        <w:rPr>
          <w:rFonts w:ascii="Baskerville Old Face" w:hAnsi="Baskerville Old Face"/>
          <w:sz w:val="19"/>
          <w:szCs w:val="19"/>
        </w:rPr>
        <w:t xml:space="preserve"> MM, Orskov C, Holst JJ, Ebert R, Creutzfeldt W. Preserved incretin activity of glucagon-like peptide 1 [7-36 amide] but not of synthetic human gastric inhibitory polypeptide in patients with type-2 diabetes mellitus. </w:t>
      </w:r>
      <w:r w:rsidRPr="00A350BB">
        <w:rPr>
          <w:rFonts w:ascii="Baskerville Old Face" w:hAnsi="Baskerville Old Face"/>
          <w:sz w:val="19"/>
          <w:szCs w:val="19"/>
          <w:lang w:val="nl-NL"/>
        </w:rPr>
        <w:t xml:space="preserve">J </w:t>
      </w:r>
      <w:proofErr w:type="spellStart"/>
      <w:r w:rsidRPr="00A350BB">
        <w:rPr>
          <w:rFonts w:ascii="Baskerville Old Face" w:hAnsi="Baskerville Old Face"/>
          <w:sz w:val="19"/>
          <w:szCs w:val="19"/>
          <w:lang w:val="nl-NL"/>
        </w:rPr>
        <w:t>Clin</w:t>
      </w:r>
      <w:proofErr w:type="spellEnd"/>
      <w:r w:rsidRPr="00A350BB">
        <w:rPr>
          <w:rFonts w:ascii="Baskerville Old Face" w:hAnsi="Baskerville Old Face"/>
          <w:sz w:val="19"/>
          <w:szCs w:val="19"/>
          <w:lang w:val="nl-NL"/>
        </w:rPr>
        <w:t xml:space="preserve"> </w:t>
      </w:r>
      <w:proofErr w:type="spellStart"/>
      <w:r w:rsidRPr="00A350BB">
        <w:rPr>
          <w:rFonts w:ascii="Baskerville Old Face" w:hAnsi="Baskerville Old Face"/>
          <w:sz w:val="19"/>
          <w:szCs w:val="19"/>
          <w:lang w:val="nl-NL"/>
        </w:rPr>
        <w:t>Invest</w:t>
      </w:r>
      <w:proofErr w:type="spellEnd"/>
      <w:r w:rsidRPr="00A350BB">
        <w:rPr>
          <w:rFonts w:ascii="Baskerville Old Face" w:hAnsi="Baskerville Old Face"/>
          <w:sz w:val="19"/>
          <w:szCs w:val="19"/>
          <w:lang w:val="nl-NL"/>
        </w:rPr>
        <w:t xml:space="preserve">. 1993;91(1):301-7.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12" w:history="1">
        <w:r w:rsidRPr="00A350BB">
          <w:rPr>
            <w:rStyle w:val="Hyperlink"/>
            <w:rFonts w:ascii="Baskerville Old Face" w:hAnsi="Baskerville Old Face"/>
            <w:color w:val="auto"/>
            <w:sz w:val="19"/>
            <w:szCs w:val="19"/>
            <w:lang w:val="nl-NL"/>
          </w:rPr>
          <w:t>10.1172/JCI116186</w:t>
        </w:r>
      </w:hyperlink>
    </w:p>
    <w:p w14:paraId="61CC838E"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nl-NL"/>
        </w:rPr>
        <w:t>5.</w:t>
      </w:r>
      <w:r w:rsidRPr="00A350BB">
        <w:rPr>
          <w:rFonts w:ascii="Baskerville Old Face" w:hAnsi="Baskerville Old Face"/>
          <w:sz w:val="19"/>
          <w:szCs w:val="19"/>
          <w:lang w:val="nl-NL"/>
        </w:rPr>
        <w:tab/>
        <w:t xml:space="preserve">Lau J, </w:t>
      </w:r>
      <w:proofErr w:type="spellStart"/>
      <w:r w:rsidRPr="00A350BB">
        <w:rPr>
          <w:rFonts w:ascii="Baskerville Old Face" w:hAnsi="Baskerville Old Face"/>
          <w:sz w:val="19"/>
          <w:szCs w:val="19"/>
          <w:lang w:val="nl-NL"/>
        </w:rPr>
        <w:t>Bloch</w:t>
      </w:r>
      <w:proofErr w:type="spellEnd"/>
      <w:r w:rsidRPr="00A350BB">
        <w:rPr>
          <w:rFonts w:ascii="Baskerville Old Face" w:hAnsi="Baskerville Old Face"/>
          <w:sz w:val="19"/>
          <w:szCs w:val="19"/>
          <w:lang w:val="nl-NL"/>
        </w:rPr>
        <w:t xml:space="preserve"> P, </w:t>
      </w:r>
      <w:proofErr w:type="spellStart"/>
      <w:r w:rsidRPr="00A350BB">
        <w:rPr>
          <w:rFonts w:ascii="Baskerville Old Face" w:hAnsi="Baskerville Old Face"/>
          <w:sz w:val="19"/>
          <w:szCs w:val="19"/>
          <w:lang w:val="nl-NL"/>
        </w:rPr>
        <w:t>Schäffer</w:t>
      </w:r>
      <w:proofErr w:type="spellEnd"/>
      <w:r w:rsidRPr="00A350BB">
        <w:rPr>
          <w:rFonts w:ascii="Baskerville Old Face" w:hAnsi="Baskerville Old Face"/>
          <w:sz w:val="19"/>
          <w:szCs w:val="19"/>
          <w:lang w:val="nl-NL"/>
        </w:rPr>
        <w:t xml:space="preserve"> L, et al. </w:t>
      </w:r>
      <w:r w:rsidRPr="00A350BB">
        <w:rPr>
          <w:rFonts w:ascii="Baskerville Old Face" w:hAnsi="Baskerville Old Face"/>
          <w:sz w:val="19"/>
          <w:szCs w:val="19"/>
        </w:rPr>
        <w:t>Discovery of the once-weekly glucagon-like peptide-1 (GLP-1) analogue semaglutide. J Med Chem. 2015;58(18):7370-80. doi:</w:t>
      </w:r>
      <w:hyperlink r:id="rId13" w:history="1">
        <w:r w:rsidRPr="00A350BB">
          <w:rPr>
            <w:rStyle w:val="Hyperlink"/>
            <w:rFonts w:ascii="Baskerville Old Face" w:hAnsi="Baskerville Old Face"/>
            <w:color w:val="auto"/>
            <w:sz w:val="19"/>
            <w:szCs w:val="19"/>
          </w:rPr>
          <w:t>10.1021/acs.jmedchem.5b00726</w:t>
        </w:r>
      </w:hyperlink>
    </w:p>
    <w:p w14:paraId="7DDFCEC0"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t>6.</w:t>
      </w:r>
      <w:r w:rsidRPr="00A350BB">
        <w:rPr>
          <w:rFonts w:ascii="Baskerville Old Face" w:hAnsi="Baskerville Old Face"/>
          <w:sz w:val="19"/>
          <w:szCs w:val="19"/>
        </w:rPr>
        <w:tab/>
        <w:t xml:space="preserve">Marso SP, Bain SC, Consoli A, et al. Semaglutide and cardiovascular outcomes in patients with type 2 diabetes. </w:t>
      </w:r>
      <w:r w:rsidRPr="00A350BB">
        <w:rPr>
          <w:rFonts w:ascii="Baskerville Old Face" w:hAnsi="Baskerville Old Face"/>
          <w:sz w:val="19"/>
          <w:szCs w:val="19"/>
          <w:lang w:val="nl-NL"/>
        </w:rPr>
        <w:t xml:space="preserve">N </w:t>
      </w:r>
      <w:proofErr w:type="spellStart"/>
      <w:r w:rsidRPr="00A350BB">
        <w:rPr>
          <w:rFonts w:ascii="Baskerville Old Face" w:hAnsi="Baskerville Old Face"/>
          <w:sz w:val="19"/>
          <w:szCs w:val="19"/>
          <w:lang w:val="nl-NL"/>
        </w:rPr>
        <w:t>Engl</w:t>
      </w:r>
      <w:proofErr w:type="spellEnd"/>
      <w:r w:rsidRPr="00A350BB">
        <w:rPr>
          <w:rFonts w:ascii="Baskerville Old Face" w:hAnsi="Baskerville Old Face"/>
          <w:sz w:val="19"/>
          <w:szCs w:val="19"/>
          <w:lang w:val="nl-NL"/>
        </w:rPr>
        <w:t xml:space="preserve"> J </w:t>
      </w:r>
      <w:proofErr w:type="spellStart"/>
      <w:r w:rsidRPr="00A350BB">
        <w:rPr>
          <w:rFonts w:ascii="Baskerville Old Face" w:hAnsi="Baskerville Old Face"/>
          <w:sz w:val="19"/>
          <w:szCs w:val="19"/>
          <w:lang w:val="nl-NL"/>
        </w:rPr>
        <w:t>Med</w:t>
      </w:r>
      <w:proofErr w:type="spellEnd"/>
      <w:r w:rsidRPr="00A350BB">
        <w:rPr>
          <w:rFonts w:ascii="Baskerville Old Face" w:hAnsi="Baskerville Old Face"/>
          <w:sz w:val="19"/>
          <w:szCs w:val="19"/>
          <w:lang w:val="nl-NL"/>
        </w:rPr>
        <w:t xml:space="preserve">. 2016;375(19):1834-44.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14" w:history="1">
        <w:r w:rsidRPr="00A350BB">
          <w:rPr>
            <w:rStyle w:val="Hyperlink"/>
            <w:rFonts w:ascii="Baskerville Old Face" w:hAnsi="Baskerville Old Face"/>
            <w:color w:val="auto"/>
            <w:sz w:val="19"/>
            <w:szCs w:val="19"/>
            <w:lang w:val="nl-NL"/>
          </w:rPr>
          <w:t>10.1056/NEJMoa1607141</w:t>
        </w:r>
      </w:hyperlink>
    </w:p>
    <w:p w14:paraId="0E0B98BC"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nl-NL"/>
        </w:rPr>
        <w:t>7.</w:t>
      </w:r>
      <w:r w:rsidRPr="00A350BB">
        <w:rPr>
          <w:rFonts w:ascii="Baskerville Old Face" w:hAnsi="Baskerville Old Face"/>
          <w:sz w:val="19"/>
          <w:szCs w:val="19"/>
          <w:lang w:val="nl-NL"/>
        </w:rPr>
        <w:tab/>
        <w:t xml:space="preserve">Coskun T, Sloop KW, </w:t>
      </w:r>
      <w:proofErr w:type="spellStart"/>
      <w:r w:rsidRPr="00A350BB">
        <w:rPr>
          <w:rFonts w:ascii="Baskerville Old Face" w:hAnsi="Baskerville Old Face"/>
          <w:sz w:val="19"/>
          <w:szCs w:val="19"/>
          <w:lang w:val="nl-NL"/>
        </w:rPr>
        <w:t>Loghin</w:t>
      </w:r>
      <w:proofErr w:type="spellEnd"/>
      <w:r w:rsidRPr="00A350BB">
        <w:rPr>
          <w:rFonts w:ascii="Baskerville Old Face" w:hAnsi="Baskerville Old Face"/>
          <w:sz w:val="19"/>
          <w:szCs w:val="19"/>
          <w:lang w:val="nl-NL"/>
        </w:rPr>
        <w:t xml:space="preserve"> C, et al. </w:t>
      </w:r>
      <w:r w:rsidRPr="00A350BB">
        <w:rPr>
          <w:rFonts w:ascii="Baskerville Old Face" w:hAnsi="Baskerville Old Face"/>
          <w:sz w:val="19"/>
          <w:szCs w:val="19"/>
        </w:rPr>
        <w:t xml:space="preserve">LY3298176, a novel dual GIP and GLP-1 receptor agonist for the treatment of type 2 diabetes mellitus: from discovery to clinical proof of concept. Mol </w:t>
      </w:r>
      <w:proofErr w:type="spellStart"/>
      <w:r w:rsidRPr="00A350BB">
        <w:rPr>
          <w:rFonts w:ascii="Baskerville Old Face" w:hAnsi="Baskerville Old Face"/>
          <w:sz w:val="19"/>
          <w:szCs w:val="19"/>
        </w:rPr>
        <w:t>Metab</w:t>
      </w:r>
      <w:proofErr w:type="spellEnd"/>
      <w:r w:rsidRPr="00A350BB">
        <w:rPr>
          <w:rFonts w:ascii="Baskerville Old Face" w:hAnsi="Baskerville Old Face"/>
          <w:sz w:val="19"/>
          <w:szCs w:val="19"/>
        </w:rPr>
        <w:t>. 2018;18:3-14. doi:</w:t>
      </w:r>
      <w:hyperlink r:id="rId15" w:history="1">
        <w:r w:rsidRPr="00A350BB">
          <w:rPr>
            <w:rStyle w:val="Hyperlink"/>
            <w:rFonts w:ascii="Baskerville Old Face" w:hAnsi="Baskerville Old Face"/>
            <w:color w:val="auto"/>
            <w:sz w:val="19"/>
            <w:szCs w:val="19"/>
          </w:rPr>
          <w:t>10.1016/j.molmet.2018.09.009</w:t>
        </w:r>
      </w:hyperlink>
    </w:p>
    <w:p w14:paraId="6DEF16DF"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8.</w:t>
      </w:r>
      <w:r w:rsidRPr="00A350BB">
        <w:rPr>
          <w:rFonts w:ascii="Baskerville Old Face" w:hAnsi="Baskerville Old Face"/>
          <w:sz w:val="19"/>
          <w:szCs w:val="19"/>
        </w:rPr>
        <w:tab/>
        <w:t>Willard FS, Douros JD, Gabe MBN, et al. Tirzepatide is an imbalanced and biased dual GIP and GLP-1 receptor agonist. JCI Insight. 2020;5(17):e140532. doi:</w:t>
      </w:r>
      <w:hyperlink r:id="rId16" w:history="1">
        <w:r w:rsidRPr="00A350BB">
          <w:rPr>
            <w:rStyle w:val="Hyperlink"/>
            <w:rFonts w:ascii="Baskerville Old Face" w:hAnsi="Baskerville Old Face"/>
            <w:color w:val="auto"/>
            <w:sz w:val="19"/>
            <w:szCs w:val="19"/>
          </w:rPr>
          <w:t>10.1172/jci.insight.140532</w:t>
        </w:r>
      </w:hyperlink>
    </w:p>
    <w:p w14:paraId="084D5A28"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rPr>
        <w:t>9.</w:t>
      </w:r>
      <w:r w:rsidRPr="00A350BB">
        <w:rPr>
          <w:rFonts w:ascii="Baskerville Old Face" w:hAnsi="Baskerville Old Face"/>
          <w:sz w:val="19"/>
          <w:szCs w:val="19"/>
        </w:rPr>
        <w:tab/>
        <w:t xml:space="preserve">Sun B, Willard FS, Feng D, et al. Structural determinants of dual incretin receptor agonism by tirzepatide. </w:t>
      </w:r>
      <w:r w:rsidRPr="00A350BB">
        <w:rPr>
          <w:rFonts w:ascii="Baskerville Old Face" w:hAnsi="Baskerville Old Face"/>
          <w:sz w:val="19"/>
          <w:szCs w:val="19"/>
          <w:lang w:val="pt-BR"/>
        </w:rPr>
        <w:t>Proc Natl Acad Sci U S A. 2022;119(13):e2116506119. doi:</w:t>
      </w:r>
      <w:r w:rsidRPr="00A350BB">
        <w:rPr>
          <w:rFonts w:ascii="Baskerville Old Face" w:hAnsi="Baskerville Old Face"/>
        </w:rPr>
        <w:fldChar w:fldCharType="begin"/>
      </w:r>
      <w:r w:rsidRPr="00A350BB">
        <w:rPr>
          <w:rFonts w:ascii="Baskerville Old Face" w:hAnsi="Baskerville Old Face"/>
          <w:lang w:val="pt-BR"/>
        </w:rPr>
        <w:instrText>HYPERLINK "https://doi.org/10.1073/pnas.2116506119"</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10.1073/pnas.2116506119</w:t>
      </w:r>
      <w:r w:rsidRPr="00A350BB">
        <w:rPr>
          <w:rFonts w:ascii="Baskerville Old Face" w:hAnsi="Baskerville Old Face"/>
        </w:rPr>
        <w:fldChar w:fldCharType="end"/>
      </w:r>
    </w:p>
    <w:p w14:paraId="1A886ECD"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lastRenderedPageBreak/>
        <w:t>10.</w:t>
      </w:r>
      <w:r w:rsidRPr="00A350BB">
        <w:rPr>
          <w:rFonts w:ascii="Baskerville Old Face" w:hAnsi="Baskerville Old Face"/>
          <w:sz w:val="19"/>
          <w:szCs w:val="19"/>
        </w:rPr>
        <w:tab/>
        <w:t xml:space="preserve">Heise T, Mari A, DeVries JH, et al. Effects of subcutaneous tirzepatide versus placebo or semaglutide on pancreatic islet function and insulin sensitivity in adults with type 2 diabetes: a </w:t>
      </w:r>
      <w:proofErr w:type="spellStart"/>
      <w:r w:rsidRPr="00A350BB">
        <w:rPr>
          <w:rFonts w:ascii="Baskerville Old Face" w:hAnsi="Baskerville Old Face"/>
          <w:sz w:val="19"/>
          <w:szCs w:val="19"/>
        </w:rPr>
        <w:t>multicentre</w:t>
      </w:r>
      <w:proofErr w:type="spellEnd"/>
      <w:r w:rsidRPr="00A350BB">
        <w:rPr>
          <w:rFonts w:ascii="Baskerville Old Face" w:hAnsi="Baskerville Old Face"/>
          <w:sz w:val="19"/>
          <w:szCs w:val="19"/>
        </w:rPr>
        <w:t xml:space="preserve">, </w:t>
      </w:r>
      <w:proofErr w:type="spellStart"/>
      <w:r w:rsidRPr="00A350BB">
        <w:rPr>
          <w:rFonts w:ascii="Baskerville Old Face" w:hAnsi="Baskerville Old Face"/>
          <w:sz w:val="19"/>
          <w:szCs w:val="19"/>
        </w:rPr>
        <w:t>randomised</w:t>
      </w:r>
      <w:proofErr w:type="spellEnd"/>
      <w:r w:rsidRPr="00A350BB">
        <w:rPr>
          <w:rFonts w:ascii="Baskerville Old Face" w:hAnsi="Baskerville Old Face"/>
          <w:sz w:val="19"/>
          <w:szCs w:val="19"/>
        </w:rPr>
        <w:t xml:space="preserve">, double-blind, parallel-arm, phase 1 clinical trial. Lancet Diabetes Endocrinol. </w:t>
      </w:r>
      <w:r w:rsidRPr="00A350BB">
        <w:rPr>
          <w:rFonts w:ascii="Baskerville Old Face" w:hAnsi="Baskerville Old Face"/>
          <w:sz w:val="19"/>
          <w:szCs w:val="19"/>
          <w:lang w:val="nl-NL"/>
        </w:rPr>
        <w:t xml:space="preserve">2022;10(6):418-29.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17" w:history="1">
        <w:r w:rsidRPr="00A350BB">
          <w:rPr>
            <w:rStyle w:val="Hyperlink"/>
            <w:rFonts w:ascii="Baskerville Old Face" w:hAnsi="Baskerville Old Face"/>
            <w:color w:val="auto"/>
            <w:sz w:val="19"/>
            <w:szCs w:val="19"/>
            <w:lang w:val="nl-NL"/>
          </w:rPr>
          <w:t>10.1016/S2213-8587(22)00085-7</w:t>
        </w:r>
      </w:hyperlink>
    </w:p>
    <w:p w14:paraId="7F0F5FC6"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nl-NL"/>
        </w:rPr>
        <w:t>11.</w:t>
      </w:r>
      <w:r w:rsidRPr="00A350BB">
        <w:rPr>
          <w:rFonts w:ascii="Baskerville Old Face" w:hAnsi="Baskerville Old Face"/>
          <w:sz w:val="19"/>
          <w:szCs w:val="19"/>
          <w:lang w:val="nl-NL"/>
        </w:rPr>
        <w:tab/>
      </w:r>
      <w:proofErr w:type="spellStart"/>
      <w:r w:rsidRPr="00A350BB">
        <w:rPr>
          <w:rFonts w:ascii="Baskerville Old Face" w:hAnsi="Baskerville Old Face"/>
          <w:sz w:val="19"/>
          <w:szCs w:val="19"/>
          <w:lang w:val="nl-NL"/>
        </w:rPr>
        <w:t>Samms</w:t>
      </w:r>
      <w:proofErr w:type="spellEnd"/>
      <w:r w:rsidRPr="00A350BB">
        <w:rPr>
          <w:rFonts w:ascii="Baskerville Old Face" w:hAnsi="Baskerville Old Face"/>
          <w:sz w:val="19"/>
          <w:szCs w:val="19"/>
          <w:lang w:val="nl-NL"/>
        </w:rPr>
        <w:t xml:space="preserve"> RJ, </w:t>
      </w:r>
      <w:proofErr w:type="spellStart"/>
      <w:r w:rsidRPr="00A350BB">
        <w:rPr>
          <w:rFonts w:ascii="Baskerville Old Face" w:hAnsi="Baskerville Old Face"/>
          <w:sz w:val="19"/>
          <w:szCs w:val="19"/>
          <w:lang w:val="nl-NL"/>
        </w:rPr>
        <w:t>Christe</w:t>
      </w:r>
      <w:proofErr w:type="spellEnd"/>
      <w:r w:rsidRPr="00A350BB">
        <w:rPr>
          <w:rFonts w:ascii="Baskerville Old Face" w:hAnsi="Baskerville Old Face"/>
          <w:sz w:val="19"/>
          <w:szCs w:val="19"/>
          <w:lang w:val="nl-NL"/>
        </w:rPr>
        <w:t xml:space="preserve"> ME, Collins KA, et al. </w:t>
      </w:r>
      <w:r w:rsidRPr="00A350BB">
        <w:rPr>
          <w:rFonts w:ascii="Baskerville Old Face" w:hAnsi="Baskerville Old Face"/>
          <w:sz w:val="19"/>
          <w:szCs w:val="19"/>
        </w:rPr>
        <w:t>GIPR agonism mediates weight-independent insulin sensitization by tirzepatide in obese mice. J Clin Invest. 2021;131(12):e146353. doi:</w:t>
      </w:r>
      <w:hyperlink r:id="rId18" w:history="1">
        <w:r w:rsidRPr="00A350BB">
          <w:rPr>
            <w:rStyle w:val="Hyperlink"/>
            <w:rFonts w:ascii="Baskerville Old Face" w:hAnsi="Baskerville Old Face"/>
            <w:color w:val="auto"/>
            <w:sz w:val="19"/>
            <w:szCs w:val="19"/>
          </w:rPr>
          <w:t>10.1172/JCI146353</w:t>
        </w:r>
      </w:hyperlink>
    </w:p>
    <w:p w14:paraId="0BDA1CB4"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rPr>
        <w:t>12.</w:t>
      </w:r>
      <w:r w:rsidRPr="00A350BB">
        <w:rPr>
          <w:rFonts w:ascii="Baskerville Old Face" w:hAnsi="Baskerville Old Face"/>
          <w:sz w:val="19"/>
          <w:szCs w:val="19"/>
        </w:rPr>
        <w:tab/>
        <w:t xml:space="preserve">Friedrichsen M, </w:t>
      </w:r>
      <w:proofErr w:type="spellStart"/>
      <w:r w:rsidRPr="00A350BB">
        <w:rPr>
          <w:rFonts w:ascii="Baskerville Old Face" w:hAnsi="Baskerville Old Face"/>
          <w:sz w:val="19"/>
          <w:szCs w:val="19"/>
        </w:rPr>
        <w:t>Breitschaft</w:t>
      </w:r>
      <w:proofErr w:type="spellEnd"/>
      <w:r w:rsidRPr="00A350BB">
        <w:rPr>
          <w:rFonts w:ascii="Baskerville Old Face" w:hAnsi="Baskerville Old Face"/>
          <w:sz w:val="19"/>
          <w:szCs w:val="19"/>
        </w:rPr>
        <w:t xml:space="preserve"> A, Tadayon S, </w:t>
      </w:r>
      <w:proofErr w:type="spellStart"/>
      <w:r w:rsidRPr="00A350BB">
        <w:rPr>
          <w:rFonts w:ascii="Baskerville Old Face" w:hAnsi="Baskerville Old Face"/>
          <w:sz w:val="19"/>
          <w:szCs w:val="19"/>
        </w:rPr>
        <w:t>Wizert</w:t>
      </w:r>
      <w:proofErr w:type="spellEnd"/>
      <w:r w:rsidRPr="00A350BB">
        <w:rPr>
          <w:rFonts w:ascii="Baskerville Old Face" w:hAnsi="Baskerville Old Face"/>
          <w:sz w:val="19"/>
          <w:szCs w:val="19"/>
        </w:rPr>
        <w:t xml:space="preserve"> A, Skovgaard D. The effect of </w:t>
      </w:r>
      <w:proofErr w:type="gramStart"/>
      <w:r w:rsidRPr="00A350BB">
        <w:rPr>
          <w:rFonts w:ascii="Baskerville Old Face" w:hAnsi="Baskerville Old Face"/>
          <w:sz w:val="19"/>
          <w:szCs w:val="19"/>
        </w:rPr>
        <w:t>semaglutide</w:t>
      </w:r>
      <w:proofErr w:type="gramEnd"/>
      <w:r w:rsidRPr="00A350BB">
        <w:rPr>
          <w:rFonts w:ascii="Baskerville Old Face" w:hAnsi="Baskerville Old Face"/>
          <w:sz w:val="19"/>
          <w:szCs w:val="19"/>
        </w:rPr>
        <w:t xml:space="preserve"> 2.4 mg once weekly on energy intake, appetite, control of eating, and gastric emptying in adults with obesity. </w:t>
      </w:r>
      <w:r w:rsidRPr="00A350BB">
        <w:rPr>
          <w:rFonts w:ascii="Baskerville Old Face" w:hAnsi="Baskerville Old Face"/>
          <w:sz w:val="19"/>
          <w:szCs w:val="19"/>
          <w:lang w:val="pt-BR"/>
        </w:rPr>
        <w:t>Diabetes Obes Metab. 2021;23(3):754-62. doi:</w:t>
      </w:r>
      <w:r w:rsidRPr="00A350BB">
        <w:rPr>
          <w:rFonts w:ascii="Baskerville Old Face" w:hAnsi="Baskerville Old Face"/>
        </w:rPr>
        <w:fldChar w:fldCharType="begin"/>
      </w:r>
      <w:r w:rsidRPr="00A350BB">
        <w:rPr>
          <w:rFonts w:ascii="Baskerville Old Face" w:hAnsi="Baskerville Old Face"/>
          <w:lang w:val="pt-BR"/>
        </w:rPr>
        <w:instrText>HYPERLINK "https://doi.org/10.1111/dom.14280"</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10.1111/dom.14280</w:t>
      </w:r>
      <w:r w:rsidRPr="00A350BB">
        <w:rPr>
          <w:rFonts w:ascii="Baskerville Old Face" w:hAnsi="Baskerville Old Face"/>
        </w:rPr>
        <w:fldChar w:fldCharType="end"/>
      </w:r>
    </w:p>
    <w:p w14:paraId="498BDCEA"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lang w:val="pt-BR"/>
        </w:rPr>
        <w:t>13.</w:t>
      </w:r>
      <w:r w:rsidRPr="00A350BB">
        <w:rPr>
          <w:rFonts w:ascii="Baskerville Old Face" w:hAnsi="Baskerville Old Face"/>
          <w:sz w:val="19"/>
          <w:szCs w:val="19"/>
          <w:lang w:val="pt-BR"/>
        </w:rPr>
        <w:tab/>
        <w:t xml:space="preserve">Gabery S, Salinas CG, Paulsen SJ, et al. </w:t>
      </w:r>
      <w:r w:rsidRPr="00A350BB">
        <w:rPr>
          <w:rFonts w:ascii="Baskerville Old Face" w:hAnsi="Baskerville Old Face"/>
          <w:sz w:val="19"/>
          <w:szCs w:val="19"/>
        </w:rPr>
        <w:t xml:space="preserve">Semaglutide lowers body weight in rodents via distributed neural pathways. </w:t>
      </w:r>
      <w:r w:rsidRPr="00A350BB">
        <w:rPr>
          <w:rFonts w:ascii="Baskerville Old Face" w:hAnsi="Baskerville Old Face"/>
          <w:sz w:val="19"/>
          <w:szCs w:val="19"/>
          <w:lang w:val="pt-BR"/>
        </w:rPr>
        <w:t>JCI Insight. 2020;5(6):e133429. doi:</w:t>
      </w:r>
      <w:r w:rsidRPr="00A350BB">
        <w:rPr>
          <w:rFonts w:ascii="Baskerville Old Face" w:hAnsi="Baskerville Old Face"/>
        </w:rPr>
        <w:fldChar w:fldCharType="begin"/>
      </w:r>
      <w:r w:rsidRPr="00A350BB">
        <w:rPr>
          <w:rFonts w:ascii="Baskerville Old Face" w:hAnsi="Baskerville Old Face"/>
          <w:lang w:val="pt-BR"/>
        </w:rPr>
        <w:instrText>HYPERLINK "https://doi.org/10.1172/jci.insight.133429"</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10.1172/jci.insight.133429</w:t>
      </w:r>
      <w:r w:rsidRPr="00A350BB">
        <w:rPr>
          <w:rFonts w:ascii="Baskerville Old Face" w:hAnsi="Baskerville Old Face"/>
        </w:rPr>
        <w:fldChar w:fldCharType="end"/>
      </w:r>
    </w:p>
    <w:p w14:paraId="15A6C757"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pt-BR"/>
        </w:rPr>
        <w:t>14.</w:t>
      </w:r>
      <w:r w:rsidRPr="00A350BB">
        <w:rPr>
          <w:rFonts w:ascii="Baskerville Old Face" w:hAnsi="Baskerville Old Face"/>
          <w:sz w:val="19"/>
          <w:szCs w:val="19"/>
          <w:lang w:val="pt-BR"/>
        </w:rPr>
        <w:tab/>
        <w:t xml:space="preserve">Secher A, Jelsing J, Baquero AF, et al. </w:t>
      </w:r>
      <w:r w:rsidRPr="00A350BB">
        <w:rPr>
          <w:rFonts w:ascii="Baskerville Old Face" w:hAnsi="Baskerville Old Face"/>
          <w:sz w:val="19"/>
          <w:szCs w:val="19"/>
        </w:rPr>
        <w:t>The arcuate nucleus mediates GLP-1 receptor agonist liraglutide-dependent weight loss. J Clin Invest. 2014;124(10):4473-88. doi:</w:t>
      </w:r>
      <w:hyperlink r:id="rId19" w:history="1">
        <w:r w:rsidRPr="00A350BB">
          <w:rPr>
            <w:rStyle w:val="Hyperlink"/>
            <w:rFonts w:ascii="Baskerville Old Face" w:hAnsi="Baskerville Old Face"/>
            <w:color w:val="auto"/>
            <w:sz w:val="19"/>
            <w:szCs w:val="19"/>
          </w:rPr>
          <w:t>10.1172/JCI75276</w:t>
        </w:r>
      </w:hyperlink>
    </w:p>
    <w:p w14:paraId="3A3A0F46"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15.</w:t>
      </w:r>
      <w:r w:rsidRPr="00A350BB">
        <w:rPr>
          <w:rFonts w:ascii="Baskerville Old Face" w:hAnsi="Baskerville Old Face"/>
          <w:sz w:val="19"/>
          <w:szCs w:val="19"/>
        </w:rPr>
        <w:tab/>
        <w:t>Hendershot CS, Bremmer MP, Paladino MB, et al. Once-weekly semaglutide in adults with alcohol use disorder: a randomized clinical trial. JAMA Psychiatry. 2025;82(4):395-405. doi:</w:t>
      </w:r>
      <w:hyperlink r:id="rId20" w:history="1">
        <w:r w:rsidRPr="00A350BB">
          <w:rPr>
            <w:rStyle w:val="Hyperlink"/>
            <w:rFonts w:ascii="Baskerville Old Face" w:hAnsi="Baskerville Old Face"/>
            <w:color w:val="auto"/>
            <w:sz w:val="19"/>
            <w:szCs w:val="19"/>
          </w:rPr>
          <w:t>10.1001/jamapsychiatry.2024.4789</w:t>
        </w:r>
      </w:hyperlink>
    </w:p>
    <w:p w14:paraId="6068D2E2"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16.</w:t>
      </w:r>
      <w:r w:rsidRPr="00A350BB">
        <w:rPr>
          <w:rFonts w:ascii="Baskerville Old Face" w:hAnsi="Baskerville Old Face"/>
          <w:sz w:val="19"/>
          <w:szCs w:val="19"/>
        </w:rPr>
        <w:tab/>
        <w:t xml:space="preserve">Zhang Q, </w:t>
      </w:r>
      <w:proofErr w:type="spellStart"/>
      <w:r w:rsidRPr="00A350BB">
        <w:rPr>
          <w:rFonts w:ascii="Baskerville Old Face" w:hAnsi="Baskerville Old Face"/>
          <w:sz w:val="19"/>
          <w:szCs w:val="19"/>
        </w:rPr>
        <w:t>Delessa</w:t>
      </w:r>
      <w:proofErr w:type="spellEnd"/>
      <w:r w:rsidRPr="00A350BB">
        <w:rPr>
          <w:rFonts w:ascii="Baskerville Old Face" w:hAnsi="Baskerville Old Face"/>
          <w:sz w:val="19"/>
          <w:szCs w:val="19"/>
        </w:rPr>
        <w:t xml:space="preserve"> CT, Augustin R, et al. The glucose-dependent insulinotropic polypeptide (GIP) regulates body weight and food intake via CNS-GIPR signaling. Cell </w:t>
      </w:r>
      <w:proofErr w:type="spellStart"/>
      <w:r w:rsidRPr="00A350BB">
        <w:rPr>
          <w:rFonts w:ascii="Baskerville Old Face" w:hAnsi="Baskerville Old Face"/>
          <w:sz w:val="19"/>
          <w:szCs w:val="19"/>
        </w:rPr>
        <w:t>Metab</w:t>
      </w:r>
      <w:proofErr w:type="spellEnd"/>
      <w:r w:rsidRPr="00A350BB">
        <w:rPr>
          <w:rFonts w:ascii="Baskerville Old Face" w:hAnsi="Baskerville Old Face"/>
          <w:sz w:val="19"/>
          <w:szCs w:val="19"/>
        </w:rPr>
        <w:t>. 2021;33(4):833-44.e5. doi:</w:t>
      </w:r>
      <w:hyperlink r:id="rId21" w:history="1">
        <w:r w:rsidRPr="00A350BB">
          <w:rPr>
            <w:rStyle w:val="Hyperlink"/>
            <w:rFonts w:ascii="Baskerville Old Face" w:hAnsi="Baskerville Old Face"/>
            <w:color w:val="auto"/>
            <w:sz w:val="19"/>
            <w:szCs w:val="19"/>
          </w:rPr>
          <w:t>10.1016/j.cmet.2021.01.015</w:t>
        </w:r>
      </w:hyperlink>
    </w:p>
    <w:p w14:paraId="306F1BDE"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rPr>
        <w:t>17.</w:t>
      </w:r>
      <w:r w:rsidRPr="00A350BB">
        <w:rPr>
          <w:rFonts w:ascii="Baskerville Old Face" w:hAnsi="Baskerville Old Face"/>
          <w:sz w:val="19"/>
          <w:szCs w:val="19"/>
        </w:rPr>
        <w:tab/>
        <w:t xml:space="preserve">Borner T, Geisler CE, Fortin SM, et al. GIP receptor agonism attenuates GLP-1 receptor agonist-induced nausea and emesis in preclinical models. </w:t>
      </w:r>
      <w:r w:rsidRPr="00A350BB">
        <w:rPr>
          <w:rFonts w:ascii="Baskerville Old Face" w:hAnsi="Baskerville Old Face"/>
          <w:sz w:val="19"/>
          <w:szCs w:val="19"/>
          <w:lang w:val="pt-BR"/>
        </w:rPr>
        <w:t>Diabetes. 2021;70(11):2545-53. doi:</w:t>
      </w:r>
      <w:r w:rsidRPr="00A350BB">
        <w:rPr>
          <w:rFonts w:ascii="Baskerville Old Face" w:hAnsi="Baskerville Old Face"/>
        </w:rPr>
        <w:fldChar w:fldCharType="begin"/>
      </w:r>
      <w:r w:rsidRPr="00A350BB">
        <w:rPr>
          <w:rFonts w:ascii="Baskerville Old Face" w:hAnsi="Baskerville Old Face"/>
          <w:lang w:val="pt-BR"/>
        </w:rPr>
        <w:instrText>HYPERLINK "https://doi.org/10.2337/db21-0459"</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10.2337/db21-0459</w:t>
      </w:r>
      <w:r w:rsidRPr="00A350BB">
        <w:rPr>
          <w:rFonts w:ascii="Baskerville Old Face" w:hAnsi="Baskerville Old Face"/>
        </w:rPr>
        <w:fldChar w:fldCharType="end"/>
      </w:r>
    </w:p>
    <w:p w14:paraId="318CDF7A"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pt-BR"/>
        </w:rPr>
        <w:t>18.</w:t>
      </w:r>
      <w:r w:rsidRPr="00A350BB">
        <w:rPr>
          <w:rFonts w:ascii="Baskerville Old Face" w:hAnsi="Baskerville Old Face"/>
          <w:sz w:val="19"/>
          <w:szCs w:val="19"/>
          <w:lang w:val="pt-BR"/>
        </w:rPr>
        <w:tab/>
        <w:t xml:space="preserve">Adriaenssens A, Broichhagen J, de Bray A, et al. </w:t>
      </w:r>
      <w:r w:rsidRPr="00A350BB">
        <w:rPr>
          <w:rFonts w:ascii="Baskerville Old Face" w:hAnsi="Baskerville Old Face"/>
          <w:sz w:val="19"/>
          <w:szCs w:val="19"/>
        </w:rPr>
        <w:t>Hypothalamic and brainstem glucose-dependent insulinotropic polypeptide receptor neurons employ distinct mechanisms to affect feeding. JCI Insight. 2023;8(10):e164921. doi:</w:t>
      </w:r>
      <w:hyperlink r:id="rId22" w:history="1">
        <w:r w:rsidRPr="00A350BB">
          <w:rPr>
            <w:rStyle w:val="Hyperlink"/>
            <w:rFonts w:ascii="Baskerville Old Face" w:hAnsi="Baskerville Old Face"/>
            <w:color w:val="auto"/>
            <w:sz w:val="19"/>
            <w:szCs w:val="19"/>
          </w:rPr>
          <w:t>10.1172/jci.insight.164921</w:t>
        </w:r>
      </w:hyperlink>
    </w:p>
    <w:p w14:paraId="04661E45"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19.</w:t>
      </w:r>
      <w:r w:rsidRPr="00A350BB">
        <w:rPr>
          <w:rFonts w:ascii="Baskerville Old Face" w:hAnsi="Baskerville Old Face"/>
          <w:sz w:val="19"/>
          <w:szCs w:val="19"/>
        </w:rPr>
        <w:tab/>
        <w:t xml:space="preserve">Sanyal AJ, Newsome PN, </w:t>
      </w:r>
      <w:proofErr w:type="spellStart"/>
      <w:r w:rsidRPr="00A350BB">
        <w:rPr>
          <w:rFonts w:ascii="Baskerville Old Face" w:hAnsi="Baskerville Old Face"/>
          <w:sz w:val="19"/>
          <w:szCs w:val="19"/>
        </w:rPr>
        <w:t>Kliers</w:t>
      </w:r>
      <w:proofErr w:type="spellEnd"/>
      <w:r w:rsidRPr="00A350BB">
        <w:rPr>
          <w:rFonts w:ascii="Baskerville Old Face" w:hAnsi="Baskerville Old Face"/>
          <w:sz w:val="19"/>
          <w:szCs w:val="19"/>
        </w:rPr>
        <w:t xml:space="preserve"> I, et al. Phase 3 trial of semaglutide in metabolic dysfunction-associated steatohepatitis. N Engl J Med. 2025;392(21):2089-99. doi:</w:t>
      </w:r>
      <w:hyperlink r:id="rId23" w:history="1">
        <w:r w:rsidRPr="00A350BB">
          <w:rPr>
            <w:rStyle w:val="Hyperlink"/>
            <w:rFonts w:ascii="Baskerville Old Face" w:hAnsi="Baskerville Old Face"/>
            <w:color w:val="auto"/>
            <w:sz w:val="19"/>
            <w:szCs w:val="19"/>
          </w:rPr>
          <w:t>10.1056/NEJMoa2413258</w:t>
        </w:r>
      </w:hyperlink>
    </w:p>
    <w:p w14:paraId="5CA3F377"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20.</w:t>
      </w:r>
      <w:r w:rsidRPr="00A350BB">
        <w:rPr>
          <w:rFonts w:ascii="Baskerville Old Face" w:hAnsi="Baskerville Old Face"/>
          <w:sz w:val="19"/>
          <w:szCs w:val="19"/>
        </w:rPr>
        <w:tab/>
        <w:t xml:space="preserve">Loomba R, Hartman ML, </w:t>
      </w:r>
      <w:proofErr w:type="spellStart"/>
      <w:r w:rsidRPr="00A350BB">
        <w:rPr>
          <w:rFonts w:ascii="Baskerville Old Face" w:hAnsi="Baskerville Old Face"/>
          <w:sz w:val="19"/>
          <w:szCs w:val="19"/>
        </w:rPr>
        <w:t>Lawitz</w:t>
      </w:r>
      <w:proofErr w:type="spellEnd"/>
      <w:r w:rsidRPr="00A350BB">
        <w:rPr>
          <w:rFonts w:ascii="Baskerville Old Face" w:hAnsi="Baskerville Old Face"/>
          <w:sz w:val="19"/>
          <w:szCs w:val="19"/>
        </w:rPr>
        <w:t xml:space="preserve"> EJ, et al. Tirzepatide for metabolic dysfunction-associated steatohepatitis with liver fibrosis. N Engl J Med. 2024;391(4):299-310. doi:</w:t>
      </w:r>
      <w:hyperlink r:id="rId24" w:history="1">
        <w:r w:rsidRPr="00A350BB">
          <w:rPr>
            <w:rStyle w:val="Hyperlink"/>
            <w:rFonts w:ascii="Baskerville Old Face" w:hAnsi="Baskerville Old Face"/>
            <w:color w:val="auto"/>
            <w:sz w:val="19"/>
            <w:szCs w:val="19"/>
          </w:rPr>
          <w:t>10.1056/NEJMoa2401943</w:t>
        </w:r>
      </w:hyperlink>
    </w:p>
    <w:p w14:paraId="18BFF120"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21.</w:t>
      </w:r>
      <w:r w:rsidRPr="00A350BB">
        <w:rPr>
          <w:rFonts w:ascii="Baskerville Old Face" w:hAnsi="Baskerville Old Face"/>
          <w:sz w:val="19"/>
          <w:szCs w:val="19"/>
        </w:rPr>
        <w:tab/>
      </w:r>
      <w:proofErr w:type="spellStart"/>
      <w:r w:rsidRPr="00A350BB">
        <w:rPr>
          <w:rFonts w:ascii="Baskerville Old Face" w:hAnsi="Baskerville Old Face"/>
          <w:sz w:val="19"/>
          <w:szCs w:val="19"/>
        </w:rPr>
        <w:t>Lincoff</w:t>
      </w:r>
      <w:proofErr w:type="spellEnd"/>
      <w:r w:rsidRPr="00A350BB">
        <w:rPr>
          <w:rFonts w:ascii="Baskerville Old Face" w:hAnsi="Baskerville Old Face"/>
          <w:sz w:val="19"/>
          <w:szCs w:val="19"/>
        </w:rPr>
        <w:t xml:space="preserve"> AM, Brown-Frandsen K, Colhoun HM, et al. Semaglutide and cardiovascular outcomes in obesity without diabetes. N Engl J Med. 2023;389(24):2221-32. doi:</w:t>
      </w:r>
      <w:hyperlink r:id="rId25" w:history="1">
        <w:r w:rsidRPr="00A350BB">
          <w:rPr>
            <w:rStyle w:val="Hyperlink"/>
            <w:rFonts w:ascii="Baskerville Old Face" w:hAnsi="Baskerville Old Face"/>
            <w:color w:val="auto"/>
            <w:sz w:val="19"/>
            <w:szCs w:val="19"/>
          </w:rPr>
          <w:t>10.1056/NEJMoa2307563</w:t>
        </w:r>
      </w:hyperlink>
    </w:p>
    <w:p w14:paraId="16922AC0"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22.</w:t>
      </w:r>
      <w:r w:rsidRPr="00A350BB">
        <w:rPr>
          <w:rFonts w:ascii="Baskerville Old Face" w:hAnsi="Baskerville Old Face"/>
          <w:sz w:val="19"/>
          <w:szCs w:val="19"/>
        </w:rPr>
        <w:tab/>
      </w:r>
      <w:proofErr w:type="spellStart"/>
      <w:r w:rsidRPr="00A350BB">
        <w:rPr>
          <w:rFonts w:ascii="Baskerville Old Face" w:hAnsi="Baskerville Old Face"/>
          <w:sz w:val="19"/>
          <w:szCs w:val="19"/>
        </w:rPr>
        <w:t>Deanfield</w:t>
      </w:r>
      <w:proofErr w:type="spellEnd"/>
      <w:r w:rsidRPr="00A350BB">
        <w:rPr>
          <w:rFonts w:ascii="Baskerville Old Face" w:hAnsi="Baskerville Old Face"/>
          <w:sz w:val="19"/>
          <w:szCs w:val="19"/>
        </w:rPr>
        <w:t xml:space="preserve"> J, </w:t>
      </w:r>
      <w:proofErr w:type="spellStart"/>
      <w:r w:rsidRPr="00A350BB">
        <w:rPr>
          <w:rFonts w:ascii="Baskerville Old Face" w:hAnsi="Baskerville Old Face"/>
          <w:sz w:val="19"/>
          <w:szCs w:val="19"/>
        </w:rPr>
        <w:t>Lincoff</w:t>
      </w:r>
      <w:proofErr w:type="spellEnd"/>
      <w:r w:rsidRPr="00A350BB">
        <w:rPr>
          <w:rFonts w:ascii="Baskerville Old Face" w:hAnsi="Baskerville Old Face"/>
          <w:sz w:val="19"/>
          <w:szCs w:val="19"/>
        </w:rPr>
        <w:t xml:space="preserve"> AM, Kahn SE, et al. Semaglutide and cardiovascular outcomes by baseline and changes in adiposity measurements: a prespecified analysis of the SELECT trial. Lancet. 2025;406(10516):2257-68. doi:</w:t>
      </w:r>
      <w:hyperlink r:id="rId26" w:history="1">
        <w:r w:rsidRPr="00A350BB">
          <w:rPr>
            <w:rStyle w:val="Hyperlink"/>
            <w:rFonts w:ascii="Baskerville Old Face" w:hAnsi="Baskerville Old Face"/>
            <w:color w:val="auto"/>
            <w:sz w:val="19"/>
            <w:szCs w:val="19"/>
          </w:rPr>
          <w:t>10.1016/S0140-6736(25)01375-3</w:t>
        </w:r>
      </w:hyperlink>
    </w:p>
    <w:p w14:paraId="007EBE3A"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23.</w:t>
      </w:r>
      <w:r w:rsidRPr="00A350BB">
        <w:rPr>
          <w:rFonts w:ascii="Baskerville Old Face" w:hAnsi="Baskerville Old Face"/>
          <w:sz w:val="19"/>
          <w:szCs w:val="19"/>
        </w:rPr>
        <w:tab/>
      </w:r>
      <w:proofErr w:type="spellStart"/>
      <w:r w:rsidRPr="00A350BB">
        <w:rPr>
          <w:rFonts w:ascii="Baskerville Old Face" w:hAnsi="Baskerville Old Face"/>
          <w:sz w:val="19"/>
          <w:szCs w:val="19"/>
        </w:rPr>
        <w:t>Kosiborod</w:t>
      </w:r>
      <w:proofErr w:type="spellEnd"/>
      <w:r w:rsidRPr="00A350BB">
        <w:rPr>
          <w:rFonts w:ascii="Baskerville Old Face" w:hAnsi="Baskerville Old Face"/>
          <w:sz w:val="19"/>
          <w:szCs w:val="19"/>
        </w:rPr>
        <w:t xml:space="preserve"> MN, Abildstrøm SZ, Borlaug BA, et al. Semaglutide in patients with heart failure with preserved ejection fraction and obesity. N Engl J Med. 2023;389(12):1069-84. doi:</w:t>
      </w:r>
      <w:hyperlink r:id="rId27" w:history="1">
        <w:r w:rsidRPr="00A350BB">
          <w:rPr>
            <w:rStyle w:val="Hyperlink"/>
            <w:rFonts w:ascii="Baskerville Old Face" w:hAnsi="Baskerville Old Face"/>
            <w:color w:val="auto"/>
            <w:sz w:val="19"/>
            <w:szCs w:val="19"/>
          </w:rPr>
          <w:t>10.1056/NEJMoa2306963</w:t>
        </w:r>
      </w:hyperlink>
    </w:p>
    <w:p w14:paraId="19546C92"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24.</w:t>
      </w:r>
      <w:r w:rsidRPr="00A350BB">
        <w:rPr>
          <w:rFonts w:ascii="Baskerville Old Face" w:hAnsi="Baskerville Old Face"/>
          <w:sz w:val="19"/>
          <w:szCs w:val="19"/>
        </w:rPr>
        <w:tab/>
        <w:t>Packer M, Zile MR, Kramer CM, et al. Tirzepatide for heart failure with preserved ejection fraction and obesity. N Engl J Med. 2025;392(5):427-37. doi:</w:t>
      </w:r>
      <w:hyperlink r:id="rId28" w:history="1">
        <w:r w:rsidRPr="00A350BB">
          <w:rPr>
            <w:rStyle w:val="Hyperlink"/>
            <w:rFonts w:ascii="Baskerville Old Face" w:hAnsi="Baskerville Old Face"/>
            <w:color w:val="auto"/>
            <w:sz w:val="19"/>
            <w:szCs w:val="19"/>
          </w:rPr>
          <w:t>10.1056/NEJMoa2410027</w:t>
        </w:r>
      </w:hyperlink>
    </w:p>
    <w:p w14:paraId="56D5EB0A"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25.</w:t>
      </w:r>
      <w:r w:rsidRPr="00A350BB">
        <w:rPr>
          <w:rFonts w:ascii="Baskerville Old Face" w:hAnsi="Baskerville Old Face"/>
          <w:sz w:val="19"/>
          <w:szCs w:val="19"/>
        </w:rPr>
        <w:tab/>
        <w:t>Nicholls SJ, Pavo I, Bhatt DL, et al. Cardiovascular outcomes with tirzepatide versus dulaglutide in type 2 diabetes. N Engl J Med. 2025;393(24):2409-20. doi:</w:t>
      </w:r>
      <w:hyperlink r:id="rId29" w:history="1">
        <w:r w:rsidRPr="00A350BB">
          <w:rPr>
            <w:rStyle w:val="Hyperlink"/>
            <w:rFonts w:ascii="Baskerville Old Face" w:hAnsi="Baskerville Old Face"/>
            <w:color w:val="auto"/>
            <w:sz w:val="19"/>
            <w:szCs w:val="19"/>
          </w:rPr>
          <w:t>10.1056/NEJMoa2505928</w:t>
        </w:r>
      </w:hyperlink>
    </w:p>
    <w:p w14:paraId="67A6C758"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26.</w:t>
      </w:r>
      <w:r w:rsidRPr="00A350BB">
        <w:rPr>
          <w:rFonts w:ascii="Baskerville Old Face" w:hAnsi="Baskerville Old Face"/>
          <w:sz w:val="19"/>
          <w:szCs w:val="19"/>
        </w:rPr>
        <w:tab/>
        <w:t>Perkovic V, Tuttle KR, Rossing P, et al. Effects of semaglutide on chronic kidney disease in patients with type 2 diabetes. N Engl J Med. 2024;391(2):109-21. doi:</w:t>
      </w:r>
      <w:hyperlink r:id="rId30" w:history="1">
        <w:r w:rsidRPr="00A350BB">
          <w:rPr>
            <w:rStyle w:val="Hyperlink"/>
            <w:rFonts w:ascii="Baskerville Old Face" w:hAnsi="Baskerville Old Face"/>
            <w:color w:val="auto"/>
            <w:sz w:val="19"/>
            <w:szCs w:val="19"/>
          </w:rPr>
          <w:t>10.1056/NEJMoa2403347</w:t>
        </w:r>
      </w:hyperlink>
    </w:p>
    <w:p w14:paraId="043A61ED"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27.</w:t>
      </w:r>
      <w:r w:rsidRPr="00A350BB">
        <w:rPr>
          <w:rFonts w:ascii="Baskerville Old Face" w:hAnsi="Baskerville Old Face"/>
          <w:sz w:val="19"/>
          <w:szCs w:val="19"/>
        </w:rPr>
        <w:tab/>
        <w:t xml:space="preserve">Killion EA, Wang J, Yie J, et al. Anti-obesity effects of GIPR antagonists alone and in combination with GLP-1R agonists in preclinical models. Sci </w:t>
      </w:r>
      <w:proofErr w:type="spellStart"/>
      <w:r w:rsidRPr="00A350BB">
        <w:rPr>
          <w:rFonts w:ascii="Baskerville Old Face" w:hAnsi="Baskerville Old Face"/>
          <w:sz w:val="19"/>
          <w:szCs w:val="19"/>
        </w:rPr>
        <w:t>Transl</w:t>
      </w:r>
      <w:proofErr w:type="spellEnd"/>
      <w:r w:rsidRPr="00A350BB">
        <w:rPr>
          <w:rFonts w:ascii="Baskerville Old Face" w:hAnsi="Baskerville Old Face"/>
          <w:sz w:val="19"/>
          <w:szCs w:val="19"/>
        </w:rPr>
        <w:t xml:space="preserve"> Med. 2018;10(472):eaat3392. doi:</w:t>
      </w:r>
      <w:hyperlink r:id="rId31" w:history="1">
        <w:r w:rsidRPr="00A350BB">
          <w:rPr>
            <w:rStyle w:val="Hyperlink"/>
            <w:rFonts w:ascii="Baskerville Old Face" w:hAnsi="Baskerville Old Face"/>
            <w:color w:val="auto"/>
            <w:sz w:val="19"/>
            <w:szCs w:val="19"/>
          </w:rPr>
          <w:t>10.1126/scitranslmed.aat3392</w:t>
        </w:r>
      </w:hyperlink>
    </w:p>
    <w:p w14:paraId="4ECB643D"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28.</w:t>
      </w:r>
      <w:r w:rsidRPr="00A350BB">
        <w:rPr>
          <w:rFonts w:ascii="Baskerville Old Face" w:hAnsi="Baskerville Old Face"/>
          <w:sz w:val="19"/>
          <w:szCs w:val="19"/>
        </w:rPr>
        <w:tab/>
      </w:r>
      <w:proofErr w:type="spellStart"/>
      <w:r w:rsidRPr="00A350BB">
        <w:rPr>
          <w:rFonts w:ascii="Baskerville Old Face" w:hAnsi="Baskerville Old Face"/>
          <w:sz w:val="19"/>
          <w:szCs w:val="19"/>
        </w:rPr>
        <w:t>Véniant</w:t>
      </w:r>
      <w:proofErr w:type="spellEnd"/>
      <w:r w:rsidRPr="00A350BB">
        <w:rPr>
          <w:rFonts w:ascii="Baskerville Old Face" w:hAnsi="Baskerville Old Face"/>
          <w:sz w:val="19"/>
          <w:szCs w:val="19"/>
        </w:rPr>
        <w:t xml:space="preserve"> MM, Lu SC, Atangan L, et al. A GIPR antagonist conjugated to GLP-1 analogues promotes weight loss with improved metabolic parameters in preclinical and phase 1 settings. Nat </w:t>
      </w:r>
      <w:proofErr w:type="spellStart"/>
      <w:r w:rsidRPr="00A350BB">
        <w:rPr>
          <w:rFonts w:ascii="Baskerville Old Face" w:hAnsi="Baskerville Old Face"/>
          <w:sz w:val="19"/>
          <w:szCs w:val="19"/>
        </w:rPr>
        <w:t>Metab</w:t>
      </w:r>
      <w:proofErr w:type="spellEnd"/>
      <w:r w:rsidRPr="00A350BB">
        <w:rPr>
          <w:rFonts w:ascii="Baskerville Old Face" w:hAnsi="Baskerville Old Face"/>
          <w:sz w:val="19"/>
          <w:szCs w:val="19"/>
        </w:rPr>
        <w:t>. 2024;6(2):290-303. doi:</w:t>
      </w:r>
      <w:hyperlink r:id="rId32" w:history="1">
        <w:r w:rsidRPr="00A350BB">
          <w:rPr>
            <w:rStyle w:val="Hyperlink"/>
            <w:rFonts w:ascii="Baskerville Old Face" w:hAnsi="Baskerville Old Face"/>
            <w:color w:val="auto"/>
            <w:sz w:val="19"/>
            <w:szCs w:val="19"/>
          </w:rPr>
          <w:t>10.1038/s42255-023-00966-w</w:t>
        </w:r>
      </w:hyperlink>
    </w:p>
    <w:p w14:paraId="6BD15944"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29.</w:t>
      </w:r>
      <w:r w:rsidRPr="00A350BB">
        <w:rPr>
          <w:rFonts w:ascii="Baskerville Old Face" w:hAnsi="Baskerville Old Face"/>
          <w:sz w:val="19"/>
          <w:szCs w:val="19"/>
        </w:rPr>
        <w:tab/>
        <w:t>Killion EA, Chen M, Falsey JR, et al. Chronic glucose-dependent insulinotropic polypeptide receptor (GIPR) agonism desensitizes adipocyte GIPR activity mimicking functional GIPR antagonism. Nat Commun. 2020;11(1):4981. doi:</w:t>
      </w:r>
      <w:hyperlink r:id="rId33" w:history="1">
        <w:r w:rsidRPr="00A350BB">
          <w:rPr>
            <w:rStyle w:val="Hyperlink"/>
            <w:rFonts w:ascii="Baskerville Old Face" w:hAnsi="Baskerville Old Face"/>
            <w:color w:val="auto"/>
            <w:sz w:val="19"/>
            <w:szCs w:val="19"/>
          </w:rPr>
          <w:t>10.1038/s41467-020-18751-8</w:t>
        </w:r>
      </w:hyperlink>
    </w:p>
    <w:p w14:paraId="595A6F20"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30.</w:t>
      </w:r>
      <w:r w:rsidRPr="00A350BB">
        <w:rPr>
          <w:rFonts w:ascii="Baskerville Old Face" w:hAnsi="Baskerville Old Face"/>
          <w:sz w:val="19"/>
          <w:szCs w:val="19"/>
        </w:rPr>
        <w:tab/>
        <w:t>Frías JP, Davies MJ, Rosenstock J, et al. Tirzepatide versus semaglutide once weekly in patients with type 2 diabetes. N Engl J Med. 2021;385(6):503-15. doi:</w:t>
      </w:r>
      <w:hyperlink r:id="rId34" w:history="1">
        <w:r w:rsidRPr="00A350BB">
          <w:rPr>
            <w:rStyle w:val="Hyperlink"/>
            <w:rFonts w:ascii="Baskerville Old Face" w:hAnsi="Baskerville Old Face"/>
            <w:color w:val="auto"/>
            <w:sz w:val="19"/>
            <w:szCs w:val="19"/>
          </w:rPr>
          <w:t>10.1056/NEJMoa2107519</w:t>
        </w:r>
      </w:hyperlink>
    </w:p>
    <w:p w14:paraId="7D660E57"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lastRenderedPageBreak/>
        <w:t>31.</w:t>
      </w:r>
      <w:r w:rsidRPr="00A350BB">
        <w:rPr>
          <w:rFonts w:ascii="Baskerville Old Face" w:hAnsi="Baskerville Old Face"/>
          <w:sz w:val="19"/>
          <w:szCs w:val="19"/>
        </w:rPr>
        <w:tab/>
        <w:t xml:space="preserve">Wilding JPH, </w:t>
      </w:r>
      <w:proofErr w:type="spellStart"/>
      <w:r w:rsidRPr="00A350BB">
        <w:rPr>
          <w:rFonts w:ascii="Baskerville Old Face" w:hAnsi="Baskerville Old Face"/>
          <w:sz w:val="19"/>
          <w:szCs w:val="19"/>
        </w:rPr>
        <w:t>Batterham</w:t>
      </w:r>
      <w:proofErr w:type="spellEnd"/>
      <w:r w:rsidRPr="00A350BB">
        <w:rPr>
          <w:rFonts w:ascii="Baskerville Old Face" w:hAnsi="Baskerville Old Face"/>
          <w:sz w:val="19"/>
          <w:szCs w:val="19"/>
        </w:rPr>
        <w:t xml:space="preserve"> RL, </w:t>
      </w:r>
      <w:proofErr w:type="spellStart"/>
      <w:r w:rsidRPr="00A350BB">
        <w:rPr>
          <w:rFonts w:ascii="Baskerville Old Face" w:hAnsi="Baskerville Old Face"/>
          <w:sz w:val="19"/>
          <w:szCs w:val="19"/>
        </w:rPr>
        <w:t>Calanna</w:t>
      </w:r>
      <w:proofErr w:type="spellEnd"/>
      <w:r w:rsidRPr="00A350BB">
        <w:rPr>
          <w:rFonts w:ascii="Baskerville Old Face" w:hAnsi="Baskerville Old Face"/>
          <w:sz w:val="19"/>
          <w:szCs w:val="19"/>
        </w:rPr>
        <w:t xml:space="preserve"> S, et al. Once-weekly semaglutide in adults with overweight or obesity. N Engl J Med. 2021;384(11):989-1002. doi:</w:t>
      </w:r>
      <w:hyperlink r:id="rId35" w:history="1">
        <w:r w:rsidRPr="00A350BB">
          <w:rPr>
            <w:rStyle w:val="Hyperlink"/>
            <w:rFonts w:ascii="Baskerville Old Face" w:hAnsi="Baskerville Old Face"/>
            <w:color w:val="auto"/>
            <w:sz w:val="19"/>
            <w:szCs w:val="19"/>
          </w:rPr>
          <w:t>10.1056/NEJMoa2032183</w:t>
        </w:r>
      </w:hyperlink>
    </w:p>
    <w:p w14:paraId="4F411923"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32.</w:t>
      </w:r>
      <w:r w:rsidRPr="00A350BB">
        <w:rPr>
          <w:rFonts w:ascii="Baskerville Old Face" w:hAnsi="Baskerville Old Face"/>
          <w:sz w:val="19"/>
          <w:szCs w:val="19"/>
        </w:rPr>
        <w:tab/>
      </w:r>
      <w:proofErr w:type="spellStart"/>
      <w:r w:rsidRPr="00A350BB">
        <w:rPr>
          <w:rFonts w:ascii="Baskerville Old Face" w:hAnsi="Baskerville Old Face"/>
          <w:sz w:val="19"/>
          <w:szCs w:val="19"/>
        </w:rPr>
        <w:t>Jastreboff</w:t>
      </w:r>
      <w:proofErr w:type="spellEnd"/>
      <w:r w:rsidRPr="00A350BB">
        <w:rPr>
          <w:rFonts w:ascii="Baskerville Old Face" w:hAnsi="Baskerville Old Face"/>
          <w:sz w:val="19"/>
          <w:szCs w:val="19"/>
        </w:rPr>
        <w:t xml:space="preserve"> AM, Aronne LJ, Ahmad NN, et al. Tirzepatide once weekly for the treatment of obesity. N Engl J Med. 2022;387(3):205-16. doi:</w:t>
      </w:r>
      <w:hyperlink r:id="rId36" w:history="1">
        <w:r w:rsidRPr="00A350BB">
          <w:rPr>
            <w:rStyle w:val="Hyperlink"/>
            <w:rFonts w:ascii="Baskerville Old Face" w:hAnsi="Baskerville Old Face"/>
            <w:color w:val="auto"/>
            <w:sz w:val="19"/>
            <w:szCs w:val="19"/>
          </w:rPr>
          <w:t>10.1056/NEJMoa2206038</w:t>
        </w:r>
      </w:hyperlink>
    </w:p>
    <w:p w14:paraId="0F6E4589"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33.</w:t>
      </w:r>
      <w:r w:rsidRPr="00A350BB">
        <w:rPr>
          <w:rFonts w:ascii="Baskerville Old Face" w:hAnsi="Baskerville Old Face"/>
          <w:sz w:val="19"/>
          <w:szCs w:val="19"/>
        </w:rPr>
        <w:tab/>
        <w:t>Aronne LJ, Horn DB, le Roux CW, et al. Tirzepatide as compared with semaglutide for the treatment of obesity. N Engl J Med. 2025;393(1):26-36. doi:</w:t>
      </w:r>
      <w:hyperlink r:id="rId37" w:history="1">
        <w:r w:rsidRPr="00A350BB">
          <w:rPr>
            <w:rStyle w:val="Hyperlink"/>
            <w:rFonts w:ascii="Baskerville Old Face" w:hAnsi="Baskerville Old Face"/>
            <w:color w:val="auto"/>
            <w:sz w:val="19"/>
            <w:szCs w:val="19"/>
          </w:rPr>
          <w:t>10.1056/NEJMoa2416394</w:t>
        </w:r>
      </w:hyperlink>
    </w:p>
    <w:p w14:paraId="146E48E0"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rPr>
        <w:t>34.</w:t>
      </w:r>
      <w:r w:rsidRPr="00A350BB">
        <w:rPr>
          <w:rFonts w:ascii="Baskerville Old Face" w:hAnsi="Baskerville Old Face"/>
          <w:sz w:val="19"/>
          <w:szCs w:val="19"/>
        </w:rPr>
        <w:tab/>
        <w:t xml:space="preserve">Wharton S, Aronne LJ, Stefanski A, et al. </w:t>
      </w:r>
      <w:proofErr w:type="spellStart"/>
      <w:r w:rsidRPr="00A350BB">
        <w:rPr>
          <w:rFonts w:ascii="Baskerville Old Face" w:hAnsi="Baskerville Old Face"/>
          <w:sz w:val="19"/>
          <w:szCs w:val="19"/>
        </w:rPr>
        <w:t>Orforglipron</w:t>
      </w:r>
      <w:proofErr w:type="spellEnd"/>
      <w:r w:rsidRPr="00A350BB">
        <w:rPr>
          <w:rFonts w:ascii="Baskerville Old Face" w:hAnsi="Baskerville Old Face"/>
          <w:sz w:val="19"/>
          <w:szCs w:val="19"/>
        </w:rPr>
        <w:t xml:space="preserve">, an oral small-molecule GLP-1 receptor agonist for obesity treatment. </w:t>
      </w:r>
      <w:r w:rsidRPr="00A350BB">
        <w:rPr>
          <w:rFonts w:ascii="Baskerville Old Face" w:hAnsi="Baskerville Old Face"/>
          <w:sz w:val="19"/>
          <w:szCs w:val="19"/>
          <w:lang w:val="pt-BR"/>
        </w:rPr>
        <w:t>N Engl J Med. 2025;393(18):1796-806. doi:</w:t>
      </w:r>
      <w:r w:rsidRPr="00A350BB">
        <w:rPr>
          <w:rFonts w:ascii="Baskerville Old Face" w:hAnsi="Baskerville Old Face"/>
        </w:rPr>
        <w:fldChar w:fldCharType="begin"/>
      </w:r>
      <w:r w:rsidRPr="00A350BB">
        <w:rPr>
          <w:rFonts w:ascii="Baskerville Old Face" w:hAnsi="Baskerville Old Face"/>
          <w:lang w:val="pt-BR"/>
        </w:rPr>
        <w:instrText>HYPERLINK "https://doi.org/10.1056/NEJMoa2511774"</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10.1056/NEJMoa2511774</w:t>
      </w:r>
      <w:r w:rsidRPr="00A350BB">
        <w:rPr>
          <w:rFonts w:ascii="Baskerville Old Face" w:hAnsi="Baskerville Old Face"/>
        </w:rPr>
        <w:fldChar w:fldCharType="end"/>
      </w:r>
    </w:p>
    <w:p w14:paraId="65EE8460"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pt-BR"/>
        </w:rPr>
        <w:t>35.</w:t>
      </w:r>
      <w:r w:rsidRPr="00A350BB">
        <w:rPr>
          <w:rFonts w:ascii="Baskerville Old Face" w:hAnsi="Baskerville Old Face"/>
          <w:sz w:val="19"/>
          <w:szCs w:val="19"/>
          <w:lang w:val="pt-BR"/>
        </w:rPr>
        <w:tab/>
        <w:t xml:space="preserve">Garvey WT, Blüher M, Osorto Contreras CK, et al. </w:t>
      </w:r>
      <w:r w:rsidRPr="00A350BB">
        <w:rPr>
          <w:rFonts w:ascii="Baskerville Old Face" w:hAnsi="Baskerville Old Face"/>
          <w:sz w:val="19"/>
          <w:szCs w:val="19"/>
        </w:rPr>
        <w:t xml:space="preserve">Coadministered </w:t>
      </w:r>
      <w:proofErr w:type="spellStart"/>
      <w:r w:rsidRPr="00A350BB">
        <w:rPr>
          <w:rFonts w:ascii="Baskerville Old Face" w:hAnsi="Baskerville Old Face"/>
          <w:sz w:val="19"/>
          <w:szCs w:val="19"/>
        </w:rPr>
        <w:t>cagrilintide</w:t>
      </w:r>
      <w:proofErr w:type="spellEnd"/>
      <w:r w:rsidRPr="00A350BB">
        <w:rPr>
          <w:rFonts w:ascii="Baskerville Old Face" w:hAnsi="Baskerville Old Face"/>
          <w:sz w:val="19"/>
          <w:szCs w:val="19"/>
        </w:rPr>
        <w:t xml:space="preserve"> and semaglutide in adults with overweight or obesity. N Engl J Med. 2025;393(7):635-47. doi:</w:t>
      </w:r>
      <w:hyperlink r:id="rId38" w:history="1">
        <w:r w:rsidRPr="00A350BB">
          <w:rPr>
            <w:rStyle w:val="Hyperlink"/>
            <w:rFonts w:ascii="Baskerville Old Face" w:hAnsi="Baskerville Old Face"/>
            <w:color w:val="auto"/>
            <w:sz w:val="19"/>
            <w:szCs w:val="19"/>
          </w:rPr>
          <w:t>10.1056/NEJMoa2502081</w:t>
        </w:r>
      </w:hyperlink>
    </w:p>
    <w:p w14:paraId="0A595043"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36.</w:t>
      </w:r>
      <w:r w:rsidRPr="00A350BB">
        <w:rPr>
          <w:rFonts w:ascii="Baskerville Old Face" w:hAnsi="Baskerville Old Face"/>
          <w:sz w:val="19"/>
          <w:szCs w:val="19"/>
        </w:rPr>
        <w:tab/>
      </w:r>
      <w:proofErr w:type="spellStart"/>
      <w:r w:rsidRPr="00A350BB">
        <w:rPr>
          <w:rFonts w:ascii="Baskerville Old Face" w:hAnsi="Baskerville Old Face"/>
          <w:sz w:val="19"/>
          <w:szCs w:val="19"/>
        </w:rPr>
        <w:t>Jastreboff</w:t>
      </w:r>
      <w:proofErr w:type="spellEnd"/>
      <w:r w:rsidRPr="00A350BB">
        <w:rPr>
          <w:rFonts w:ascii="Baskerville Old Face" w:hAnsi="Baskerville Old Face"/>
          <w:sz w:val="19"/>
          <w:szCs w:val="19"/>
        </w:rPr>
        <w:t xml:space="preserve"> AM, Kaplan LM, Frías JP, et al. Triple-hormone-receptor agonist </w:t>
      </w:r>
      <w:proofErr w:type="spellStart"/>
      <w:r w:rsidRPr="00A350BB">
        <w:rPr>
          <w:rFonts w:ascii="Baskerville Old Face" w:hAnsi="Baskerville Old Face"/>
          <w:sz w:val="19"/>
          <w:szCs w:val="19"/>
        </w:rPr>
        <w:t>retatrutide</w:t>
      </w:r>
      <w:proofErr w:type="spellEnd"/>
      <w:r w:rsidRPr="00A350BB">
        <w:rPr>
          <w:rFonts w:ascii="Baskerville Old Face" w:hAnsi="Baskerville Old Face"/>
          <w:sz w:val="19"/>
          <w:szCs w:val="19"/>
        </w:rPr>
        <w:t xml:space="preserve"> for obesity - a phase 2 trial. N Engl J Med. 2023;389(6):514-26. doi:</w:t>
      </w:r>
      <w:hyperlink r:id="rId39" w:history="1">
        <w:r w:rsidRPr="00A350BB">
          <w:rPr>
            <w:rStyle w:val="Hyperlink"/>
            <w:rFonts w:ascii="Baskerville Old Face" w:hAnsi="Baskerville Old Face"/>
            <w:color w:val="auto"/>
            <w:sz w:val="19"/>
            <w:szCs w:val="19"/>
          </w:rPr>
          <w:t>10.1056/NEJMoa2301972</w:t>
        </w:r>
      </w:hyperlink>
    </w:p>
    <w:p w14:paraId="1F68D7B5"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t>37.</w:t>
      </w:r>
      <w:r w:rsidRPr="00A350BB">
        <w:rPr>
          <w:rFonts w:ascii="Baskerville Old Face" w:hAnsi="Baskerville Old Face"/>
          <w:sz w:val="19"/>
          <w:szCs w:val="19"/>
        </w:rPr>
        <w:tab/>
        <w:t xml:space="preserve">Wilding JPH, </w:t>
      </w:r>
      <w:proofErr w:type="spellStart"/>
      <w:r w:rsidRPr="00A350BB">
        <w:rPr>
          <w:rFonts w:ascii="Baskerville Old Face" w:hAnsi="Baskerville Old Face"/>
          <w:sz w:val="19"/>
          <w:szCs w:val="19"/>
        </w:rPr>
        <w:t>Batterham</w:t>
      </w:r>
      <w:proofErr w:type="spellEnd"/>
      <w:r w:rsidRPr="00A350BB">
        <w:rPr>
          <w:rFonts w:ascii="Baskerville Old Face" w:hAnsi="Baskerville Old Face"/>
          <w:sz w:val="19"/>
          <w:szCs w:val="19"/>
        </w:rPr>
        <w:t xml:space="preserve"> RL, Davies M, et al. Weight regain and cardiometabolic effects after withdrawal of semaglutide: the STEP 1 trial extension. Diabetes </w:t>
      </w:r>
      <w:proofErr w:type="spellStart"/>
      <w:r w:rsidRPr="00A350BB">
        <w:rPr>
          <w:rFonts w:ascii="Baskerville Old Face" w:hAnsi="Baskerville Old Face"/>
          <w:sz w:val="19"/>
          <w:szCs w:val="19"/>
        </w:rPr>
        <w:t>Obes</w:t>
      </w:r>
      <w:proofErr w:type="spellEnd"/>
      <w:r w:rsidRPr="00A350BB">
        <w:rPr>
          <w:rFonts w:ascii="Baskerville Old Face" w:hAnsi="Baskerville Old Face"/>
          <w:sz w:val="19"/>
          <w:szCs w:val="19"/>
        </w:rPr>
        <w:t xml:space="preserve"> </w:t>
      </w:r>
      <w:proofErr w:type="spellStart"/>
      <w:r w:rsidRPr="00A350BB">
        <w:rPr>
          <w:rFonts w:ascii="Baskerville Old Face" w:hAnsi="Baskerville Old Face"/>
          <w:sz w:val="19"/>
          <w:szCs w:val="19"/>
        </w:rPr>
        <w:t>Metab</w:t>
      </w:r>
      <w:proofErr w:type="spellEnd"/>
      <w:r w:rsidRPr="00A350BB">
        <w:rPr>
          <w:rFonts w:ascii="Baskerville Old Face" w:hAnsi="Baskerville Old Face"/>
          <w:sz w:val="19"/>
          <w:szCs w:val="19"/>
        </w:rPr>
        <w:t xml:space="preserve">. </w:t>
      </w:r>
      <w:r w:rsidRPr="00A350BB">
        <w:rPr>
          <w:rFonts w:ascii="Baskerville Old Face" w:hAnsi="Baskerville Old Face"/>
          <w:sz w:val="19"/>
          <w:szCs w:val="19"/>
          <w:lang w:val="nl-NL"/>
        </w:rPr>
        <w:t xml:space="preserve">2022;24(8):1553-64.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40" w:history="1">
        <w:r w:rsidRPr="00A350BB">
          <w:rPr>
            <w:rStyle w:val="Hyperlink"/>
            <w:rFonts w:ascii="Baskerville Old Face" w:hAnsi="Baskerville Old Face"/>
            <w:color w:val="auto"/>
            <w:sz w:val="19"/>
            <w:szCs w:val="19"/>
            <w:lang w:val="nl-NL"/>
          </w:rPr>
          <w:t>10.1111/dom.14725</w:t>
        </w:r>
      </w:hyperlink>
    </w:p>
    <w:p w14:paraId="14280B88" w14:textId="77777777" w:rsidR="00FD782F" w:rsidRPr="00A350BB" w:rsidRDefault="00000000" w:rsidP="00A350BB">
      <w:pPr>
        <w:tabs>
          <w:tab w:val="left" w:pos="440"/>
        </w:tabs>
        <w:spacing w:after="80" w:line="260" w:lineRule="auto"/>
        <w:ind w:left="440" w:hanging="440"/>
        <w:rPr>
          <w:rFonts w:ascii="Baskerville Old Face" w:hAnsi="Baskerville Old Face"/>
          <w:lang w:val="pt-BR"/>
        </w:rPr>
      </w:pPr>
      <w:r w:rsidRPr="00A350BB">
        <w:rPr>
          <w:rFonts w:ascii="Baskerville Old Face" w:hAnsi="Baskerville Old Face"/>
          <w:sz w:val="19"/>
          <w:szCs w:val="19"/>
          <w:lang w:val="nl-NL"/>
        </w:rPr>
        <w:t>38.</w:t>
      </w:r>
      <w:r w:rsidRPr="00A350BB">
        <w:rPr>
          <w:rFonts w:ascii="Baskerville Old Face" w:hAnsi="Baskerville Old Face"/>
          <w:sz w:val="19"/>
          <w:szCs w:val="19"/>
          <w:lang w:val="nl-NL"/>
        </w:rPr>
        <w:tab/>
      </w:r>
      <w:proofErr w:type="spellStart"/>
      <w:r w:rsidRPr="00A350BB">
        <w:rPr>
          <w:rFonts w:ascii="Baskerville Old Face" w:hAnsi="Baskerville Old Face"/>
          <w:sz w:val="19"/>
          <w:szCs w:val="19"/>
          <w:lang w:val="nl-NL"/>
        </w:rPr>
        <w:t>Aronne</w:t>
      </w:r>
      <w:proofErr w:type="spellEnd"/>
      <w:r w:rsidRPr="00A350BB">
        <w:rPr>
          <w:rFonts w:ascii="Baskerville Old Face" w:hAnsi="Baskerville Old Face"/>
          <w:sz w:val="19"/>
          <w:szCs w:val="19"/>
          <w:lang w:val="nl-NL"/>
        </w:rPr>
        <w:t xml:space="preserve"> LJ, </w:t>
      </w:r>
      <w:proofErr w:type="spellStart"/>
      <w:r w:rsidRPr="00A350BB">
        <w:rPr>
          <w:rFonts w:ascii="Baskerville Old Face" w:hAnsi="Baskerville Old Face"/>
          <w:sz w:val="19"/>
          <w:szCs w:val="19"/>
          <w:lang w:val="nl-NL"/>
        </w:rPr>
        <w:t>Sattar</w:t>
      </w:r>
      <w:proofErr w:type="spellEnd"/>
      <w:r w:rsidRPr="00A350BB">
        <w:rPr>
          <w:rFonts w:ascii="Baskerville Old Face" w:hAnsi="Baskerville Old Face"/>
          <w:sz w:val="19"/>
          <w:szCs w:val="19"/>
          <w:lang w:val="nl-NL"/>
        </w:rPr>
        <w:t xml:space="preserve"> N, Horn DB, et al. </w:t>
      </w:r>
      <w:r w:rsidRPr="00A350BB">
        <w:rPr>
          <w:rFonts w:ascii="Baskerville Old Face" w:hAnsi="Baskerville Old Face"/>
          <w:sz w:val="19"/>
          <w:szCs w:val="19"/>
        </w:rPr>
        <w:t xml:space="preserve">Continued treatment with tirzepatide for maintenance of weight reduction in adults with obesity: the SURMOUNT-4 randomized clinical trial. </w:t>
      </w:r>
      <w:r w:rsidRPr="00A350BB">
        <w:rPr>
          <w:rFonts w:ascii="Baskerville Old Face" w:hAnsi="Baskerville Old Face"/>
          <w:sz w:val="19"/>
          <w:szCs w:val="19"/>
          <w:lang w:val="pt-BR"/>
        </w:rPr>
        <w:t>JAMA. 2024;331(1):38-48. doi:</w:t>
      </w:r>
      <w:r w:rsidRPr="00A350BB">
        <w:rPr>
          <w:rFonts w:ascii="Baskerville Old Face" w:hAnsi="Baskerville Old Face"/>
        </w:rPr>
        <w:fldChar w:fldCharType="begin"/>
      </w:r>
      <w:r w:rsidRPr="00A350BB">
        <w:rPr>
          <w:rFonts w:ascii="Baskerville Old Face" w:hAnsi="Baskerville Old Face"/>
          <w:lang w:val="pt-BR"/>
        </w:rPr>
        <w:instrText>HYPERLINK "https://doi.org/10.1001/jama.2023.24945"</w:instrText>
      </w:r>
      <w:r w:rsidRPr="00A350BB">
        <w:rPr>
          <w:rFonts w:ascii="Baskerville Old Face" w:hAnsi="Baskerville Old Face"/>
        </w:rPr>
      </w:r>
      <w:r w:rsidRPr="00A350BB">
        <w:rPr>
          <w:rFonts w:ascii="Baskerville Old Face" w:hAnsi="Baskerville Old Face"/>
        </w:rPr>
        <w:fldChar w:fldCharType="separate"/>
      </w:r>
      <w:r w:rsidRPr="00A350BB">
        <w:rPr>
          <w:rStyle w:val="Hyperlink"/>
          <w:rFonts w:ascii="Baskerville Old Face" w:hAnsi="Baskerville Old Face"/>
          <w:color w:val="auto"/>
          <w:sz w:val="19"/>
          <w:szCs w:val="19"/>
          <w:lang w:val="pt-BR"/>
        </w:rPr>
        <w:t>10.1001/jama.2023.24945</w:t>
      </w:r>
      <w:r w:rsidRPr="00A350BB">
        <w:rPr>
          <w:rFonts w:ascii="Baskerville Old Face" w:hAnsi="Baskerville Old Face"/>
        </w:rPr>
        <w:fldChar w:fldCharType="end"/>
      </w:r>
    </w:p>
    <w:p w14:paraId="5F4F0C8A"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pt-BR"/>
        </w:rPr>
        <w:t>39.</w:t>
      </w:r>
      <w:r w:rsidRPr="00A350BB">
        <w:rPr>
          <w:rFonts w:ascii="Baskerville Old Face" w:hAnsi="Baskerville Old Face"/>
          <w:sz w:val="19"/>
          <w:szCs w:val="19"/>
          <w:lang w:val="pt-BR"/>
        </w:rPr>
        <w:tab/>
        <w:t xml:space="preserve">Karakasis P, Patoulias D, Fragakis N, Mantzoros CS. </w:t>
      </w:r>
      <w:r w:rsidRPr="00A350BB">
        <w:rPr>
          <w:rFonts w:ascii="Baskerville Old Face" w:hAnsi="Baskerville Old Face"/>
          <w:sz w:val="19"/>
          <w:szCs w:val="19"/>
        </w:rPr>
        <w:t>Effect of glucagon-like peptide-1 receptor agonists and co-agonists on body composition: systematic review and network meta-analysis. Metabolism. 2025;164:156113. doi:</w:t>
      </w:r>
      <w:hyperlink r:id="rId41" w:history="1">
        <w:r w:rsidRPr="00A350BB">
          <w:rPr>
            <w:rStyle w:val="Hyperlink"/>
            <w:rFonts w:ascii="Baskerville Old Face" w:hAnsi="Baskerville Old Face"/>
            <w:color w:val="auto"/>
            <w:sz w:val="19"/>
            <w:szCs w:val="19"/>
          </w:rPr>
          <w:t>10.1016/j.metabol.2024.156113</w:t>
        </w:r>
      </w:hyperlink>
    </w:p>
    <w:p w14:paraId="76A0E372" w14:textId="77777777" w:rsidR="00FD782F" w:rsidRPr="00A350BB" w:rsidRDefault="00000000" w:rsidP="00A350BB">
      <w:pPr>
        <w:tabs>
          <w:tab w:val="left" w:pos="440"/>
        </w:tabs>
        <w:spacing w:after="80" w:line="260" w:lineRule="auto"/>
        <w:ind w:left="440" w:hanging="440"/>
        <w:rPr>
          <w:rFonts w:ascii="Baskerville Old Face" w:hAnsi="Baskerville Old Face"/>
          <w:lang w:val="nl-NL"/>
        </w:rPr>
      </w:pPr>
      <w:r w:rsidRPr="00A350BB">
        <w:rPr>
          <w:rFonts w:ascii="Baskerville Old Face" w:hAnsi="Baskerville Old Face"/>
          <w:sz w:val="19"/>
          <w:szCs w:val="19"/>
        </w:rPr>
        <w:t>40.</w:t>
      </w:r>
      <w:r w:rsidRPr="00A350BB">
        <w:rPr>
          <w:rFonts w:ascii="Baskerville Old Face" w:hAnsi="Baskerville Old Face"/>
          <w:sz w:val="19"/>
          <w:szCs w:val="19"/>
        </w:rPr>
        <w:tab/>
        <w:t xml:space="preserve">Stefanakis K, </w:t>
      </w:r>
      <w:proofErr w:type="spellStart"/>
      <w:r w:rsidRPr="00A350BB">
        <w:rPr>
          <w:rFonts w:ascii="Baskerville Old Face" w:hAnsi="Baskerville Old Face"/>
          <w:sz w:val="19"/>
          <w:szCs w:val="19"/>
        </w:rPr>
        <w:t>Kokkorakis</w:t>
      </w:r>
      <w:proofErr w:type="spellEnd"/>
      <w:r w:rsidRPr="00A350BB">
        <w:rPr>
          <w:rFonts w:ascii="Baskerville Old Face" w:hAnsi="Baskerville Old Face"/>
          <w:sz w:val="19"/>
          <w:szCs w:val="19"/>
        </w:rPr>
        <w:t xml:space="preserve"> M, </w:t>
      </w:r>
      <w:proofErr w:type="spellStart"/>
      <w:r w:rsidRPr="00A350BB">
        <w:rPr>
          <w:rFonts w:ascii="Baskerville Old Face" w:hAnsi="Baskerville Old Face"/>
          <w:sz w:val="19"/>
          <w:szCs w:val="19"/>
        </w:rPr>
        <w:t>Mantzoros</w:t>
      </w:r>
      <w:proofErr w:type="spellEnd"/>
      <w:r w:rsidRPr="00A350BB">
        <w:rPr>
          <w:rFonts w:ascii="Baskerville Old Face" w:hAnsi="Baskerville Old Face"/>
          <w:sz w:val="19"/>
          <w:szCs w:val="19"/>
        </w:rPr>
        <w:t xml:space="preserve"> CS. The impact of weight loss on fat-free mass, muscle, bone and hematopoiesis health: implications for emerging pharmacotherapies aiming at fat reduction and lean mass preservation. </w:t>
      </w:r>
      <w:proofErr w:type="spellStart"/>
      <w:r w:rsidRPr="00A350BB">
        <w:rPr>
          <w:rFonts w:ascii="Baskerville Old Face" w:hAnsi="Baskerville Old Face"/>
          <w:sz w:val="19"/>
          <w:szCs w:val="19"/>
          <w:lang w:val="nl-NL"/>
        </w:rPr>
        <w:t>Metabolism</w:t>
      </w:r>
      <w:proofErr w:type="spellEnd"/>
      <w:r w:rsidRPr="00A350BB">
        <w:rPr>
          <w:rFonts w:ascii="Baskerville Old Face" w:hAnsi="Baskerville Old Face"/>
          <w:sz w:val="19"/>
          <w:szCs w:val="19"/>
          <w:lang w:val="nl-NL"/>
        </w:rPr>
        <w:t xml:space="preserve">. 2024;161:156057. </w:t>
      </w:r>
      <w:proofErr w:type="gramStart"/>
      <w:r w:rsidRPr="00A350BB">
        <w:rPr>
          <w:rFonts w:ascii="Baskerville Old Face" w:hAnsi="Baskerville Old Face"/>
          <w:sz w:val="19"/>
          <w:szCs w:val="19"/>
          <w:lang w:val="nl-NL"/>
        </w:rPr>
        <w:t>doi</w:t>
      </w:r>
      <w:proofErr w:type="gramEnd"/>
      <w:r w:rsidRPr="00A350BB">
        <w:rPr>
          <w:rFonts w:ascii="Baskerville Old Face" w:hAnsi="Baskerville Old Face"/>
          <w:sz w:val="19"/>
          <w:szCs w:val="19"/>
          <w:lang w:val="nl-NL"/>
        </w:rPr>
        <w:t>:</w:t>
      </w:r>
      <w:hyperlink r:id="rId42" w:history="1">
        <w:r w:rsidRPr="00A350BB">
          <w:rPr>
            <w:rStyle w:val="Hyperlink"/>
            <w:rFonts w:ascii="Baskerville Old Face" w:hAnsi="Baskerville Old Face"/>
            <w:color w:val="auto"/>
            <w:sz w:val="19"/>
            <w:szCs w:val="19"/>
            <w:lang w:val="nl-NL"/>
          </w:rPr>
          <w:t>10.1016/j.metabol.2024.156057</w:t>
        </w:r>
      </w:hyperlink>
    </w:p>
    <w:p w14:paraId="15427A09"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lang w:val="nl-NL"/>
        </w:rPr>
        <w:t>41.</w:t>
      </w:r>
      <w:r w:rsidRPr="00A350BB">
        <w:rPr>
          <w:rFonts w:ascii="Baskerville Old Face" w:hAnsi="Baskerville Old Face"/>
          <w:sz w:val="19"/>
          <w:szCs w:val="19"/>
          <w:lang w:val="nl-NL"/>
        </w:rPr>
        <w:tab/>
      </w:r>
      <w:proofErr w:type="spellStart"/>
      <w:r w:rsidRPr="00A350BB">
        <w:rPr>
          <w:rFonts w:ascii="Baskerville Old Face" w:hAnsi="Baskerville Old Face"/>
          <w:sz w:val="19"/>
          <w:szCs w:val="19"/>
          <w:lang w:val="nl-NL"/>
        </w:rPr>
        <w:t>Bjerre</w:t>
      </w:r>
      <w:proofErr w:type="spellEnd"/>
      <w:r w:rsidRPr="00A350BB">
        <w:rPr>
          <w:rFonts w:ascii="Baskerville Old Face" w:hAnsi="Baskerville Old Face"/>
          <w:sz w:val="19"/>
          <w:szCs w:val="19"/>
          <w:lang w:val="nl-NL"/>
        </w:rPr>
        <w:t xml:space="preserve"> </w:t>
      </w:r>
      <w:proofErr w:type="spellStart"/>
      <w:r w:rsidRPr="00A350BB">
        <w:rPr>
          <w:rFonts w:ascii="Baskerville Old Face" w:hAnsi="Baskerville Old Face"/>
          <w:sz w:val="19"/>
          <w:szCs w:val="19"/>
          <w:lang w:val="nl-NL"/>
        </w:rPr>
        <w:t>Knudsen</w:t>
      </w:r>
      <w:proofErr w:type="spellEnd"/>
      <w:r w:rsidRPr="00A350BB">
        <w:rPr>
          <w:rFonts w:ascii="Baskerville Old Face" w:hAnsi="Baskerville Old Face"/>
          <w:sz w:val="19"/>
          <w:szCs w:val="19"/>
          <w:lang w:val="nl-NL"/>
        </w:rPr>
        <w:t xml:space="preserve"> L, Madsen LW, Andersen S, et al. </w:t>
      </w:r>
      <w:r w:rsidRPr="00A350BB">
        <w:rPr>
          <w:rFonts w:ascii="Baskerville Old Face" w:hAnsi="Baskerville Old Face"/>
          <w:sz w:val="19"/>
          <w:szCs w:val="19"/>
        </w:rPr>
        <w:t>Glucagon-like peptide-1 receptor agonists activate rodent thyroid C-cells causing calcitonin release and C-cell proliferation. Endocrinology. 2010;151(4):1473-86. doi:</w:t>
      </w:r>
      <w:hyperlink r:id="rId43" w:history="1">
        <w:r w:rsidRPr="00A350BB">
          <w:rPr>
            <w:rStyle w:val="Hyperlink"/>
            <w:rFonts w:ascii="Baskerville Old Face" w:hAnsi="Baskerville Old Face"/>
            <w:color w:val="auto"/>
            <w:sz w:val="19"/>
            <w:szCs w:val="19"/>
          </w:rPr>
          <w:t>10.1210/en.2009-1272</w:t>
        </w:r>
      </w:hyperlink>
    </w:p>
    <w:p w14:paraId="32507B38" w14:textId="77777777" w:rsidR="00FD782F" w:rsidRPr="00A350BB" w:rsidRDefault="00000000" w:rsidP="00A350BB">
      <w:pPr>
        <w:tabs>
          <w:tab w:val="left" w:pos="440"/>
        </w:tabs>
        <w:spacing w:after="80" w:line="260" w:lineRule="auto"/>
        <w:ind w:left="440" w:hanging="440"/>
        <w:rPr>
          <w:rFonts w:ascii="Baskerville Old Face" w:hAnsi="Baskerville Old Face"/>
        </w:rPr>
      </w:pPr>
      <w:r w:rsidRPr="00A350BB">
        <w:rPr>
          <w:rFonts w:ascii="Baskerville Old Face" w:hAnsi="Baskerville Old Face"/>
          <w:sz w:val="19"/>
          <w:szCs w:val="19"/>
        </w:rPr>
        <w:t>42.</w:t>
      </w:r>
      <w:r w:rsidRPr="00A350BB">
        <w:rPr>
          <w:rFonts w:ascii="Baskerville Old Face" w:hAnsi="Baskerville Old Face"/>
          <w:sz w:val="19"/>
          <w:szCs w:val="19"/>
        </w:rPr>
        <w:tab/>
        <w:t xml:space="preserve">Hathaway JT, Shah MP, Hathaway DB, et al. Risk of </w:t>
      </w:r>
      <w:proofErr w:type="spellStart"/>
      <w:r w:rsidRPr="00A350BB">
        <w:rPr>
          <w:rFonts w:ascii="Baskerville Old Face" w:hAnsi="Baskerville Old Face"/>
          <w:sz w:val="19"/>
          <w:szCs w:val="19"/>
        </w:rPr>
        <w:t>nonarteritic</w:t>
      </w:r>
      <w:proofErr w:type="spellEnd"/>
      <w:r w:rsidRPr="00A350BB">
        <w:rPr>
          <w:rFonts w:ascii="Baskerville Old Face" w:hAnsi="Baskerville Old Face"/>
          <w:sz w:val="19"/>
          <w:szCs w:val="19"/>
        </w:rPr>
        <w:t xml:space="preserve"> anterior ischemic optic neuropathy in patients prescribed semaglutide. JAMA </w:t>
      </w:r>
      <w:proofErr w:type="spellStart"/>
      <w:r w:rsidRPr="00A350BB">
        <w:rPr>
          <w:rFonts w:ascii="Baskerville Old Face" w:hAnsi="Baskerville Old Face"/>
          <w:sz w:val="19"/>
          <w:szCs w:val="19"/>
        </w:rPr>
        <w:t>Ophthalmol</w:t>
      </w:r>
      <w:proofErr w:type="spellEnd"/>
      <w:r w:rsidRPr="00A350BB">
        <w:rPr>
          <w:rFonts w:ascii="Baskerville Old Face" w:hAnsi="Baskerville Old Face"/>
          <w:sz w:val="19"/>
          <w:szCs w:val="19"/>
        </w:rPr>
        <w:t>. 2024;142(8):732-9. doi:</w:t>
      </w:r>
      <w:hyperlink r:id="rId44" w:history="1">
        <w:r w:rsidRPr="00A350BB">
          <w:rPr>
            <w:rStyle w:val="Hyperlink"/>
            <w:rFonts w:ascii="Baskerville Old Face" w:hAnsi="Baskerville Old Face"/>
            <w:color w:val="auto"/>
            <w:sz w:val="19"/>
            <w:szCs w:val="19"/>
          </w:rPr>
          <w:t>10.1001/jamaophthalmol.2024.2296</w:t>
        </w:r>
      </w:hyperlink>
    </w:p>
    <w:sectPr w:rsidR="00FD782F" w:rsidRPr="00A350BB">
      <w:headerReference w:type="default" r:id="rId45"/>
      <w:footerReference w:type="default" r:id="rId4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1B79" w14:textId="77777777" w:rsidR="004E596B" w:rsidRDefault="004E596B">
      <w:r>
        <w:separator/>
      </w:r>
    </w:p>
  </w:endnote>
  <w:endnote w:type="continuationSeparator" w:id="0">
    <w:p w14:paraId="2E7937C2" w14:textId="77777777" w:rsidR="004E596B" w:rsidRDefault="004E5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FC22" w14:textId="77777777" w:rsidR="00FD782F"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A350B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2432" w14:textId="77777777" w:rsidR="004E596B" w:rsidRDefault="004E596B">
      <w:r>
        <w:separator/>
      </w:r>
    </w:p>
  </w:footnote>
  <w:footnote w:type="continuationSeparator" w:id="0">
    <w:p w14:paraId="354449B5" w14:textId="77777777" w:rsidR="004E596B" w:rsidRDefault="004E5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5BE9" w14:textId="77777777" w:rsidR="00FD782F" w:rsidRDefault="00000000">
    <w:pPr>
      <w:jc w:val="right"/>
    </w:pPr>
    <w:r>
      <w:rPr>
        <w:i/>
        <w:iCs/>
        <w:color w:val="7F7F7F"/>
        <w:sz w:val="18"/>
        <w:szCs w:val="18"/>
      </w:rPr>
      <w:t>Mechanisms of semaglutide and tirzepatide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236"/>
    <w:multiLevelType w:val="hybridMultilevel"/>
    <w:tmpl w:val="80F250CE"/>
    <w:lvl w:ilvl="0" w:tplc="501496B6">
      <w:start w:val="1"/>
      <w:numFmt w:val="bullet"/>
      <w:lvlText w:val="•"/>
      <w:lvlJc w:val="left"/>
      <w:pPr>
        <w:ind w:left="540" w:hanging="270"/>
      </w:pPr>
    </w:lvl>
    <w:lvl w:ilvl="1" w:tplc="4400418A">
      <w:numFmt w:val="decimal"/>
      <w:lvlText w:val=""/>
      <w:lvlJc w:val="left"/>
    </w:lvl>
    <w:lvl w:ilvl="2" w:tplc="DEE8F9D4">
      <w:numFmt w:val="decimal"/>
      <w:lvlText w:val=""/>
      <w:lvlJc w:val="left"/>
    </w:lvl>
    <w:lvl w:ilvl="3" w:tplc="E6644924">
      <w:numFmt w:val="decimal"/>
      <w:lvlText w:val=""/>
      <w:lvlJc w:val="left"/>
    </w:lvl>
    <w:lvl w:ilvl="4" w:tplc="68A607E6">
      <w:numFmt w:val="decimal"/>
      <w:lvlText w:val=""/>
      <w:lvlJc w:val="left"/>
    </w:lvl>
    <w:lvl w:ilvl="5" w:tplc="66728EF4">
      <w:numFmt w:val="decimal"/>
      <w:lvlText w:val=""/>
      <w:lvlJc w:val="left"/>
    </w:lvl>
    <w:lvl w:ilvl="6" w:tplc="C478B9CE">
      <w:numFmt w:val="decimal"/>
      <w:lvlText w:val=""/>
      <w:lvlJc w:val="left"/>
    </w:lvl>
    <w:lvl w:ilvl="7" w:tplc="B7B419F6">
      <w:numFmt w:val="decimal"/>
      <w:lvlText w:val=""/>
      <w:lvlJc w:val="left"/>
    </w:lvl>
    <w:lvl w:ilvl="8" w:tplc="44F00F08">
      <w:numFmt w:val="decimal"/>
      <w:lvlText w:val=""/>
      <w:lvlJc w:val="left"/>
    </w:lvl>
  </w:abstractNum>
  <w:abstractNum w:abstractNumId="1" w15:restartNumberingAfterBreak="0">
    <w:nsid w:val="398147A7"/>
    <w:multiLevelType w:val="hybridMultilevel"/>
    <w:tmpl w:val="4DD8C4A2"/>
    <w:lvl w:ilvl="0" w:tplc="30FC9CDE" w:tentative="1">
      <w:start w:val="1"/>
      <w:numFmt w:val="bullet"/>
      <w:lvlText w:val="●"/>
      <w:lvlJc w:val="left"/>
      <w:pPr>
        <w:ind w:left="720" w:hanging="360"/>
      </w:pPr>
    </w:lvl>
    <w:lvl w:ilvl="1" w:tplc="84AC5A0C" w:tentative="1">
      <w:start w:val="1"/>
      <w:numFmt w:val="bullet"/>
      <w:lvlText w:val="○"/>
      <w:lvlJc w:val="left"/>
      <w:pPr>
        <w:ind w:left="1440" w:hanging="360"/>
      </w:pPr>
    </w:lvl>
    <w:lvl w:ilvl="2" w:tplc="D6F614AA" w:tentative="1">
      <w:start w:val="1"/>
      <w:numFmt w:val="bullet"/>
      <w:lvlText w:val="■"/>
      <w:lvlJc w:val="left"/>
      <w:pPr>
        <w:ind w:left="2160" w:hanging="360"/>
      </w:pPr>
    </w:lvl>
    <w:lvl w:ilvl="3" w:tplc="3F1C7BF4" w:tentative="1">
      <w:start w:val="1"/>
      <w:numFmt w:val="bullet"/>
      <w:lvlText w:val="●"/>
      <w:lvlJc w:val="left"/>
      <w:pPr>
        <w:ind w:left="2880" w:hanging="360"/>
      </w:pPr>
    </w:lvl>
    <w:lvl w:ilvl="4" w:tplc="D42ACD3C" w:tentative="1">
      <w:start w:val="1"/>
      <w:numFmt w:val="bullet"/>
      <w:lvlText w:val="○"/>
      <w:lvlJc w:val="left"/>
      <w:pPr>
        <w:ind w:left="3600" w:hanging="360"/>
      </w:pPr>
    </w:lvl>
    <w:lvl w:ilvl="5" w:tplc="EF5EAC12" w:tentative="1">
      <w:start w:val="1"/>
      <w:numFmt w:val="bullet"/>
      <w:lvlText w:val="■"/>
      <w:lvlJc w:val="left"/>
      <w:pPr>
        <w:ind w:left="4320" w:hanging="360"/>
      </w:pPr>
    </w:lvl>
    <w:lvl w:ilvl="6" w:tplc="98904F80" w:tentative="1">
      <w:start w:val="1"/>
      <w:numFmt w:val="bullet"/>
      <w:lvlText w:val="●"/>
      <w:lvlJc w:val="left"/>
      <w:pPr>
        <w:ind w:left="5040" w:hanging="360"/>
      </w:pPr>
    </w:lvl>
    <w:lvl w:ilvl="7" w:tplc="375ADDF4" w:tentative="1">
      <w:start w:val="1"/>
      <w:numFmt w:val="bullet"/>
      <w:lvlText w:val="●"/>
      <w:lvlJc w:val="left"/>
      <w:pPr>
        <w:ind w:left="5760" w:hanging="360"/>
      </w:pPr>
    </w:lvl>
    <w:lvl w:ilvl="8" w:tplc="761EEB32" w:tentative="1">
      <w:start w:val="1"/>
      <w:numFmt w:val="bullet"/>
      <w:lvlText w:val="●"/>
      <w:lvlJc w:val="left"/>
      <w:pPr>
        <w:ind w:left="6480" w:hanging="360"/>
      </w:pPr>
    </w:lvl>
  </w:abstractNum>
  <w:num w:numId="1" w16cid:durableId="162597604">
    <w:abstractNumId w:val="1"/>
    <w:lvlOverride w:ilvl="0">
      <w:startOverride w:val="1"/>
    </w:lvlOverride>
  </w:num>
  <w:num w:numId="2" w16cid:durableId="2079479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82F"/>
    <w:rsid w:val="004E596B"/>
    <w:rsid w:val="00A350BB"/>
    <w:rsid w:val="00E744E3"/>
    <w:rsid w:val="00FD7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F1E2"/>
  <w15:docId w15:val="{66B3E7FF-A3E8-4048-8745-D1F142B3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79"/>
      <w:sz w:val="28"/>
      <w:szCs w:val="28"/>
    </w:rPr>
  </w:style>
  <w:style w:type="paragraph" w:styleId="Heading2">
    <w:name w:val="heading 2"/>
    <w:basedOn w:val="Normal"/>
    <w:next w:val="Normal"/>
    <w:uiPriority w:val="9"/>
    <w:unhideWhenUsed/>
    <w:qFormat/>
    <w:pPr>
      <w:keepNext/>
      <w:spacing w:before="240" w:after="120"/>
      <w:outlineLvl w:val="1"/>
    </w:pPr>
    <w:rPr>
      <w:b/>
      <w:bCs/>
      <w:i/>
      <w:iCs/>
      <w:color w:val="26262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21/acs.jmedchem.5b00726" TargetMode="External"/><Relationship Id="rId18" Type="http://schemas.openxmlformats.org/officeDocument/2006/relationships/hyperlink" Target="https://doi.org/10.1172/JCI146353" TargetMode="External"/><Relationship Id="rId26" Type="http://schemas.openxmlformats.org/officeDocument/2006/relationships/hyperlink" Target="https://doi.org/10.1016/S0140-6736(25)01375-3" TargetMode="External"/><Relationship Id="rId39" Type="http://schemas.openxmlformats.org/officeDocument/2006/relationships/hyperlink" Target="https://doi.org/10.1056/NEJMoa2301972" TargetMode="External"/><Relationship Id="rId21" Type="http://schemas.openxmlformats.org/officeDocument/2006/relationships/hyperlink" Target="https://doi.org/10.1016/j.cmet.2021.01.015" TargetMode="External"/><Relationship Id="rId34" Type="http://schemas.openxmlformats.org/officeDocument/2006/relationships/hyperlink" Target="https://doi.org/10.1056/NEJMoa2107519" TargetMode="External"/><Relationship Id="rId42" Type="http://schemas.openxmlformats.org/officeDocument/2006/relationships/hyperlink" Target="https://doi.org/10.1016/j.metabol.2024.156057"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72/jci.insight.140532" TargetMode="External"/><Relationship Id="rId29" Type="http://schemas.openxmlformats.org/officeDocument/2006/relationships/hyperlink" Target="https://doi.org/10.1056/NEJMoa25059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tem.2020.02.006" TargetMode="External"/><Relationship Id="rId24" Type="http://schemas.openxmlformats.org/officeDocument/2006/relationships/hyperlink" Target="https://doi.org/10.1056/NEJMoa2401943" TargetMode="External"/><Relationship Id="rId32" Type="http://schemas.openxmlformats.org/officeDocument/2006/relationships/hyperlink" Target="https://doi.org/10.1038/s42255-023-00966-w" TargetMode="External"/><Relationship Id="rId37" Type="http://schemas.openxmlformats.org/officeDocument/2006/relationships/hyperlink" Target="https://doi.org/10.1056/NEJMoa2416394" TargetMode="External"/><Relationship Id="rId40" Type="http://schemas.openxmlformats.org/officeDocument/2006/relationships/hyperlink" Target="https://doi.org/10.1111/dom.14725"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016/j.molmet.2018.09.009" TargetMode="External"/><Relationship Id="rId23" Type="http://schemas.openxmlformats.org/officeDocument/2006/relationships/hyperlink" Target="https://doi.org/10.1056/NEJMoa2413258" TargetMode="External"/><Relationship Id="rId28" Type="http://schemas.openxmlformats.org/officeDocument/2006/relationships/hyperlink" Target="https://doi.org/10.1056/NEJMoa2410027" TargetMode="External"/><Relationship Id="rId36" Type="http://schemas.openxmlformats.org/officeDocument/2006/relationships/hyperlink" Target="https://doi.org/10.1056/NEJMoa2206038" TargetMode="External"/><Relationship Id="rId10" Type="http://schemas.openxmlformats.org/officeDocument/2006/relationships/hyperlink" Target="https://doi.org/10.1016/j.cmet.2018.03.001" TargetMode="External"/><Relationship Id="rId19" Type="http://schemas.openxmlformats.org/officeDocument/2006/relationships/hyperlink" Target="https://doi.org/10.1172/JCI75276" TargetMode="External"/><Relationship Id="rId31" Type="http://schemas.openxmlformats.org/officeDocument/2006/relationships/hyperlink" Target="https://doi.org/10.1126/scitranslmed.aat3392" TargetMode="External"/><Relationship Id="rId44" Type="http://schemas.openxmlformats.org/officeDocument/2006/relationships/hyperlink" Target="https://doi.org/10.1001/jamaophthalmol.2024.2296" TargetMode="External"/><Relationship Id="rId4" Type="http://schemas.openxmlformats.org/officeDocument/2006/relationships/webSettings" Target="webSettings.xml"/><Relationship Id="rId9" Type="http://schemas.openxmlformats.org/officeDocument/2006/relationships/hyperlink" Target="https://doi.org/10.1007/BF02427280" TargetMode="External"/><Relationship Id="rId14" Type="http://schemas.openxmlformats.org/officeDocument/2006/relationships/hyperlink" Target="https://doi.org/10.1056/NEJMoa1607141" TargetMode="External"/><Relationship Id="rId22" Type="http://schemas.openxmlformats.org/officeDocument/2006/relationships/hyperlink" Target="https://doi.org/10.1172/jci.insight.164921" TargetMode="External"/><Relationship Id="rId27" Type="http://schemas.openxmlformats.org/officeDocument/2006/relationships/hyperlink" Target="https://doi.org/10.1056/NEJMoa2306963" TargetMode="External"/><Relationship Id="rId30" Type="http://schemas.openxmlformats.org/officeDocument/2006/relationships/hyperlink" Target="https://doi.org/10.1056/NEJMoa2403347" TargetMode="External"/><Relationship Id="rId35" Type="http://schemas.openxmlformats.org/officeDocument/2006/relationships/hyperlink" Target="https://doi.org/10.1056/NEJMoa2032183" TargetMode="External"/><Relationship Id="rId43" Type="http://schemas.openxmlformats.org/officeDocument/2006/relationships/hyperlink" Target="https://doi.org/10.1210/en.2009-1272"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72/JCI116186" TargetMode="External"/><Relationship Id="rId17" Type="http://schemas.openxmlformats.org/officeDocument/2006/relationships/hyperlink" Target="https://doi.org/10.1016/S2213-8587(22)00085-7" TargetMode="External"/><Relationship Id="rId25" Type="http://schemas.openxmlformats.org/officeDocument/2006/relationships/hyperlink" Target="https://doi.org/10.1056/NEJMoa2307563" TargetMode="External"/><Relationship Id="rId33" Type="http://schemas.openxmlformats.org/officeDocument/2006/relationships/hyperlink" Target="https://doi.org/10.1038/s41467-020-18751-8" TargetMode="External"/><Relationship Id="rId38" Type="http://schemas.openxmlformats.org/officeDocument/2006/relationships/hyperlink" Target="https://doi.org/10.1056/NEJMoa2502081" TargetMode="External"/><Relationship Id="rId46" Type="http://schemas.openxmlformats.org/officeDocument/2006/relationships/footer" Target="footer1.xml"/><Relationship Id="rId20" Type="http://schemas.openxmlformats.org/officeDocument/2006/relationships/hyperlink" Target="https://doi.org/10.1001/jamapsychiatry.2024.4789" TargetMode="External"/><Relationship Id="rId41" Type="http://schemas.openxmlformats.org/officeDocument/2006/relationships/hyperlink" Target="https://doi.org/10.1016/j.metabol.2024.156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5918</Words>
  <Characters>33734</Characters>
  <Application>Microsoft Office Word</Application>
  <DocSecurity>0</DocSecurity>
  <Lines>281</Lines>
  <Paragraphs>79</Paragraphs>
  <ScaleCrop>false</ScaleCrop>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Mechanisms of Action of Semaglutide and Tirzepatide: From Receptor Pharmacology to Clinical Outcomes</dc:title>
  <dc:description>Narrative review</dc:description>
  <cp:lastModifiedBy>Augustine Odibo</cp:lastModifiedBy>
  <cp:revision>2</cp:revision>
  <dcterms:created xsi:type="dcterms:W3CDTF">2026-10-24T03:22:00Z</dcterms:created>
  <dcterms:modified xsi:type="dcterms:W3CDTF">2026-10-24T03:32:00Z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17801ef6b9d2450218f555723044b82fb64f75c87abd4078a264361119bb1908</vt:lpwstr>
  </property>
</Properties>
</file>