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49C50">
      <w:pPr>
        <w:widowControl/>
        <w:spacing w:after="40"/>
      </w:pPr>
      <w:r>
        <w:rPr>
          <w:rFonts w:ascii="Aptos Display" w:hAnsi="Aptos Display"/>
          <w:b/>
          <w:color w:val="1F3748"/>
          <w:sz w:val="40"/>
        </w:rPr>
        <w:t>Forecasting Household Appliance Energy Use</w:t>
      </w:r>
    </w:p>
    <w:p w14:paraId="543FC5E1">
      <w:pPr>
        <w:widowControl/>
        <w:spacing w:after="60"/>
      </w:pPr>
      <w:r>
        <w:rPr>
          <w:rFonts w:ascii="Aptos" w:hAnsi="Aptos"/>
          <w:color w:val="5A5A5A"/>
          <w:sz w:val="20"/>
        </w:rPr>
        <w:t>A case study comparing simple, statistical, machine learning, and foundation model forecasts</w:t>
      </w:r>
    </w:p>
    <w:p w14:paraId="1F613514">
      <w:pPr>
        <w:widowControl/>
        <w:spacing w:after="0"/>
      </w:pPr>
      <w:r>
        <w:rPr>
          <w:rFonts w:ascii="Aptos" w:hAnsi="Aptos"/>
          <w:b/>
          <w:color w:val="1F3748"/>
          <w:sz w:val="18"/>
        </w:rPr>
        <w:t>Augustine Akauba</w:t>
      </w:r>
    </w:p>
    <w:p w14:paraId="4973C9C5">
      <w:pPr>
        <w:widowControl/>
        <w:spacing w:after="0"/>
      </w:pPr>
      <w:r>
        <w:rPr>
          <w:rFonts w:ascii="Aptos" w:hAnsi="Aptos"/>
          <w:color w:val="5A5A5A"/>
          <w:sz w:val="17"/>
        </w:rPr>
        <w:t>Student ID: 24127523</w:t>
      </w:r>
    </w:p>
    <w:p w14:paraId="45C5B62B">
      <w:pPr>
        <w:widowControl/>
        <w:spacing w:after="40"/>
        <w:rPr>
          <w:color w:val="0563C1"/>
          <w:u w:val="single"/>
        </w:rPr>
      </w:pPr>
      <w:r>
        <w:rPr>
          <w:rFonts w:ascii="Aptos" w:hAnsi="Aptos"/>
          <w:color w:val="5A5A5A"/>
          <w:sz w:val="17"/>
        </w:rPr>
        <w:t xml:space="preserve">GitHub: </w:t>
      </w:r>
      <w:r>
        <w:fldChar w:fldCharType="begin"/>
      </w:r>
      <w:r>
        <w:instrText xml:space="preserve"> HYPERLINK "https://github.com/augustineakauba/Appliance-Energy-Forecasting" \h </w:instrText>
      </w:r>
      <w:r>
        <w:fldChar w:fldCharType="separate"/>
      </w:r>
      <w:r>
        <w:rPr>
          <w:color w:val="0563C1"/>
          <w:u w:val="single"/>
        </w:rPr>
        <w:t>https://github.com/augustineakauba/Appliance-Energy-Forecasting</w:t>
      </w:r>
      <w:r>
        <w:rPr>
          <w:color w:val="0563C1"/>
          <w:u w:val="single"/>
        </w:rPr>
        <w:fldChar w:fldCharType="end"/>
      </w:r>
    </w:p>
    <w:p w14:paraId="015FA98E">
      <w:pPr>
        <w:widowControl/>
        <w:spacing w:after="40"/>
        <w:rPr>
          <w:color w:val="0563C1"/>
          <w:u w:val="single"/>
        </w:rPr>
      </w:pPr>
      <w:bookmarkStart w:id="0" w:name="_GoBack"/>
      <w:bookmarkEnd w:id="0"/>
    </w:p>
    <w:p w14:paraId="146FD6A5">
      <w:pPr>
        <w:keepNext/>
        <w:widowControl/>
        <w:spacing w:before="100" w:after="40"/>
      </w:pPr>
      <w:r>
        <w:rPr>
          <w:rFonts w:ascii="Aptos Display" w:hAnsi="Aptos Display"/>
          <w:b/>
          <w:color w:val="1F4E79"/>
          <w:sz w:val="25"/>
        </w:rPr>
        <w:t>1  Introduction</w:t>
      </w:r>
    </w:p>
    <w:p w14:paraId="1F35536E">
      <w:pPr>
        <w:widowControl/>
        <w:spacing w:after="60" w:line="240" w:lineRule="auto"/>
      </w:pPr>
      <w:r>
        <w:rPr>
          <w:rFonts w:ascii="Aptos" w:hAnsi="Aptos"/>
          <w:color w:val="1E1E1E"/>
          <w:sz w:val="16"/>
        </w:rPr>
        <w:t>Short term forecasts of household electricity can support smart home control, battery planning, and demand response. A home does not use electricity at a steady rate. Energy use changes when people cook, clean, return home, or switch on a powerful appliance. Some of these actions follow a routine, so daily and weekly patterns may be learned. Other actions happen suddenly. This creates sharp peaks that are much harder to predict. The practical question in this study was therefore simple, how much extra accuracy do complicated models really provide when the next 24 hours of appliance use must be forecast?</w:t>
      </w:r>
    </w:p>
    <w:p w14:paraId="477C3676">
      <w:pPr>
        <w:widowControl/>
        <w:spacing w:after="60" w:line="240" w:lineRule="auto"/>
      </w:pPr>
      <w:r>
        <w:rPr>
          <w:rFonts w:ascii="Aptos" w:hAnsi="Aptos"/>
          <w:color w:val="1E1E1E"/>
          <w:sz w:val="16"/>
        </w:rPr>
        <w:t>I treated hourly appliance energy use, measured in Wh, as the target. I compared five simple benchmarks with SARIMA, SARIMAX, two XGBoost versions, and Chronos 2. The benchmarks were important because a complex model is not useful just because it looks advanced. It should clearly beat a reasonable simple method. I also considered accuracy, interpretability, uncertainty, computing cost, and whether the information used by a model would truly be known when the forecast was made.</w:t>
      </w:r>
    </w:p>
    <w:p w14:paraId="5DB428E7">
      <w:pPr>
        <w:keepNext/>
        <w:widowControl/>
        <w:spacing w:before="100" w:after="40"/>
      </w:pPr>
      <w:r>
        <w:rPr>
          <w:rFonts w:ascii="Aptos Display" w:hAnsi="Aptos Display"/>
          <w:b/>
          <w:color w:val="1F4E79"/>
          <w:sz w:val="25"/>
        </w:rPr>
        <w:t>2  Data and preparation</w:t>
      </w:r>
    </w:p>
    <w:p w14:paraId="429C9C49">
      <w:pPr>
        <w:widowControl/>
        <w:spacing w:after="60" w:line="240" w:lineRule="auto"/>
      </w:pPr>
      <w:r>
        <w:rPr>
          <w:rFonts w:ascii="Aptos" w:hAnsi="Aptos"/>
          <w:color w:val="1E1E1E"/>
          <w:sz w:val="16"/>
        </w:rPr>
        <w:t>The Appliances Energy Prediction data came from one low energy house and covered 11 January to 27 May 2016. It contained 19,735 readings recorded every ten minutes. The variables included appliance energy, lighting, indoor temperature and humidity from several rooms, and outdoor weather. The timestamp was changed into a proper date index and checked in order. I found no missing values, so I did not need to guess or fill any readings. I also left out the two random variables because they did not describe a real part of the house.</w:t>
      </w:r>
    </w:p>
    <w:p w14:paraId="1FFC33A4">
      <w:pPr>
        <w:widowControl/>
        <w:spacing w:after="60" w:line="240" w:lineRule="auto"/>
      </w:pPr>
      <w:r>
        <w:rPr>
          <w:rFonts w:ascii="Aptos" w:hAnsi="Aptos"/>
          <w:color w:val="1E1E1E"/>
          <w:sz w:val="16"/>
        </w:rPr>
        <w:t>I averaged each set of six ten minute readings to produce 3,290 complete hourly values. This made a daily seasonal period equal to 24, which was practical for SARIMA and matched the assignment forecast horizon. Averaging also kept the energy values on a scale that was easy to read. Using a sum would make every hourly value six times larger, but it would not change the order of the models because every forecast error would be scaled in the same way. The cleaned hourly series had a low normal level with occasional large peaks, so I expected RMSE to be strongly affected by a small number of difficult hours.</w:t>
      </w:r>
    </w:p>
    <w:p w14:paraId="3EF46ED4">
      <w:pPr>
        <w:keepNext/>
        <w:widowControl/>
        <w:spacing w:before="100" w:after="40"/>
      </w:pPr>
      <w:r>
        <w:rPr>
          <w:rFonts w:ascii="Aptos Display" w:hAnsi="Aptos Display"/>
          <w:b/>
          <w:color w:val="1F4E79"/>
          <w:sz w:val="25"/>
        </w:rPr>
        <w:t>3  Forecast design and model choices</w:t>
      </w:r>
    </w:p>
    <w:p w14:paraId="6EC7F4EA">
      <w:pPr>
        <w:widowControl/>
        <w:spacing w:after="60" w:line="240" w:lineRule="auto"/>
      </w:pPr>
      <w:r>
        <w:rPr>
          <w:rFonts w:ascii="Aptos" w:hAnsi="Aptos"/>
          <w:color w:val="1E1E1E"/>
          <w:sz w:val="16"/>
        </w:rPr>
        <w:t>The final 14 days, or 336 hours, were kept as unseen test data. Each model predicted one full day at a time. After that day finished, the actual readings were added before the next 24 hour forecast. This rolling origin design produced 14 forecast days and was closer to real use than making only one forecast at the end. Every model predicted the same hours, so differences in the scores came from the models rather than different test periods.</w:t>
      </w:r>
    </w:p>
    <w:p w14:paraId="6CCD5C64">
      <w:pPr>
        <w:widowControl/>
        <w:spacing w:after="60" w:line="240" w:lineRule="auto"/>
      </w:pPr>
      <w:r>
        <w:rPr>
          <w:rFonts w:ascii="Aptos" w:hAnsi="Aptos"/>
          <w:color w:val="1E1E1E"/>
          <w:sz w:val="16"/>
        </w:rPr>
        <w:t>Mean, naive, daily seasonal naive, weekly seasonal naive, and drift gave clear starting points. SARIMA was included because the early plots showed daily repetition and autocorrelation, and it could provide a 95 percent interval. SARIMAX tested whether outside variables added useful information. XGBoost was chosen because it can learn curved relationships and interactions from lag, rolling, time, sensor, and weather features. Chronos 2 tested whether a pretrained model could make a strong forecast from the appliance history without being trained on this house.</w:t>
      </w:r>
    </w:p>
    <w:p w14:paraId="4442D2F6">
      <w:pPr>
        <w:widowControl/>
        <w:spacing w:after="60" w:line="240" w:lineRule="auto"/>
      </w:pPr>
      <w:r>
        <w:rPr>
          <w:rFonts w:ascii="Aptos" w:hAnsi="Aptos"/>
          <w:color w:val="1E1E1E"/>
          <w:sz w:val="16"/>
        </w:rPr>
        <w:t>I used MAE to show the usual size of an error and RMSE to give extra punishment to large mistakes. MAPE gave a percentage view, although low actual values can make it unstable. MASE compared each forecast with a daily naive scale. Bias showed whether a model normally predicted too high or too low. Looking at all of these measures was important because one model could be good during normal hours but still fail badly during peaks.</w:t>
      </w:r>
    </w:p>
    <w:p w14:paraId="28D45913">
      <w:pPr>
        <w:keepNext/>
        <w:widowControl/>
        <w:spacing w:before="100" w:after="40"/>
      </w:pPr>
      <w:r>
        <w:rPr>
          <w:rFonts w:ascii="Aptos Display" w:hAnsi="Aptos Display"/>
          <w:b/>
          <w:color w:val="1F4E79"/>
          <w:sz w:val="25"/>
        </w:rPr>
        <w:t>4  Headline result and recommendation</w:t>
      </w:r>
    </w:p>
    <w:p w14:paraId="19E95892">
      <w:pPr>
        <w:widowControl/>
        <w:spacing w:after="60" w:line="240" w:lineRule="auto"/>
      </w:pPr>
      <w:r>
        <w:rPr>
          <w:rFonts w:ascii="Aptos" w:hAnsi="Aptos"/>
          <w:color w:val="1E1E1E"/>
          <w:sz w:val="16"/>
        </w:rPr>
        <w:t>The result was not completely one sided. Chronos 2 had the best MAE, 32.82 Wh, and MASE, 0.61, so it was closest during a typical hour. SARIMA had the best RMSE, 64.82 Wh, so it controlled the largest errors slightly better. Weekly seasonal naive was the strongest simple benchmark by MAE, which showed that the same hour from the previous week contained useful information. However, copying last week also copied peaks that did not always happen again.</w:t>
      </w:r>
    </w:p>
    <w:tbl>
      <w:tblPr>
        <w:tblStyle w:val="12"/>
        <w:tblW w:w="0" w:type="auto"/>
        <w:jc w:val="center"/>
        <w:tblLayout w:type="fixed"/>
        <w:tblCellMar>
          <w:top w:w="0" w:type="dxa"/>
          <w:left w:w="108" w:type="dxa"/>
          <w:bottom w:w="0" w:type="dxa"/>
          <w:right w:w="108" w:type="dxa"/>
        </w:tblCellMar>
      </w:tblPr>
      <w:tblGrid>
        <w:gridCol w:w="2498"/>
        <w:gridCol w:w="2498"/>
        <w:gridCol w:w="2498"/>
        <w:gridCol w:w="2498"/>
      </w:tblGrid>
      <w:tr w14:paraId="57FB59F6">
        <w:trPr>
          <w:jc w:val="center"/>
        </w:trPr>
        <w:tc>
          <w:tcPr>
            <w:tcW w:w="4032" w:type="dxa"/>
            <w:shd w:val="clear" w:color="auto" w:fill="DCE6F1"/>
            <w:vAlign w:val="center"/>
          </w:tcPr>
          <w:p w14:paraId="07C42CC9">
            <w:pPr>
              <w:spacing w:after="0"/>
            </w:pPr>
            <w:r>
              <w:rPr>
                <w:rFonts w:ascii="Aptos" w:hAnsi="Aptos"/>
                <w:b/>
                <w:sz w:val="15"/>
              </w:rPr>
              <w:t>Model</w:t>
            </w:r>
          </w:p>
        </w:tc>
        <w:tc>
          <w:tcPr>
            <w:tcW w:w="1440" w:type="dxa"/>
            <w:shd w:val="clear" w:color="auto" w:fill="DCE6F1"/>
            <w:vAlign w:val="center"/>
          </w:tcPr>
          <w:p w14:paraId="5919EDBE">
            <w:pPr>
              <w:spacing w:after="0"/>
            </w:pPr>
            <w:r>
              <w:rPr>
                <w:rFonts w:ascii="Aptos" w:hAnsi="Aptos"/>
                <w:b/>
                <w:sz w:val="15"/>
              </w:rPr>
              <w:t>MAE</w:t>
            </w:r>
          </w:p>
        </w:tc>
        <w:tc>
          <w:tcPr>
            <w:tcW w:w="1440" w:type="dxa"/>
            <w:shd w:val="clear" w:color="auto" w:fill="DCE6F1"/>
            <w:vAlign w:val="center"/>
          </w:tcPr>
          <w:p w14:paraId="0D164B81">
            <w:pPr>
              <w:spacing w:after="0"/>
            </w:pPr>
            <w:r>
              <w:rPr>
                <w:rFonts w:ascii="Aptos" w:hAnsi="Aptos"/>
                <w:b/>
                <w:sz w:val="15"/>
              </w:rPr>
              <w:t>RMSE</w:t>
            </w:r>
          </w:p>
        </w:tc>
        <w:tc>
          <w:tcPr>
            <w:tcW w:w="1440" w:type="dxa"/>
            <w:shd w:val="clear" w:color="auto" w:fill="DCE6F1"/>
            <w:vAlign w:val="center"/>
          </w:tcPr>
          <w:p w14:paraId="13511C30">
            <w:pPr>
              <w:spacing w:after="0"/>
            </w:pPr>
            <w:r>
              <w:rPr>
                <w:rFonts w:ascii="Aptos" w:hAnsi="Aptos"/>
                <w:b/>
                <w:sz w:val="15"/>
              </w:rPr>
              <w:t>MASE</w:t>
            </w:r>
          </w:p>
        </w:tc>
      </w:tr>
      <w:tr w14:paraId="4A16749D">
        <w:trPr>
          <w:jc w:val="center"/>
        </w:trPr>
        <w:tc>
          <w:tcPr>
            <w:tcW w:w="4032" w:type="dxa"/>
            <w:vAlign w:val="center"/>
          </w:tcPr>
          <w:p w14:paraId="3CA2BA63">
            <w:pPr>
              <w:spacing w:after="0"/>
            </w:pPr>
            <w:r>
              <w:rPr>
                <w:rFonts w:ascii="Aptos" w:hAnsi="Aptos"/>
                <w:b w:val="0"/>
                <w:sz w:val="15"/>
              </w:rPr>
              <w:t>Chronos 2</w:t>
            </w:r>
          </w:p>
        </w:tc>
        <w:tc>
          <w:tcPr>
            <w:tcW w:w="1440" w:type="dxa"/>
            <w:vAlign w:val="center"/>
          </w:tcPr>
          <w:p w14:paraId="72A62A1B">
            <w:pPr>
              <w:spacing w:after="0"/>
            </w:pPr>
            <w:r>
              <w:rPr>
                <w:rFonts w:ascii="Aptos" w:hAnsi="Aptos"/>
                <w:b w:val="0"/>
                <w:sz w:val="15"/>
              </w:rPr>
              <w:t>32.82</w:t>
            </w:r>
          </w:p>
        </w:tc>
        <w:tc>
          <w:tcPr>
            <w:tcW w:w="1440" w:type="dxa"/>
            <w:vAlign w:val="center"/>
          </w:tcPr>
          <w:p w14:paraId="45D83219">
            <w:pPr>
              <w:spacing w:after="0"/>
            </w:pPr>
            <w:r>
              <w:rPr>
                <w:rFonts w:ascii="Aptos" w:hAnsi="Aptos"/>
                <w:b w:val="0"/>
                <w:sz w:val="15"/>
              </w:rPr>
              <w:t>67.09</w:t>
            </w:r>
          </w:p>
        </w:tc>
        <w:tc>
          <w:tcPr>
            <w:tcW w:w="1440" w:type="dxa"/>
            <w:vAlign w:val="center"/>
          </w:tcPr>
          <w:p w14:paraId="30FE4376">
            <w:pPr>
              <w:spacing w:after="0"/>
            </w:pPr>
            <w:r>
              <w:rPr>
                <w:rFonts w:ascii="Aptos" w:hAnsi="Aptos"/>
                <w:b w:val="0"/>
                <w:sz w:val="15"/>
              </w:rPr>
              <w:t>0.61</w:t>
            </w:r>
          </w:p>
        </w:tc>
      </w:tr>
      <w:tr w14:paraId="0C590FCD">
        <w:trPr>
          <w:jc w:val="center"/>
        </w:trPr>
        <w:tc>
          <w:tcPr>
            <w:tcW w:w="4032" w:type="dxa"/>
            <w:vAlign w:val="center"/>
          </w:tcPr>
          <w:p w14:paraId="24C2A6FF">
            <w:pPr>
              <w:spacing w:after="0"/>
            </w:pPr>
            <w:r>
              <w:rPr>
                <w:rFonts w:ascii="Aptos" w:hAnsi="Aptos"/>
                <w:b w:val="0"/>
                <w:sz w:val="15"/>
              </w:rPr>
              <w:t>SARIMA</w:t>
            </w:r>
          </w:p>
        </w:tc>
        <w:tc>
          <w:tcPr>
            <w:tcW w:w="1440" w:type="dxa"/>
            <w:vAlign w:val="center"/>
          </w:tcPr>
          <w:p w14:paraId="4B34F6E2">
            <w:pPr>
              <w:spacing w:after="0"/>
            </w:pPr>
            <w:r>
              <w:rPr>
                <w:rFonts w:ascii="Aptos" w:hAnsi="Aptos"/>
                <w:b w:val="0"/>
                <w:sz w:val="15"/>
              </w:rPr>
              <w:t>36.04</w:t>
            </w:r>
          </w:p>
        </w:tc>
        <w:tc>
          <w:tcPr>
            <w:tcW w:w="1440" w:type="dxa"/>
            <w:vAlign w:val="center"/>
          </w:tcPr>
          <w:p w14:paraId="56738A15">
            <w:pPr>
              <w:spacing w:after="0"/>
            </w:pPr>
            <w:r>
              <w:rPr>
                <w:rFonts w:ascii="Aptos" w:hAnsi="Aptos"/>
                <w:b w:val="0"/>
                <w:sz w:val="15"/>
              </w:rPr>
              <w:t>64.82</w:t>
            </w:r>
          </w:p>
        </w:tc>
        <w:tc>
          <w:tcPr>
            <w:tcW w:w="1440" w:type="dxa"/>
            <w:vAlign w:val="center"/>
          </w:tcPr>
          <w:p w14:paraId="48C52B9C">
            <w:pPr>
              <w:spacing w:after="0"/>
            </w:pPr>
            <w:r>
              <w:rPr>
                <w:rFonts w:ascii="Aptos" w:hAnsi="Aptos"/>
                <w:b w:val="0"/>
                <w:sz w:val="15"/>
              </w:rPr>
              <w:t>0.67</w:t>
            </w:r>
          </w:p>
        </w:tc>
      </w:tr>
      <w:tr w14:paraId="730D1115">
        <w:trPr>
          <w:jc w:val="center"/>
        </w:trPr>
        <w:tc>
          <w:tcPr>
            <w:tcW w:w="4032" w:type="dxa"/>
            <w:vAlign w:val="center"/>
          </w:tcPr>
          <w:p w14:paraId="6607414E">
            <w:pPr>
              <w:spacing w:after="0"/>
            </w:pPr>
            <w:r>
              <w:rPr>
                <w:rFonts w:ascii="Aptos" w:hAnsi="Aptos"/>
                <w:b w:val="0"/>
                <w:sz w:val="15"/>
              </w:rPr>
              <w:t>Weekly seasonal naive</w:t>
            </w:r>
          </w:p>
        </w:tc>
        <w:tc>
          <w:tcPr>
            <w:tcW w:w="1440" w:type="dxa"/>
            <w:vAlign w:val="center"/>
          </w:tcPr>
          <w:p w14:paraId="0597CBB8">
            <w:pPr>
              <w:spacing w:after="0"/>
            </w:pPr>
            <w:r>
              <w:rPr>
                <w:rFonts w:ascii="Aptos" w:hAnsi="Aptos"/>
                <w:b w:val="0"/>
                <w:sz w:val="15"/>
              </w:rPr>
              <w:t>43.46</w:t>
            </w:r>
          </w:p>
        </w:tc>
        <w:tc>
          <w:tcPr>
            <w:tcW w:w="1440" w:type="dxa"/>
            <w:vAlign w:val="center"/>
          </w:tcPr>
          <w:p w14:paraId="528EC00C">
            <w:pPr>
              <w:spacing w:after="0"/>
            </w:pPr>
            <w:r>
              <w:rPr>
                <w:rFonts w:ascii="Aptos" w:hAnsi="Aptos"/>
                <w:b w:val="0"/>
                <w:sz w:val="15"/>
              </w:rPr>
              <w:t>81.41</w:t>
            </w:r>
          </w:p>
        </w:tc>
        <w:tc>
          <w:tcPr>
            <w:tcW w:w="1440" w:type="dxa"/>
            <w:vAlign w:val="center"/>
          </w:tcPr>
          <w:p w14:paraId="1089C351">
            <w:pPr>
              <w:spacing w:after="0"/>
            </w:pPr>
            <w:r>
              <w:rPr>
                <w:rFonts w:ascii="Aptos" w:hAnsi="Aptos"/>
                <w:b w:val="0"/>
                <w:sz w:val="15"/>
              </w:rPr>
              <w:t>0.81</w:t>
            </w:r>
          </w:p>
        </w:tc>
      </w:tr>
    </w:tbl>
    <w:p w14:paraId="3F6194F9">
      <w:pPr>
        <w:widowControl/>
        <w:spacing w:after="60" w:line="240" w:lineRule="auto"/>
      </w:pPr>
      <w:r>
        <w:rPr>
          <w:rFonts w:ascii="Aptos" w:hAnsi="Aptos"/>
          <w:color w:val="1E1E1E"/>
          <w:sz w:val="16"/>
        </w:rPr>
        <w:t>For practical use, I would choose SARIMA. Chronos improved MAE by 3.22 Wh, but it did not improve RMSE. SARIMA was easier to understand, cheaper to run, and gave a clear uncertainty interval. Chronos would still be my choice if average accuracy mattered most and enough computing power was already available. The rest of this report explains why the errors behaved this way and why more input variables did not always produce a better forecast.</w:t>
      </w:r>
    </w:p>
    <w:p w14:paraId="074FA082">
      <w:pPr>
        <w:widowControl/>
      </w:pPr>
      <w:r>
        <w:br w:type="page"/>
      </w:r>
    </w:p>
    <w:p w14:paraId="158AC175">
      <w:pPr>
        <w:widowControl/>
        <w:spacing w:after="80"/>
        <w:jc w:val="left"/>
      </w:pPr>
      <w:r>
        <w:rPr>
          <w:rFonts w:ascii="Aptos Display" w:hAnsi="Aptos Display"/>
          <w:b/>
          <w:color w:val="1F3748"/>
          <w:sz w:val="50"/>
        </w:rPr>
        <w:t>1  Data and preparation</w:t>
      </w:r>
    </w:p>
    <w:p w14:paraId="285C03D6">
      <w:pPr>
        <w:widowControl/>
      </w:pPr>
      <w:r>
        <w:t>I used the Appliances Energy Prediction data from one low energy house. It has 19,735 readings collected from 11 January to 27 May 2016. A new reading was recorded every ten minutes. My target was Appliances, measured in Wh. The file also included room temperature, humidity, outdoor weather, lighting, and two random variables.</w:t>
      </w:r>
    </w:p>
    <w:p w14:paraId="181CD7BE">
      <w:pPr>
        <w:widowControl/>
      </w:pPr>
      <w:r>
        <w:t>This is a time series problem because the order of the readings matters. A value recorded at 6 pm is connected to what happened earlier that day, and it may also be related to 6 pm on previous days. For this reason, I did not shuffle the data like an ordinary regression data set. Shuffling would allow the model to learn from future behaviour while pretending it was predicting the future.</w:t>
      </w:r>
    </w:p>
    <w:tbl>
      <w:tblPr>
        <w:tblStyle w:val="12"/>
        <w:tblW w:w="0" w:type="auto"/>
        <w:jc w:val="center"/>
        <w:tblLayout w:type="fixed"/>
        <w:tblCellMar>
          <w:top w:w="0" w:type="dxa"/>
          <w:left w:w="108" w:type="dxa"/>
          <w:bottom w:w="0" w:type="dxa"/>
          <w:right w:w="108" w:type="dxa"/>
        </w:tblCellMar>
      </w:tblPr>
      <w:tblGrid>
        <w:gridCol w:w="4997"/>
        <w:gridCol w:w="4997"/>
      </w:tblGrid>
      <w:tr w14:paraId="7EA3D27D">
        <w:trPr>
          <w:jc w:val="center"/>
        </w:trPr>
        <w:tc>
          <w:tcPr>
            <w:tcW w:w="3456" w:type="dxa"/>
            <w:shd w:val="clear" w:color="auto" w:fill="DCE6F1"/>
            <w:vAlign w:val="center"/>
          </w:tcPr>
          <w:p w14:paraId="648C40E4">
            <w:pPr>
              <w:spacing w:after="0"/>
            </w:pPr>
            <w:r>
              <w:rPr>
                <w:rFonts w:ascii="Aptos" w:hAnsi="Aptos"/>
                <w:b/>
                <w:sz w:val="16"/>
              </w:rPr>
              <w:t>Check</w:t>
            </w:r>
          </w:p>
        </w:tc>
        <w:tc>
          <w:tcPr>
            <w:tcW w:w="4896" w:type="dxa"/>
            <w:shd w:val="clear" w:color="auto" w:fill="DCE6F1"/>
            <w:vAlign w:val="center"/>
          </w:tcPr>
          <w:p w14:paraId="3DFF3816">
            <w:pPr>
              <w:spacing w:after="0"/>
            </w:pPr>
            <w:r>
              <w:rPr>
                <w:rFonts w:ascii="Aptos" w:hAnsi="Aptos"/>
                <w:b/>
                <w:sz w:val="16"/>
              </w:rPr>
              <w:t>Result</w:t>
            </w:r>
          </w:p>
        </w:tc>
      </w:tr>
      <w:tr w14:paraId="565781E6">
        <w:trPr>
          <w:jc w:val="center"/>
        </w:trPr>
        <w:tc>
          <w:tcPr>
            <w:tcW w:w="3456" w:type="dxa"/>
            <w:vAlign w:val="center"/>
          </w:tcPr>
          <w:p w14:paraId="017F68A9">
            <w:pPr>
              <w:spacing w:after="0"/>
            </w:pPr>
            <w:r>
              <w:rPr>
                <w:rFonts w:ascii="Aptos" w:hAnsi="Aptos"/>
                <w:b w:val="0"/>
                <w:sz w:val="16"/>
              </w:rPr>
              <w:t>Original rows</w:t>
            </w:r>
          </w:p>
        </w:tc>
        <w:tc>
          <w:tcPr>
            <w:tcW w:w="4896" w:type="dxa"/>
            <w:vAlign w:val="center"/>
          </w:tcPr>
          <w:p w14:paraId="1BCE451B">
            <w:pPr>
              <w:spacing w:after="0"/>
            </w:pPr>
            <w:r>
              <w:rPr>
                <w:rFonts w:ascii="Aptos" w:hAnsi="Aptos"/>
                <w:b w:val="0"/>
                <w:sz w:val="16"/>
              </w:rPr>
              <w:t>19,735</w:t>
            </w:r>
          </w:p>
        </w:tc>
      </w:tr>
      <w:tr w14:paraId="53CA2422">
        <w:trPr>
          <w:jc w:val="center"/>
        </w:trPr>
        <w:tc>
          <w:tcPr>
            <w:tcW w:w="3456" w:type="dxa"/>
            <w:vAlign w:val="center"/>
          </w:tcPr>
          <w:p w14:paraId="0643503A">
            <w:pPr>
              <w:spacing w:after="0"/>
            </w:pPr>
            <w:r>
              <w:rPr>
                <w:rFonts w:ascii="Aptos" w:hAnsi="Aptos"/>
                <w:b w:val="0"/>
                <w:sz w:val="16"/>
              </w:rPr>
              <w:t>Hourly rows</w:t>
            </w:r>
          </w:p>
        </w:tc>
        <w:tc>
          <w:tcPr>
            <w:tcW w:w="4896" w:type="dxa"/>
            <w:vAlign w:val="center"/>
          </w:tcPr>
          <w:p w14:paraId="3DC1D71C">
            <w:pPr>
              <w:spacing w:after="0"/>
            </w:pPr>
            <w:r>
              <w:rPr>
                <w:rFonts w:ascii="Aptos" w:hAnsi="Aptos"/>
                <w:b w:val="0"/>
                <w:sz w:val="16"/>
              </w:rPr>
              <w:t>3,290</w:t>
            </w:r>
          </w:p>
        </w:tc>
      </w:tr>
      <w:tr w14:paraId="11F90DBE">
        <w:trPr>
          <w:jc w:val="center"/>
        </w:trPr>
        <w:tc>
          <w:tcPr>
            <w:tcW w:w="3456" w:type="dxa"/>
            <w:vAlign w:val="center"/>
          </w:tcPr>
          <w:p w14:paraId="343DC840">
            <w:pPr>
              <w:spacing w:after="0"/>
            </w:pPr>
            <w:r>
              <w:rPr>
                <w:rFonts w:ascii="Aptos" w:hAnsi="Aptos"/>
                <w:b w:val="0"/>
                <w:sz w:val="16"/>
              </w:rPr>
              <w:t>Missing values</w:t>
            </w:r>
          </w:p>
        </w:tc>
        <w:tc>
          <w:tcPr>
            <w:tcW w:w="4896" w:type="dxa"/>
            <w:vAlign w:val="center"/>
          </w:tcPr>
          <w:p w14:paraId="6BF6524E">
            <w:pPr>
              <w:spacing w:after="0"/>
            </w:pPr>
            <w:r>
              <w:rPr>
                <w:rFonts w:ascii="Aptos" w:hAnsi="Aptos"/>
                <w:b w:val="0"/>
                <w:sz w:val="16"/>
              </w:rPr>
              <w:t>0</w:t>
            </w:r>
          </w:p>
        </w:tc>
      </w:tr>
      <w:tr w14:paraId="1E35ECED">
        <w:trPr>
          <w:jc w:val="center"/>
        </w:trPr>
        <w:tc>
          <w:tcPr>
            <w:tcW w:w="3456" w:type="dxa"/>
            <w:vAlign w:val="center"/>
          </w:tcPr>
          <w:p w14:paraId="3820CD62">
            <w:pPr>
              <w:spacing w:after="0"/>
            </w:pPr>
            <w:r>
              <w:rPr>
                <w:rFonts w:ascii="Aptos" w:hAnsi="Aptos"/>
                <w:b w:val="0"/>
                <w:sz w:val="16"/>
              </w:rPr>
              <w:t>Training hours</w:t>
            </w:r>
          </w:p>
        </w:tc>
        <w:tc>
          <w:tcPr>
            <w:tcW w:w="4896" w:type="dxa"/>
            <w:vAlign w:val="center"/>
          </w:tcPr>
          <w:p w14:paraId="7C99387F">
            <w:pPr>
              <w:spacing w:after="0"/>
            </w:pPr>
            <w:r>
              <w:rPr>
                <w:rFonts w:ascii="Aptos" w:hAnsi="Aptos"/>
                <w:b w:val="0"/>
                <w:sz w:val="16"/>
              </w:rPr>
              <w:t>2,954</w:t>
            </w:r>
          </w:p>
        </w:tc>
      </w:tr>
      <w:tr w14:paraId="5946AC3F">
        <w:trPr>
          <w:jc w:val="center"/>
        </w:trPr>
        <w:tc>
          <w:tcPr>
            <w:tcW w:w="3456" w:type="dxa"/>
            <w:vAlign w:val="center"/>
          </w:tcPr>
          <w:p w14:paraId="7299BD63">
            <w:pPr>
              <w:spacing w:after="0"/>
            </w:pPr>
            <w:r>
              <w:rPr>
                <w:rFonts w:ascii="Aptos" w:hAnsi="Aptos"/>
                <w:b w:val="0"/>
                <w:sz w:val="16"/>
              </w:rPr>
              <w:t>Test hours</w:t>
            </w:r>
          </w:p>
        </w:tc>
        <w:tc>
          <w:tcPr>
            <w:tcW w:w="4896" w:type="dxa"/>
            <w:vAlign w:val="center"/>
          </w:tcPr>
          <w:p w14:paraId="332ABB0A">
            <w:pPr>
              <w:spacing w:after="0"/>
            </w:pPr>
            <w:r>
              <w:rPr>
                <w:rFonts w:ascii="Aptos" w:hAnsi="Aptos"/>
                <w:b w:val="0"/>
                <w:sz w:val="16"/>
              </w:rPr>
              <w:t>336</w:t>
            </w:r>
          </w:p>
        </w:tc>
      </w:tr>
      <w:tr w14:paraId="65373A95">
        <w:trPr>
          <w:jc w:val="center"/>
        </w:trPr>
        <w:tc>
          <w:tcPr>
            <w:tcW w:w="3456" w:type="dxa"/>
            <w:vAlign w:val="center"/>
          </w:tcPr>
          <w:p w14:paraId="0B4EC99D">
            <w:pPr>
              <w:spacing w:after="0"/>
            </w:pPr>
            <w:r>
              <w:rPr>
                <w:rFonts w:ascii="Aptos" w:hAnsi="Aptos"/>
                <w:b w:val="0"/>
                <w:sz w:val="16"/>
              </w:rPr>
              <w:t>Forecast length</w:t>
            </w:r>
          </w:p>
        </w:tc>
        <w:tc>
          <w:tcPr>
            <w:tcW w:w="4896" w:type="dxa"/>
            <w:vAlign w:val="center"/>
          </w:tcPr>
          <w:p w14:paraId="71BF8C19">
            <w:pPr>
              <w:spacing w:after="0"/>
            </w:pPr>
            <w:r>
              <w:rPr>
                <w:rFonts w:ascii="Aptos" w:hAnsi="Aptos"/>
                <w:b w:val="0"/>
                <w:sz w:val="16"/>
              </w:rPr>
              <w:t>24 hours</w:t>
            </w:r>
          </w:p>
        </w:tc>
      </w:tr>
    </w:tbl>
    <w:p w14:paraId="7BC127BB">
      <w:pPr>
        <w:pStyle w:val="3"/>
        <w:widowControl/>
      </w:pPr>
      <w:r>
        <w:t>Preparation choices</w:t>
      </w:r>
    </w:p>
    <w:p w14:paraId="349722C9">
      <w:pPr>
        <w:widowControl/>
      </w:pPr>
      <w:r>
        <w:t>First, I changed the date column into a proper timestamp and used it as the index. I then averaged each group of six readings into one hourly value. I used the hourly mean because the numbers stayed easy to read. An hourly sum would make every value six times larger, but it would not change which model came first.</w:t>
      </w:r>
    </w:p>
    <w:p w14:paraId="51F181BC">
      <w:pPr>
        <w:widowControl/>
      </w:pPr>
      <w:r>
        <w:t>The choice of hourly data also made the seasonal periods easy to understand. One day became 24 observations and one week became 168 observations. These periods were later used by the seasonal benchmarks, lag features, and SARIMA model. This means the preprocessing was linked directly to the forecasting design rather than being done only to make the data smaller.</w:t>
      </w:r>
    </w:p>
    <w:p w14:paraId="70744F79">
      <w:pPr>
        <w:widowControl/>
        <w:spacing w:after="40"/>
        <w:jc w:val="center"/>
      </w:pPr>
      <w:r>
        <w:drawing>
          <wp:inline distT="0" distB="0" distL="114300" distR="114300">
            <wp:extent cx="6080760" cy="2211070"/>
            <wp:effectExtent l="0" t="0" r="1524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80760" cy="2211185"/>
                    </a:xfrm>
                    <a:prstGeom prst="rect">
                      <a:avLst/>
                    </a:prstGeom>
                  </pic:spPr>
                </pic:pic>
              </a:graphicData>
            </a:graphic>
          </wp:inline>
        </w:drawing>
      </w:r>
    </w:p>
    <w:p w14:paraId="0F59BEC7">
      <w:pPr>
        <w:widowControl/>
        <w:spacing w:after="80"/>
        <w:jc w:val="center"/>
      </w:pPr>
      <w:r>
        <w:rPr>
          <w:i/>
          <w:color w:val="5A5A5A"/>
          <w:sz w:val="16"/>
        </w:rPr>
        <w:t>Figure 1, daily mean appliance use across the full data set</w:t>
      </w:r>
    </w:p>
    <w:p w14:paraId="168F1143">
      <w:pPr>
        <w:widowControl/>
      </w:pPr>
      <w:r>
        <w:t>When I looked at Figure 1, I could see quiet periods mixed with sudden busy periods. There was no clear smooth trend. The normal routine repeats, but high use can appear very quickly. This makes sense for a home. A model can learn when people usually use energy, but it cannot know the exact moment someone switches on a powerful appliance.</w:t>
      </w:r>
    </w:p>
    <w:p w14:paraId="7BFE8613">
      <w:pPr>
        <w:pStyle w:val="3"/>
        <w:widowControl/>
      </w:pPr>
      <w:r>
        <w:t>Data quality</w:t>
      </w:r>
    </w:p>
    <w:p w14:paraId="676A0C45">
      <w:pPr>
        <w:widowControl/>
      </w:pPr>
      <w:r>
        <w:t>I found no missing values, so I did not need to fill anything in. I left out the two random variables because they do not describe the house. If I kept them, the feature model might learn a relationship that happened only by chance.</w:t>
      </w:r>
    </w:p>
    <w:p w14:paraId="2287D0D6">
      <w:pPr>
        <w:widowControl/>
      </w:pPr>
      <w:r>
        <w:br w:type="page"/>
      </w:r>
    </w:p>
    <w:p w14:paraId="669DF1FE">
      <w:pPr>
        <w:widowControl/>
        <w:spacing w:after="80"/>
        <w:jc w:val="left"/>
      </w:pPr>
      <w:r>
        <w:rPr>
          <w:rFonts w:ascii="Aptos Display" w:hAnsi="Aptos Display"/>
          <w:b/>
          <w:color w:val="1F3748"/>
          <w:sz w:val="50"/>
        </w:rPr>
        <w:t>2  Time series structure and forecast design</w:t>
      </w:r>
    </w:p>
    <w:p w14:paraId="6805E364">
      <w:pPr>
        <w:pStyle w:val="2"/>
        <w:widowControl/>
      </w:pPr>
      <w:r>
        <w:t>Seasonality and stationarity</w:t>
      </w:r>
    </w:p>
    <w:p w14:paraId="0BAE5096">
      <w:pPr>
        <w:widowControl/>
        <w:spacing w:after="40"/>
        <w:jc w:val="center"/>
      </w:pPr>
      <w:r>
        <w:drawing>
          <wp:inline distT="0" distB="0" distL="114300" distR="114300">
            <wp:extent cx="4983480" cy="3171190"/>
            <wp:effectExtent l="0" t="0" r="203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983480" cy="3171305"/>
                    </a:xfrm>
                    <a:prstGeom prst="rect">
                      <a:avLst/>
                    </a:prstGeom>
                  </pic:spPr>
                </pic:pic>
              </a:graphicData>
            </a:graphic>
          </wp:inline>
        </w:drawing>
      </w:r>
    </w:p>
    <w:p w14:paraId="360BAF51">
      <w:pPr>
        <w:widowControl/>
        <w:spacing w:after="80"/>
        <w:jc w:val="center"/>
      </w:pPr>
      <w:r>
        <w:rPr>
          <w:i/>
          <w:color w:val="5A5A5A"/>
          <w:sz w:val="16"/>
        </w:rPr>
        <w:t>Figure 2, daily STL parts for the final three weeks of training data</w:t>
      </w:r>
    </w:p>
    <w:p w14:paraId="5F502274">
      <w:pPr>
        <w:widowControl/>
      </w:pPr>
      <w:r>
        <w:t>The daily seasonal strength was 0.32 and the weekly strength was 0.39. To me, this shows that the routines are real, but they are not strong enough to explain everything. The ADF test had p below 0.001, while the KPSS p value was above 0.10. Together, these results suggest that the hourly series is stationary. Even so, the final SARIMA used differencing because that choice gave a better AIC in the search.</w:t>
      </w:r>
    </w:p>
    <w:p w14:paraId="30D14539">
      <w:pPr>
        <w:widowControl/>
      </w:pPr>
      <w:r>
        <w:t>Stationarity does not mean that every hour has the same energy use. It means that the overall statistical behaviour does not keep drifting without limit. This matters because an autoregressive model learns relationships from the past and assumes that these relationships are still useful later. The two tests supported this assumption, while the decomposition showed that much of the hour to hour movement was still irregular.</w:t>
      </w:r>
    </w:p>
    <w:p w14:paraId="41C51380">
      <w:pPr>
        <w:pStyle w:val="2"/>
        <w:widowControl/>
      </w:pPr>
      <w:r>
        <w:t>Fair test design</w:t>
      </w:r>
    </w:p>
    <w:p w14:paraId="6E71FB91">
      <w:pPr>
        <w:widowControl/>
      </w:pPr>
      <w:r>
        <w:t>I kept the final 14 days completely separate for testing. At the start of each day, the models predicted the next 24 hours. After that day ended, I allowed the models to see the real values before predicting again. This feels closer to how a smart home system would work. It also stopped me from judging a model using only one lucky day.</w:t>
      </w:r>
    </w:p>
    <w:p w14:paraId="74FD3824">
      <w:pPr>
        <w:widowControl/>
      </w:pPr>
      <w:r>
        <w:t>This update does not leak future information into a forecast. For example, the model predicting Tuesday could use the real readings from Monday because Monday had already happened. It could not use any Tuesday reading before making the Tuesday forecast. Keeping this boundary clear was especially important for lag features and for models that were updated each day.</w:t>
      </w:r>
    </w:p>
    <w:p w14:paraId="271C4C4A">
      <w:pPr>
        <w:pStyle w:val="3"/>
        <w:widowControl/>
      </w:pPr>
      <w:r>
        <w:t>Metrics</w:t>
      </w:r>
    </w:p>
    <w:p w14:paraId="202C62DE">
      <w:pPr>
        <w:widowControl/>
      </w:pPr>
      <w:r>
        <w:t>I used several metrics because one score did not tell the full story. MAE showed the usual size of an error. RMSE punished the large mistakes more. MAPE gave a percentage, although it became less reliable when energy use was low. MASE compared each model with a daily naive scale. Bias showed whether the forecasts were usually too high or too low.</w:t>
      </w:r>
    </w:p>
    <w:p w14:paraId="046A094C">
      <w:pPr>
        <w:widowControl/>
      </w:pPr>
      <w:r>
        <w:br w:type="page"/>
      </w:r>
    </w:p>
    <w:p w14:paraId="150ECD3D">
      <w:pPr>
        <w:widowControl/>
        <w:spacing w:after="80"/>
        <w:jc w:val="left"/>
      </w:pPr>
      <w:r>
        <w:rPr>
          <w:rFonts w:ascii="Aptos Display" w:hAnsi="Aptos Display"/>
          <w:b/>
          <w:color w:val="1F3748"/>
          <w:sz w:val="50"/>
        </w:rPr>
        <w:t>3  Benchmark and SARIMA results</w:t>
      </w:r>
    </w:p>
    <w:p w14:paraId="3592014D">
      <w:pPr>
        <w:pStyle w:val="2"/>
        <w:widowControl/>
      </w:pPr>
      <w:r>
        <w:t>Benchmark models</w:t>
      </w:r>
    </w:p>
    <w:p w14:paraId="162502C2">
      <w:pPr>
        <w:widowControl/>
      </w:pPr>
      <w:r>
        <w:t>A benchmark is a simple forecast used as a minimum standard. Mean predicted the historical average. Naive repeated the most recent observation. Drift extended the line between the first and last training values. Daily seasonal naive copied the same hours from yesterday, while weekly seasonal naive copied the same hours from the previous week. These methods are simple, but they can be difficult to beat when a time series has a regular routine.</w:t>
      </w:r>
    </w:p>
    <w:tbl>
      <w:tblPr>
        <w:tblStyle w:val="12"/>
        <w:tblW w:w="0" w:type="auto"/>
        <w:jc w:val="center"/>
        <w:tblLayout w:type="fixed"/>
        <w:tblCellMar>
          <w:top w:w="0" w:type="dxa"/>
          <w:left w:w="108" w:type="dxa"/>
          <w:bottom w:w="0" w:type="dxa"/>
          <w:right w:w="108" w:type="dxa"/>
        </w:tblCellMar>
      </w:tblPr>
      <w:tblGrid>
        <w:gridCol w:w="2498"/>
        <w:gridCol w:w="2498"/>
        <w:gridCol w:w="2498"/>
        <w:gridCol w:w="2498"/>
      </w:tblGrid>
      <w:tr w14:paraId="74105877">
        <w:trPr>
          <w:jc w:val="center"/>
        </w:trPr>
        <w:tc>
          <w:tcPr>
            <w:tcW w:w="4032" w:type="dxa"/>
            <w:shd w:val="clear" w:color="auto" w:fill="DCE6F1"/>
            <w:vAlign w:val="center"/>
          </w:tcPr>
          <w:p w14:paraId="14663B8E">
            <w:pPr>
              <w:spacing w:after="0"/>
            </w:pPr>
            <w:r>
              <w:rPr>
                <w:rFonts w:ascii="Aptos" w:hAnsi="Aptos"/>
                <w:b/>
                <w:sz w:val="16"/>
              </w:rPr>
              <w:t>Model</w:t>
            </w:r>
          </w:p>
        </w:tc>
        <w:tc>
          <w:tcPr>
            <w:tcW w:w="1440" w:type="dxa"/>
            <w:shd w:val="clear" w:color="auto" w:fill="DCE6F1"/>
            <w:vAlign w:val="center"/>
          </w:tcPr>
          <w:p w14:paraId="748ABA13">
            <w:pPr>
              <w:spacing w:after="0"/>
            </w:pPr>
            <w:r>
              <w:rPr>
                <w:rFonts w:ascii="Aptos" w:hAnsi="Aptos"/>
                <w:b/>
                <w:sz w:val="16"/>
              </w:rPr>
              <w:t>MAE</w:t>
            </w:r>
          </w:p>
        </w:tc>
        <w:tc>
          <w:tcPr>
            <w:tcW w:w="1440" w:type="dxa"/>
            <w:shd w:val="clear" w:color="auto" w:fill="DCE6F1"/>
            <w:vAlign w:val="center"/>
          </w:tcPr>
          <w:p w14:paraId="2C78CD58">
            <w:pPr>
              <w:spacing w:after="0"/>
            </w:pPr>
            <w:r>
              <w:rPr>
                <w:rFonts w:ascii="Aptos" w:hAnsi="Aptos"/>
                <w:b/>
                <w:sz w:val="16"/>
              </w:rPr>
              <w:t>RMSE</w:t>
            </w:r>
          </w:p>
        </w:tc>
        <w:tc>
          <w:tcPr>
            <w:tcW w:w="1440" w:type="dxa"/>
            <w:shd w:val="clear" w:color="auto" w:fill="DCE6F1"/>
            <w:vAlign w:val="center"/>
          </w:tcPr>
          <w:p w14:paraId="01DCD2CE">
            <w:pPr>
              <w:spacing w:after="0"/>
            </w:pPr>
            <w:r>
              <w:rPr>
                <w:rFonts w:ascii="Aptos" w:hAnsi="Aptos"/>
                <w:b/>
                <w:sz w:val="16"/>
              </w:rPr>
              <w:t>Bias</w:t>
            </w:r>
          </w:p>
        </w:tc>
      </w:tr>
      <w:tr w14:paraId="75EBDE18">
        <w:trPr>
          <w:jc w:val="center"/>
        </w:trPr>
        <w:tc>
          <w:tcPr>
            <w:tcW w:w="4032" w:type="dxa"/>
            <w:vAlign w:val="center"/>
          </w:tcPr>
          <w:p w14:paraId="328B5E1B">
            <w:pPr>
              <w:spacing w:after="0"/>
            </w:pPr>
            <w:r>
              <w:rPr>
                <w:rFonts w:ascii="Aptos" w:hAnsi="Aptos"/>
                <w:b w:val="0"/>
                <w:sz w:val="16"/>
              </w:rPr>
              <w:t>Weekly seasonal naive</w:t>
            </w:r>
          </w:p>
        </w:tc>
        <w:tc>
          <w:tcPr>
            <w:tcW w:w="1440" w:type="dxa"/>
            <w:vAlign w:val="center"/>
          </w:tcPr>
          <w:p w14:paraId="75115094">
            <w:pPr>
              <w:spacing w:after="0"/>
            </w:pPr>
            <w:r>
              <w:rPr>
                <w:rFonts w:ascii="Aptos" w:hAnsi="Aptos"/>
                <w:b w:val="0"/>
                <w:sz w:val="16"/>
              </w:rPr>
              <w:t>43.46</w:t>
            </w:r>
          </w:p>
        </w:tc>
        <w:tc>
          <w:tcPr>
            <w:tcW w:w="1440" w:type="dxa"/>
            <w:vAlign w:val="center"/>
          </w:tcPr>
          <w:p w14:paraId="41405F74">
            <w:pPr>
              <w:spacing w:after="0"/>
            </w:pPr>
            <w:r>
              <w:rPr>
                <w:rFonts w:ascii="Aptos" w:hAnsi="Aptos"/>
                <w:b w:val="0"/>
                <w:sz w:val="16"/>
              </w:rPr>
              <w:t>81.41</w:t>
            </w:r>
          </w:p>
        </w:tc>
        <w:tc>
          <w:tcPr>
            <w:tcW w:w="1440" w:type="dxa"/>
            <w:vAlign w:val="center"/>
          </w:tcPr>
          <w:p w14:paraId="52AAC101">
            <w:pPr>
              <w:spacing w:after="0"/>
            </w:pPr>
            <w:r>
              <w:rPr>
                <w:rFonts w:ascii="Aptos" w:hAnsi="Aptos"/>
                <w:b w:val="0"/>
                <w:sz w:val="16"/>
              </w:rPr>
              <w:t>minus 13.16</w:t>
            </w:r>
          </w:p>
        </w:tc>
      </w:tr>
      <w:tr w14:paraId="7C5365AF">
        <w:trPr>
          <w:jc w:val="center"/>
        </w:trPr>
        <w:tc>
          <w:tcPr>
            <w:tcW w:w="4032" w:type="dxa"/>
            <w:vAlign w:val="center"/>
          </w:tcPr>
          <w:p w14:paraId="5B9E13F9">
            <w:pPr>
              <w:spacing w:after="0"/>
            </w:pPr>
            <w:r>
              <w:rPr>
                <w:rFonts w:ascii="Aptos" w:hAnsi="Aptos"/>
                <w:b w:val="0"/>
                <w:sz w:val="16"/>
              </w:rPr>
              <w:t>Daily seasonal naive</w:t>
            </w:r>
          </w:p>
        </w:tc>
        <w:tc>
          <w:tcPr>
            <w:tcW w:w="1440" w:type="dxa"/>
            <w:vAlign w:val="center"/>
          </w:tcPr>
          <w:p w14:paraId="78156A57">
            <w:pPr>
              <w:spacing w:after="0"/>
            </w:pPr>
            <w:r>
              <w:rPr>
                <w:rFonts w:ascii="Aptos" w:hAnsi="Aptos"/>
                <w:b w:val="0"/>
                <w:sz w:val="16"/>
              </w:rPr>
              <w:t>48.31</w:t>
            </w:r>
          </w:p>
        </w:tc>
        <w:tc>
          <w:tcPr>
            <w:tcW w:w="1440" w:type="dxa"/>
            <w:vAlign w:val="center"/>
          </w:tcPr>
          <w:p w14:paraId="22A7969D">
            <w:pPr>
              <w:spacing w:after="0"/>
            </w:pPr>
            <w:r>
              <w:rPr>
                <w:rFonts w:ascii="Aptos" w:hAnsi="Aptos"/>
                <w:b w:val="0"/>
                <w:sz w:val="16"/>
              </w:rPr>
              <w:t>85.56</w:t>
            </w:r>
          </w:p>
        </w:tc>
        <w:tc>
          <w:tcPr>
            <w:tcW w:w="1440" w:type="dxa"/>
            <w:vAlign w:val="center"/>
          </w:tcPr>
          <w:p w14:paraId="6BC8061C">
            <w:pPr>
              <w:spacing w:after="0"/>
            </w:pPr>
            <w:r>
              <w:rPr>
                <w:rFonts w:ascii="Aptos" w:hAnsi="Aptos"/>
                <w:b w:val="0"/>
                <w:sz w:val="16"/>
              </w:rPr>
              <w:t>1.75</w:t>
            </w:r>
          </w:p>
        </w:tc>
      </w:tr>
      <w:tr w14:paraId="3C1A42EA">
        <w:trPr>
          <w:jc w:val="center"/>
        </w:trPr>
        <w:tc>
          <w:tcPr>
            <w:tcW w:w="4032" w:type="dxa"/>
            <w:vAlign w:val="center"/>
          </w:tcPr>
          <w:p w14:paraId="31371C44">
            <w:pPr>
              <w:spacing w:after="0"/>
            </w:pPr>
            <w:r>
              <w:rPr>
                <w:rFonts w:ascii="Aptos" w:hAnsi="Aptos"/>
                <w:b w:val="0"/>
                <w:sz w:val="16"/>
              </w:rPr>
              <w:t>Mean</w:t>
            </w:r>
          </w:p>
        </w:tc>
        <w:tc>
          <w:tcPr>
            <w:tcW w:w="1440" w:type="dxa"/>
            <w:vAlign w:val="center"/>
          </w:tcPr>
          <w:p w14:paraId="5C2C316D">
            <w:pPr>
              <w:spacing w:after="0"/>
            </w:pPr>
            <w:r>
              <w:rPr>
                <w:rFonts w:ascii="Aptos" w:hAnsi="Aptos"/>
                <w:b w:val="0"/>
                <w:sz w:val="16"/>
              </w:rPr>
              <w:t>50.26</w:t>
            </w:r>
          </w:p>
        </w:tc>
        <w:tc>
          <w:tcPr>
            <w:tcW w:w="1440" w:type="dxa"/>
            <w:vAlign w:val="center"/>
          </w:tcPr>
          <w:p w14:paraId="2EF05BE5">
            <w:pPr>
              <w:spacing w:after="0"/>
            </w:pPr>
            <w:r>
              <w:rPr>
                <w:rFonts w:ascii="Aptos" w:hAnsi="Aptos"/>
                <w:b w:val="0"/>
                <w:sz w:val="16"/>
              </w:rPr>
              <w:t>74.94</w:t>
            </w:r>
          </w:p>
        </w:tc>
        <w:tc>
          <w:tcPr>
            <w:tcW w:w="1440" w:type="dxa"/>
            <w:vAlign w:val="center"/>
          </w:tcPr>
          <w:p w14:paraId="08315350">
            <w:pPr>
              <w:spacing w:after="0"/>
            </w:pPr>
            <w:r>
              <w:rPr>
                <w:rFonts w:ascii="Aptos" w:hAnsi="Aptos"/>
                <w:b w:val="0"/>
                <w:sz w:val="16"/>
              </w:rPr>
              <w:t>minus 3.29</w:t>
            </w:r>
          </w:p>
        </w:tc>
      </w:tr>
      <w:tr w14:paraId="47CAEE96">
        <w:trPr>
          <w:jc w:val="center"/>
        </w:trPr>
        <w:tc>
          <w:tcPr>
            <w:tcW w:w="4032" w:type="dxa"/>
            <w:vAlign w:val="center"/>
          </w:tcPr>
          <w:p w14:paraId="61159697">
            <w:pPr>
              <w:spacing w:after="0"/>
            </w:pPr>
            <w:r>
              <w:rPr>
                <w:rFonts w:ascii="Aptos" w:hAnsi="Aptos"/>
                <w:b w:val="0"/>
                <w:sz w:val="16"/>
              </w:rPr>
              <w:t>Naive</w:t>
            </w:r>
          </w:p>
        </w:tc>
        <w:tc>
          <w:tcPr>
            <w:tcW w:w="1440" w:type="dxa"/>
            <w:vAlign w:val="center"/>
          </w:tcPr>
          <w:p w14:paraId="6B3866E8">
            <w:pPr>
              <w:spacing w:after="0"/>
            </w:pPr>
            <w:r>
              <w:rPr>
                <w:rFonts w:ascii="Aptos" w:hAnsi="Aptos"/>
                <w:b w:val="0"/>
                <w:sz w:val="16"/>
              </w:rPr>
              <w:t>85.55</w:t>
            </w:r>
          </w:p>
        </w:tc>
        <w:tc>
          <w:tcPr>
            <w:tcW w:w="1440" w:type="dxa"/>
            <w:vAlign w:val="center"/>
          </w:tcPr>
          <w:p w14:paraId="45F3CC3F">
            <w:pPr>
              <w:spacing w:after="0"/>
            </w:pPr>
            <w:r>
              <w:rPr>
                <w:rFonts w:ascii="Aptos" w:hAnsi="Aptos"/>
                <w:b w:val="0"/>
                <w:sz w:val="16"/>
              </w:rPr>
              <w:t>110.39</w:t>
            </w:r>
          </w:p>
        </w:tc>
        <w:tc>
          <w:tcPr>
            <w:tcW w:w="1440" w:type="dxa"/>
            <w:vAlign w:val="center"/>
          </w:tcPr>
          <w:p w14:paraId="0140A61E">
            <w:pPr>
              <w:spacing w:after="0"/>
            </w:pPr>
            <w:r>
              <w:rPr>
                <w:rFonts w:ascii="Aptos" w:hAnsi="Aptos"/>
                <w:b w:val="0"/>
                <w:sz w:val="16"/>
              </w:rPr>
              <w:t>50.98</w:t>
            </w:r>
          </w:p>
        </w:tc>
      </w:tr>
      <w:tr w14:paraId="33FFBF4E">
        <w:trPr>
          <w:jc w:val="center"/>
        </w:trPr>
        <w:tc>
          <w:tcPr>
            <w:tcW w:w="4032" w:type="dxa"/>
            <w:vAlign w:val="center"/>
          </w:tcPr>
          <w:p w14:paraId="67BF0B3C">
            <w:pPr>
              <w:spacing w:after="0"/>
            </w:pPr>
            <w:r>
              <w:rPr>
                <w:rFonts w:ascii="Aptos" w:hAnsi="Aptos"/>
                <w:b w:val="0"/>
                <w:sz w:val="16"/>
              </w:rPr>
              <w:t>Drift</w:t>
            </w:r>
          </w:p>
        </w:tc>
        <w:tc>
          <w:tcPr>
            <w:tcW w:w="1440" w:type="dxa"/>
            <w:vAlign w:val="center"/>
          </w:tcPr>
          <w:p w14:paraId="5DAE1408">
            <w:pPr>
              <w:spacing w:after="0"/>
            </w:pPr>
            <w:r>
              <w:rPr>
                <w:rFonts w:ascii="Aptos" w:hAnsi="Aptos"/>
                <w:b w:val="0"/>
                <w:sz w:val="16"/>
              </w:rPr>
              <w:t>85.80</w:t>
            </w:r>
          </w:p>
        </w:tc>
        <w:tc>
          <w:tcPr>
            <w:tcW w:w="1440" w:type="dxa"/>
            <w:vAlign w:val="center"/>
          </w:tcPr>
          <w:p w14:paraId="60492E9D">
            <w:pPr>
              <w:spacing w:after="0"/>
            </w:pPr>
            <w:r>
              <w:rPr>
                <w:rFonts w:ascii="Aptos" w:hAnsi="Aptos"/>
                <w:b w:val="0"/>
                <w:sz w:val="16"/>
              </w:rPr>
              <w:t>110.68</w:t>
            </w:r>
          </w:p>
        </w:tc>
        <w:tc>
          <w:tcPr>
            <w:tcW w:w="1440" w:type="dxa"/>
            <w:vAlign w:val="center"/>
          </w:tcPr>
          <w:p w14:paraId="28EAF68E">
            <w:pPr>
              <w:spacing w:after="0"/>
            </w:pPr>
            <w:r>
              <w:rPr>
                <w:rFonts w:ascii="Aptos" w:hAnsi="Aptos"/>
                <w:b w:val="0"/>
                <w:sz w:val="16"/>
              </w:rPr>
              <w:t>51.37</w:t>
            </w:r>
          </w:p>
        </w:tc>
      </w:tr>
    </w:tbl>
    <w:p w14:paraId="2DDAA640">
      <w:pPr>
        <w:widowControl/>
      </w:pPr>
      <w:r>
        <w:t>Weekly seasonal naive was the strongest benchmark by MAE. This was believable because it copied the same hour from the week before, so it kept both the daily routine and some weekend behaviour. The daily version was weaker because yesterday was not always similar to today. Mean had a better RMSE because it did not copy old spikes. Naive and drift were clearly the weakest. When the last reading was high, they carried that high value forward even though energy use often dropped again quickly.</w:t>
      </w:r>
    </w:p>
    <w:p w14:paraId="19AFD1A2">
      <w:pPr>
        <w:widowControl/>
      </w:pPr>
      <w:r>
        <w:t>The difference between MAE and RMSE helps explain the result. Weekly seasonal naive was normally close, so its MAE was good. However, when it copied a large peak into an hour where no peak occurred, the error became very large and RMSE increased sharply. Mean produced less realistic daily movement, but its flat prediction avoided copying extreme values. This is why a model can look better under one metric and worse under another.</w:t>
      </w:r>
    </w:p>
    <w:p w14:paraId="692D2141">
      <w:pPr>
        <w:pStyle w:val="2"/>
        <w:widowControl/>
      </w:pPr>
      <w:r>
        <w:t>SARIMA result</w:t>
      </w:r>
    </w:p>
    <w:p w14:paraId="2D2B6B27">
      <w:pPr>
        <w:widowControl/>
      </w:pPr>
      <w:r>
        <w:t>The uploaded grid search tested p and q from 0 to 6, and d from 0 to 2. The selected model was SARIMA 1,1,3 with seasonal order 1,1,1 and period 24. Adding the daily seasonal part improved AIC by about 545 in the notebook. This is strong support for a daily pattern.</w:t>
      </w:r>
    </w:p>
    <w:p w14:paraId="5A7014C3">
      <w:pPr>
        <w:widowControl/>
      </w:pPr>
      <w:r>
        <w:t>In simple terms, the autoregressive part used earlier values, the moving average part used earlier forecast errors, and the seasonal part repeated this logic across daily gaps. AIC rewarded a good fit but also punished unnecessary parameters. Therefore, the selected order was not simply the model with the most terms. It was the model that gave a strong fit without adding complexity that did not earn its place.</w:t>
      </w:r>
    </w:p>
    <w:p w14:paraId="3EAC91D1">
      <w:pPr>
        <w:widowControl/>
        <w:spacing w:after="40"/>
        <w:jc w:val="center"/>
      </w:pPr>
      <w:r>
        <w:drawing>
          <wp:inline distT="0" distB="0" distL="114300" distR="114300">
            <wp:extent cx="4800600" cy="19202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800600" cy="1920240"/>
                    </a:xfrm>
                    <a:prstGeom prst="rect">
                      <a:avLst/>
                    </a:prstGeom>
                  </pic:spPr>
                </pic:pic>
              </a:graphicData>
            </a:graphic>
          </wp:inline>
        </w:drawing>
      </w:r>
    </w:p>
    <w:p w14:paraId="1F4B51FB">
      <w:pPr>
        <w:widowControl/>
        <w:spacing w:after="80"/>
        <w:jc w:val="center"/>
      </w:pPr>
      <w:r>
        <w:rPr>
          <w:i/>
          <w:color w:val="5A5A5A"/>
          <w:sz w:val="16"/>
        </w:rPr>
        <w:t>Figure 3, first 24 hour SARIMA forecast and 95 percent interval</w:t>
      </w:r>
    </w:p>
    <w:p w14:paraId="78C60F0C">
      <w:pPr>
        <w:widowControl/>
      </w:pPr>
      <w:r>
        <w:t>SARIMA reached an MAE of 36.04 Wh and an RMSE of 64.82 Wh. Compared with weekly seasonal naive, it improved MAE by 7.42 Wh and RMSE by 16.59 Wh. I also checked the residuals. The Ljung Box p values were 0.82 at lag 24 and 0.34 at lag 48, so there was no clear autocorrelation left. The residuals still had heavy tails, which means the interval is useful but not perfect.</w:t>
      </w:r>
    </w:p>
    <w:p w14:paraId="04AF992D">
      <w:pPr>
        <w:widowControl/>
      </w:pPr>
      <w:r>
        <w:br w:type="page"/>
      </w:r>
    </w:p>
    <w:p w14:paraId="3AED2227">
      <w:pPr>
        <w:widowControl/>
        <w:spacing w:after="80"/>
        <w:jc w:val="left"/>
      </w:pPr>
      <w:r>
        <w:rPr>
          <w:rFonts w:ascii="Aptos Display" w:hAnsi="Aptos Display"/>
          <w:b/>
          <w:color w:val="1F3748"/>
          <w:sz w:val="50"/>
        </w:rPr>
        <w:t>4  Covariates and XGBoost results</w:t>
      </w:r>
    </w:p>
    <w:p w14:paraId="104FF957">
      <w:pPr>
        <w:widowControl/>
      </w:pPr>
      <w:r>
        <w:t>The feature model used appliance lags at 1, 2, 3, 6, 12, 24, 48, and 168 hours. It also used rolling means and standard deviations over 6, 24, and 168 hours. Time features described hour, weekday, and weekend. The conditional version also used indoor sensors and weather values.</w:t>
      </w:r>
    </w:p>
    <w:p w14:paraId="1D2E8F77">
      <w:pPr>
        <w:widowControl/>
      </w:pPr>
      <w:r>
        <w:t>A lag is a past value placed beside the current row. For example, lag 24 tells the model how much energy was used at the same hour yesterday. A rolling mean describes the recent normal level, while a rolling standard deviation describes how unstable that recent period was. XGBoost then builds many small decision trees, with each new tree trying to correct mistakes made by the trees before it.</w:t>
      </w:r>
    </w:p>
    <w:p w14:paraId="60BAAB14">
      <w:pPr>
        <w:widowControl/>
        <w:spacing w:after="40"/>
        <w:jc w:val="center"/>
      </w:pPr>
      <w:r>
        <w:drawing>
          <wp:inline distT="0" distB="0" distL="114300" distR="114300">
            <wp:extent cx="5623560" cy="2670810"/>
            <wp:effectExtent l="0" t="0" r="1524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23560" cy="2671191"/>
                    </a:xfrm>
                    <a:prstGeom prst="rect">
                      <a:avLst/>
                    </a:prstGeom>
                  </pic:spPr>
                </pic:pic>
              </a:graphicData>
            </a:graphic>
          </wp:inline>
        </w:drawing>
      </w:r>
    </w:p>
    <w:p w14:paraId="5247C36F">
      <w:pPr>
        <w:widowControl/>
        <w:spacing w:after="80"/>
        <w:jc w:val="center"/>
      </w:pPr>
      <w:r>
        <w:rPr>
          <w:i/>
          <w:color w:val="5A5A5A"/>
          <w:sz w:val="16"/>
        </w:rPr>
        <w:t>Figure 4, grouped importance from the conditional XGBoost model</w:t>
      </w:r>
    </w:p>
    <w:p w14:paraId="14975620">
      <w:pPr>
        <w:widowControl/>
      </w:pPr>
      <w:r>
        <w:t>The result I expected most was that lag and rolling features were the most useful, with about 44 percent of the grouped importance. Indoor sensors had about 35 percent. Weather and time features each had about 10 percent. This does not mean the sensors caused appliance use. It only means the fitted trees relied on them when making predictions.</w:t>
      </w:r>
    </w:p>
    <w:p w14:paraId="3BD35655">
      <w:pPr>
        <w:widowControl/>
      </w:pPr>
      <w:r>
        <w:t>This ranking is reasonable because recent appliance use directly describes household activity. Temperature and humidity may change when cooking, heating, or ventilation takes place, but they are indirect signs. Weather can affect heating needs, yet it cannot tell the model whether someone will suddenly use an oven or washing machine. Feature importance also shows how a model made decisions, not whether one variable caused another.</w:t>
      </w:r>
    </w:p>
    <w:tbl>
      <w:tblPr>
        <w:tblStyle w:val="12"/>
        <w:tblW w:w="0" w:type="auto"/>
        <w:jc w:val="center"/>
        <w:tblLayout w:type="fixed"/>
        <w:tblCellMar>
          <w:top w:w="0" w:type="dxa"/>
          <w:left w:w="108" w:type="dxa"/>
          <w:bottom w:w="0" w:type="dxa"/>
          <w:right w:w="108" w:type="dxa"/>
        </w:tblCellMar>
      </w:tblPr>
      <w:tblGrid>
        <w:gridCol w:w="2498"/>
        <w:gridCol w:w="2498"/>
        <w:gridCol w:w="2498"/>
        <w:gridCol w:w="2498"/>
      </w:tblGrid>
      <w:tr w14:paraId="32EA16CE">
        <w:trPr>
          <w:jc w:val="center"/>
        </w:trPr>
        <w:tc>
          <w:tcPr>
            <w:tcW w:w="4032" w:type="dxa"/>
            <w:shd w:val="clear" w:color="auto" w:fill="DCE6F1"/>
            <w:vAlign w:val="center"/>
          </w:tcPr>
          <w:p w14:paraId="5F0213B0">
            <w:pPr>
              <w:spacing w:after="0"/>
            </w:pPr>
            <w:r>
              <w:rPr>
                <w:rFonts w:ascii="Aptos" w:hAnsi="Aptos"/>
                <w:b/>
                <w:sz w:val="16"/>
              </w:rPr>
              <w:t>Feature model</w:t>
            </w:r>
          </w:p>
        </w:tc>
        <w:tc>
          <w:tcPr>
            <w:tcW w:w="1440" w:type="dxa"/>
            <w:shd w:val="clear" w:color="auto" w:fill="DCE6F1"/>
            <w:vAlign w:val="center"/>
          </w:tcPr>
          <w:p w14:paraId="0D55D862">
            <w:pPr>
              <w:spacing w:after="0"/>
            </w:pPr>
            <w:r>
              <w:rPr>
                <w:rFonts w:ascii="Aptos" w:hAnsi="Aptos"/>
                <w:b/>
                <w:sz w:val="16"/>
              </w:rPr>
              <w:t>MAE</w:t>
            </w:r>
          </w:p>
        </w:tc>
        <w:tc>
          <w:tcPr>
            <w:tcW w:w="1440" w:type="dxa"/>
            <w:shd w:val="clear" w:color="auto" w:fill="DCE6F1"/>
            <w:vAlign w:val="center"/>
          </w:tcPr>
          <w:p w14:paraId="3CA44B0F">
            <w:pPr>
              <w:spacing w:after="0"/>
            </w:pPr>
            <w:r>
              <w:rPr>
                <w:rFonts w:ascii="Aptos" w:hAnsi="Aptos"/>
                <w:b/>
                <w:sz w:val="16"/>
              </w:rPr>
              <w:t>RMSE</w:t>
            </w:r>
          </w:p>
        </w:tc>
        <w:tc>
          <w:tcPr>
            <w:tcW w:w="1440" w:type="dxa"/>
            <w:shd w:val="clear" w:color="auto" w:fill="DCE6F1"/>
            <w:vAlign w:val="center"/>
          </w:tcPr>
          <w:p w14:paraId="7310F3BA">
            <w:pPr>
              <w:spacing w:after="0"/>
            </w:pPr>
            <w:r>
              <w:rPr>
                <w:rFonts w:ascii="Aptos" w:hAnsi="Aptos"/>
                <w:b/>
                <w:sz w:val="16"/>
              </w:rPr>
              <w:t>MASE</w:t>
            </w:r>
          </w:p>
        </w:tc>
      </w:tr>
      <w:tr w14:paraId="235C383B">
        <w:trPr>
          <w:jc w:val="center"/>
        </w:trPr>
        <w:tc>
          <w:tcPr>
            <w:tcW w:w="4032" w:type="dxa"/>
            <w:vAlign w:val="center"/>
          </w:tcPr>
          <w:p w14:paraId="14EA55BC">
            <w:pPr>
              <w:spacing w:after="0"/>
            </w:pPr>
            <w:r>
              <w:rPr>
                <w:rFonts w:ascii="Aptos" w:hAnsi="Aptos"/>
                <w:b w:val="0"/>
                <w:sz w:val="16"/>
              </w:rPr>
              <w:t>Past only XGBoost</w:t>
            </w:r>
          </w:p>
        </w:tc>
        <w:tc>
          <w:tcPr>
            <w:tcW w:w="1440" w:type="dxa"/>
            <w:vAlign w:val="center"/>
          </w:tcPr>
          <w:p w14:paraId="529F98F5">
            <w:pPr>
              <w:spacing w:after="0"/>
            </w:pPr>
            <w:r>
              <w:rPr>
                <w:rFonts w:ascii="Aptos" w:hAnsi="Aptos"/>
                <w:b w:val="0"/>
                <w:sz w:val="16"/>
              </w:rPr>
              <w:t>43.00</w:t>
            </w:r>
          </w:p>
        </w:tc>
        <w:tc>
          <w:tcPr>
            <w:tcW w:w="1440" w:type="dxa"/>
            <w:vAlign w:val="center"/>
          </w:tcPr>
          <w:p w14:paraId="538096F8">
            <w:pPr>
              <w:spacing w:after="0"/>
            </w:pPr>
            <w:r>
              <w:rPr>
                <w:rFonts w:ascii="Aptos" w:hAnsi="Aptos"/>
                <w:b w:val="0"/>
                <w:sz w:val="16"/>
              </w:rPr>
              <w:t>67.14</w:t>
            </w:r>
          </w:p>
        </w:tc>
        <w:tc>
          <w:tcPr>
            <w:tcW w:w="1440" w:type="dxa"/>
            <w:vAlign w:val="center"/>
          </w:tcPr>
          <w:p w14:paraId="712EE52C">
            <w:pPr>
              <w:spacing w:after="0"/>
            </w:pPr>
            <w:r>
              <w:rPr>
                <w:rFonts w:ascii="Aptos" w:hAnsi="Aptos"/>
                <w:b w:val="0"/>
                <w:sz w:val="16"/>
              </w:rPr>
              <w:t>0.80</w:t>
            </w:r>
          </w:p>
        </w:tc>
      </w:tr>
      <w:tr w14:paraId="4508597F">
        <w:trPr>
          <w:jc w:val="center"/>
        </w:trPr>
        <w:tc>
          <w:tcPr>
            <w:tcW w:w="4032" w:type="dxa"/>
            <w:vAlign w:val="center"/>
          </w:tcPr>
          <w:p w14:paraId="1256B441">
            <w:pPr>
              <w:spacing w:after="0"/>
            </w:pPr>
            <w:r>
              <w:rPr>
                <w:rFonts w:ascii="Aptos" w:hAnsi="Aptos"/>
                <w:b w:val="0"/>
                <w:sz w:val="16"/>
              </w:rPr>
              <w:t>Conditional XGBoost</w:t>
            </w:r>
          </w:p>
        </w:tc>
        <w:tc>
          <w:tcPr>
            <w:tcW w:w="1440" w:type="dxa"/>
            <w:vAlign w:val="center"/>
          </w:tcPr>
          <w:p w14:paraId="749549B4">
            <w:pPr>
              <w:spacing w:after="0"/>
            </w:pPr>
            <w:r>
              <w:rPr>
                <w:rFonts w:ascii="Aptos" w:hAnsi="Aptos"/>
                <w:b w:val="0"/>
                <w:sz w:val="16"/>
              </w:rPr>
              <w:t>49.37</w:t>
            </w:r>
          </w:p>
        </w:tc>
        <w:tc>
          <w:tcPr>
            <w:tcW w:w="1440" w:type="dxa"/>
            <w:vAlign w:val="center"/>
          </w:tcPr>
          <w:p w14:paraId="41750F59">
            <w:pPr>
              <w:spacing w:after="0"/>
            </w:pPr>
            <w:r>
              <w:rPr>
                <w:rFonts w:ascii="Aptos" w:hAnsi="Aptos"/>
                <w:b w:val="0"/>
                <w:sz w:val="16"/>
              </w:rPr>
              <w:t>69.35</w:t>
            </w:r>
          </w:p>
        </w:tc>
        <w:tc>
          <w:tcPr>
            <w:tcW w:w="1440" w:type="dxa"/>
            <w:vAlign w:val="center"/>
          </w:tcPr>
          <w:p w14:paraId="7975DD2D">
            <w:pPr>
              <w:spacing w:after="0"/>
            </w:pPr>
            <w:r>
              <w:rPr>
                <w:rFonts w:ascii="Aptos" w:hAnsi="Aptos"/>
                <w:b w:val="0"/>
                <w:sz w:val="16"/>
              </w:rPr>
              <w:t>0.92</w:t>
            </w:r>
          </w:p>
        </w:tc>
      </w:tr>
    </w:tbl>
    <w:p w14:paraId="4F18C180">
      <w:pPr>
        <w:widowControl/>
      </w:pPr>
      <w:r>
        <w:t>Past only XGBoost beat weekly seasonal naive by just 0.46 Wh in MAE. I do not think this is a meaningful improvement. The conditional model was actually worse even though I gave it more information. It predicted 21.28 Wh too high on average. Temperature and humidity change slowly, while appliance peaks often come from what people decide to do. The extra variables may also have helped the model learn patterns that did not continue into the test period.</w:t>
      </w:r>
    </w:p>
    <w:p w14:paraId="1B8B4C0A">
      <w:pPr>
        <w:pStyle w:val="3"/>
        <w:widowControl/>
      </w:pPr>
      <w:r>
        <w:t>Leakage warning</w:t>
      </w:r>
    </w:p>
    <w:p w14:paraId="7C188CA4">
      <w:pPr>
        <w:widowControl/>
      </w:pPr>
      <w:r>
        <w:t>Future indoor temperature and humidity are not normally known at forecast time. The same problem exists for observed future weather. Using these test values makes the result conditional. A true forecast should use weather forecasts and only sensor values known at the forecast origin. The past only XGBoost version follows this rule.</w:t>
      </w:r>
    </w:p>
    <w:p w14:paraId="2BE44E33">
      <w:pPr>
        <w:widowControl/>
      </w:pPr>
      <w:r>
        <w:br w:type="page"/>
      </w:r>
    </w:p>
    <w:p w14:paraId="01BA465F">
      <w:pPr>
        <w:widowControl/>
        <w:spacing w:after="80"/>
        <w:jc w:val="left"/>
      </w:pPr>
      <w:r>
        <w:rPr>
          <w:rFonts w:ascii="Aptos Display" w:hAnsi="Aptos Display"/>
          <w:b/>
          <w:color w:val="1F3748"/>
          <w:sz w:val="50"/>
        </w:rPr>
        <w:t>5  Chronos foundation model result</w:t>
      </w:r>
    </w:p>
    <w:p w14:paraId="48184F44">
      <w:pPr>
        <w:widowControl/>
      </w:pPr>
      <w:r>
        <w:t>Chronos 2 was used with appliance history only. It was zero shot, so it was not trained on this house. It produced a median forecast and an 80 percent interval. The forecast was updated every day using real observations, which matched the other models.</w:t>
      </w:r>
    </w:p>
    <w:p w14:paraId="13301886">
      <w:pPr>
        <w:widowControl/>
      </w:pPr>
      <w:r>
        <w:t>The idea behind a foundation model is that patterns learned from many other time series may transfer to a new series. Chronos changes numerical values into a form that a pretrained model can process, then produces several possible futures. The median is the middle prediction, while the interval shows a range containing most of the model samples. This gives useful uncertainty information instead of pretending that one line is certain.</w:t>
      </w:r>
    </w:p>
    <w:p w14:paraId="6F91E091">
      <w:pPr>
        <w:widowControl/>
        <w:spacing w:after="40"/>
        <w:jc w:val="center"/>
      </w:pPr>
      <w:r>
        <w:drawing>
          <wp:inline distT="0" distB="0" distL="114300" distR="114300">
            <wp:extent cx="6126480" cy="2186305"/>
            <wp:effectExtent l="0" t="0" r="2032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126480" cy="2186747"/>
                    </a:xfrm>
                    <a:prstGeom prst="rect">
                      <a:avLst/>
                    </a:prstGeom>
                  </pic:spPr>
                </pic:pic>
              </a:graphicData>
            </a:graphic>
          </wp:inline>
        </w:drawing>
      </w:r>
    </w:p>
    <w:p w14:paraId="79AFED1C">
      <w:pPr>
        <w:widowControl/>
        <w:spacing w:after="80"/>
        <w:jc w:val="center"/>
      </w:pPr>
      <w:r>
        <w:rPr>
          <w:i/>
          <w:color w:val="5A5A5A"/>
          <w:sz w:val="16"/>
        </w:rPr>
        <w:t>Figure 5, supplied Chronos 2 forecast, actual values, and prediction interval</w:t>
      </w:r>
    </w:p>
    <w:p w14:paraId="5E31121B">
      <w:pPr>
        <w:widowControl/>
      </w:pPr>
      <w:r>
        <w:t>Chronos 2 had an MAE of 32.82 Wh, RMSE of 67.09 Wh, MAPE of 23.20 percent, MASE of 0.61, and bias of minus 18.65 Wh. It came first for MAE, MAPE, and MASE. Still, the graph shows that it missed several large peaks and usually predicted too low. The shaded area often covered the real high values, but it was also very wide. This honestly shows the uncertainty, although it is not ideal when a smart home needs one exact decision.</w:t>
      </w:r>
    </w:p>
    <w:p w14:paraId="2AC75DD0">
      <w:pPr>
        <w:widowControl/>
      </w:pPr>
      <w:r>
        <w:t>The negative bias is important because it means the errors were not balanced around zero. The model tended to underestimate demand. For a simple information display this may be acceptable, but for battery scheduling it could leave too little stored energy. Therefore, the lowest MAE does not automatically mean the safest operational model.</w:t>
      </w:r>
    </w:p>
    <w:p w14:paraId="71150034">
      <w:pPr>
        <w:pStyle w:val="2"/>
        <w:widowControl/>
      </w:pPr>
      <w:r>
        <w:t>Was the extra complexity worth it</w:t>
      </w:r>
    </w:p>
    <w:p w14:paraId="198B4D00">
      <w:pPr>
        <w:widowControl/>
      </w:pPr>
      <w:r>
        <w:t>Chronos improved MAE by 3.22 Wh compared with SARIMA, which is about 8.9 percent. However, it did not improve RMSE. I think the gain is useful, but not big enough to ignore cost and simplicity. Chronos makes sense in a cloud service where the model is already available. For a small system inside a home, SARIMA feels like the more sensible choice because it is lighter and easier to explain.</w:t>
      </w:r>
    </w:p>
    <w:p w14:paraId="5EB142BC">
      <w:pPr>
        <w:widowControl/>
      </w:pPr>
      <w:r>
        <w:br w:type="page"/>
      </w:r>
    </w:p>
    <w:p w14:paraId="42163713">
      <w:pPr>
        <w:widowControl/>
        <w:spacing w:after="80"/>
        <w:jc w:val="left"/>
      </w:pPr>
      <w:r>
        <w:rPr>
          <w:rFonts w:ascii="Aptos Display" w:hAnsi="Aptos Display"/>
          <w:b/>
          <w:color w:val="1F3748"/>
          <w:sz w:val="50"/>
        </w:rPr>
        <w:t>6  Overall comparison and answers</w:t>
      </w:r>
    </w:p>
    <w:tbl>
      <w:tblPr>
        <w:tblStyle w:val="12"/>
        <w:tblW w:w="0" w:type="auto"/>
        <w:jc w:val="center"/>
        <w:tblLayout w:type="fixed"/>
        <w:tblCellMar>
          <w:top w:w="0" w:type="dxa"/>
          <w:left w:w="108" w:type="dxa"/>
          <w:bottom w:w="0" w:type="dxa"/>
          <w:right w:w="108" w:type="dxa"/>
        </w:tblCellMar>
      </w:tblPr>
      <w:tblGrid>
        <w:gridCol w:w="1666"/>
        <w:gridCol w:w="1666"/>
        <w:gridCol w:w="1666"/>
        <w:gridCol w:w="1666"/>
        <w:gridCol w:w="1666"/>
        <w:gridCol w:w="1666"/>
      </w:tblGrid>
      <w:tr w14:paraId="05A3E919">
        <w:trPr>
          <w:jc w:val="center"/>
        </w:trPr>
        <w:tc>
          <w:tcPr>
            <w:tcW w:w="3240" w:type="dxa"/>
            <w:shd w:val="clear" w:color="auto" w:fill="DCE6F1"/>
            <w:vAlign w:val="center"/>
          </w:tcPr>
          <w:p w14:paraId="08725485">
            <w:pPr>
              <w:spacing w:after="0"/>
            </w:pPr>
            <w:r>
              <w:rPr>
                <w:rFonts w:ascii="Aptos" w:hAnsi="Aptos"/>
                <w:b/>
                <w:sz w:val="14"/>
              </w:rPr>
              <w:t>Model</w:t>
            </w:r>
          </w:p>
        </w:tc>
        <w:tc>
          <w:tcPr>
            <w:tcW w:w="1037" w:type="dxa"/>
            <w:shd w:val="clear" w:color="auto" w:fill="DCE6F1"/>
            <w:vAlign w:val="center"/>
          </w:tcPr>
          <w:p w14:paraId="448945DA">
            <w:pPr>
              <w:spacing w:after="0"/>
            </w:pPr>
            <w:r>
              <w:rPr>
                <w:rFonts w:ascii="Aptos" w:hAnsi="Aptos"/>
                <w:b/>
                <w:sz w:val="14"/>
              </w:rPr>
              <w:t>MAE</w:t>
            </w:r>
          </w:p>
        </w:tc>
        <w:tc>
          <w:tcPr>
            <w:tcW w:w="1037" w:type="dxa"/>
            <w:shd w:val="clear" w:color="auto" w:fill="DCE6F1"/>
            <w:vAlign w:val="center"/>
          </w:tcPr>
          <w:p w14:paraId="51C1B903">
            <w:pPr>
              <w:spacing w:after="0"/>
            </w:pPr>
            <w:r>
              <w:rPr>
                <w:rFonts w:ascii="Aptos" w:hAnsi="Aptos"/>
                <w:b/>
                <w:sz w:val="14"/>
              </w:rPr>
              <w:t>RMSE</w:t>
            </w:r>
          </w:p>
        </w:tc>
        <w:tc>
          <w:tcPr>
            <w:tcW w:w="1037" w:type="dxa"/>
            <w:shd w:val="clear" w:color="auto" w:fill="DCE6F1"/>
            <w:vAlign w:val="center"/>
          </w:tcPr>
          <w:p w14:paraId="6259ADE7">
            <w:pPr>
              <w:spacing w:after="0"/>
            </w:pPr>
            <w:r>
              <w:rPr>
                <w:rFonts w:ascii="Aptos" w:hAnsi="Aptos"/>
                <w:b/>
                <w:sz w:val="14"/>
              </w:rPr>
              <w:t>MAPE</w:t>
            </w:r>
          </w:p>
        </w:tc>
        <w:tc>
          <w:tcPr>
            <w:tcW w:w="1037" w:type="dxa"/>
            <w:shd w:val="clear" w:color="auto" w:fill="DCE6F1"/>
            <w:vAlign w:val="center"/>
          </w:tcPr>
          <w:p w14:paraId="08C5982E">
            <w:pPr>
              <w:spacing w:after="0"/>
            </w:pPr>
            <w:r>
              <w:rPr>
                <w:rFonts w:ascii="Aptos" w:hAnsi="Aptos"/>
                <w:b/>
                <w:sz w:val="14"/>
              </w:rPr>
              <w:t>MASE</w:t>
            </w:r>
          </w:p>
        </w:tc>
        <w:tc>
          <w:tcPr>
            <w:tcW w:w="1037" w:type="dxa"/>
            <w:shd w:val="clear" w:color="auto" w:fill="DCE6F1"/>
            <w:vAlign w:val="center"/>
          </w:tcPr>
          <w:p w14:paraId="7F0C5AC7">
            <w:pPr>
              <w:spacing w:after="0"/>
            </w:pPr>
            <w:r>
              <w:rPr>
                <w:rFonts w:ascii="Aptos" w:hAnsi="Aptos"/>
                <w:b/>
                <w:sz w:val="14"/>
              </w:rPr>
              <w:t>Bias</w:t>
            </w:r>
          </w:p>
        </w:tc>
      </w:tr>
      <w:tr w14:paraId="4EC4AC33">
        <w:trPr>
          <w:jc w:val="center"/>
        </w:trPr>
        <w:tc>
          <w:tcPr>
            <w:tcW w:w="3240" w:type="dxa"/>
            <w:vAlign w:val="center"/>
          </w:tcPr>
          <w:p w14:paraId="6980D9F7">
            <w:pPr>
              <w:spacing w:after="0"/>
            </w:pPr>
            <w:r>
              <w:rPr>
                <w:rFonts w:ascii="Aptos" w:hAnsi="Aptos"/>
                <w:b w:val="0"/>
                <w:sz w:val="14"/>
              </w:rPr>
              <w:t>Chronos 2</w:t>
            </w:r>
          </w:p>
        </w:tc>
        <w:tc>
          <w:tcPr>
            <w:tcW w:w="1037" w:type="dxa"/>
            <w:vAlign w:val="center"/>
          </w:tcPr>
          <w:p w14:paraId="2B84AFEF">
            <w:pPr>
              <w:spacing w:after="0"/>
            </w:pPr>
            <w:r>
              <w:rPr>
                <w:rFonts w:ascii="Aptos" w:hAnsi="Aptos"/>
                <w:b w:val="0"/>
                <w:sz w:val="14"/>
              </w:rPr>
              <w:t>32.82</w:t>
            </w:r>
          </w:p>
        </w:tc>
        <w:tc>
          <w:tcPr>
            <w:tcW w:w="1037" w:type="dxa"/>
            <w:vAlign w:val="center"/>
          </w:tcPr>
          <w:p w14:paraId="71CF0B12">
            <w:pPr>
              <w:spacing w:after="0"/>
            </w:pPr>
            <w:r>
              <w:rPr>
                <w:rFonts w:ascii="Aptos" w:hAnsi="Aptos"/>
                <w:b w:val="0"/>
                <w:sz w:val="14"/>
              </w:rPr>
              <w:t>67.09</w:t>
            </w:r>
          </w:p>
        </w:tc>
        <w:tc>
          <w:tcPr>
            <w:tcW w:w="1037" w:type="dxa"/>
            <w:vAlign w:val="center"/>
          </w:tcPr>
          <w:p w14:paraId="2A0FE03D">
            <w:pPr>
              <w:spacing w:after="0"/>
            </w:pPr>
            <w:r>
              <w:rPr>
                <w:rFonts w:ascii="Aptos" w:hAnsi="Aptos"/>
                <w:b w:val="0"/>
                <w:sz w:val="14"/>
              </w:rPr>
              <w:t>23.20</w:t>
            </w:r>
          </w:p>
        </w:tc>
        <w:tc>
          <w:tcPr>
            <w:tcW w:w="1037" w:type="dxa"/>
            <w:vAlign w:val="center"/>
          </w:tcPr>
          <w:p w14:paraId="00C505F1">
            <w:pPr>
              <w:spacing w:after="0"/>
            </w:pPr>
            <w:r>
              <w:rPr>
                <w:rFonts w:ascii="Aptos" w:hAnsi="Aptos"/>
                <w:b w:val="0"/>
                <w:sz w:val="14"/>
              </w:rPr>
              <w:t>0.61</w:t>
            </w:r>
          </w:p>
        </w:tc>
        <w:tc>
          <w:tcPr>
            <w:tcW w:w="1037" w:type="dxa"/>
            <w:vAlign w:val="center"/>
          </w:tcPr>
          <w:p w14:paraId="43051B10">
            <w:pPr>
              <w:spacing w:after="0"/>
            </w:pPr>
            <w:r>
              <w:rPr>
                <w:rFonts w:ascii="Aptos" w:hAnsi="Aptos"/>
                <w:b w:val="0"/>
                <w:sz w:val="14"/>
              </w:rPr>
              <w:t>minus 18.65</w:t>
            </w:r>
          </w:p>
        </w:tc>
      </w:tr>
      <w:tr w14:paraId="0240A5A9">
        <w:trPr>
          <w:jc w:val="center"/>
        </w:trPr>
        <w:tc>
          <w:tcPr>
            <w:tcW w:w="3240" w:type="dxa"/>
            <w:vAlign w:val="center"/>
          </w:tcPr>
          <w:p w14:paraId="243C6E36">
            <w:pPr>
              <w:spacing w:after="0"/>
            </w:pPr>
            <w:r>
              <w:rPr>
                <w:rFonts w:ascii="Aptos" w:hAnsi="Aptos"/>
                <w:b w:val="0"/>
                <w:sz w:val="14"/>
              </w:rPr>
              <w:t>SARIMA</w:t>
            </w:r>
          </w:p>
        </w:tc>
        <w:tc>
          <w:tcPr>
            <w:tcW w:w="1037" w:type="dxa"/>
            <w:vAlign w:val="center"/>
          </w:tcPr>
          <w:p w14:paraId="70DEB5F9">
            <w:pPr>
              <w:spacing w:after="0"/>
            </w:pPr>
            <w:r>
              <w:rPr>
                <w:rFonts w:ascii="Aptos" w:hAnsi="Aptos"/>
                <w:b w:val="0"/>
                <w:sz w:val="14"/>
              </w:rPr>
              <w:t>36.04</w:t>
            </w:r>
          </w:p>
        </w:tc>
        <w:tc>
          <w:tcPr>
            <w:tcW w:w="1037" w:type="dxa"/>
            <w:vAlign w:val="center"/>
          </w:tcPr>
          <w:p w14:paraId="7BF803D2">
            <w:pPr>
              <w:spacing w:after="0"/>
            </w:pPr>
            <w:r>
              <w:rPr>
                <w:rFonts w:ascii="Aptos" w:hAnsi="Aptos"/>
                <w:b w:val="0"/>
                <w:sz w:val="14"/>
              </w:rPr>
              <w:t>64.82</w:t>
            </w:r>
          </w:p>
        </w:tc>
        <w:tc>
          <w:tcPr>
            <w:tcW w:w="1037" w:type="dxa"/>
            <w:vAlign w:val="center"/>
          </w:tcPr>
          <w:p w14:paraId="6191BFE5">
            <w:pPr>
              <w:spacing w:after="0"/>
            </w:pPr>
            <w:r>
              <w:rPr>
                <w:rFonts w:ascii="Aptos" w:hAnsi="Aptos"/>
                <w:b w:val="0"/>
                <w:sz w:val="14"/>
              </w:rPr>
              <w:t>32.33</w:t>
            </w:r>
          </w:p>
        </w:tc>
        <w:tc>
          <w:tcPr>
            <w:tcW w:w="1037" w:type="dxa"/>
            <w:vAlign w:val="center"/>
          </w:tcPr>
          <w:p w14:paraId="6DA5FE6D">
            <w:pPr>
              <w:spacing w:after="0"/>
            </w:pPr>
            <w:r>
              <w:rPr>
                <w:rFonts w:ascii="Aptos" w:hAnsi="Aptos"/>
                <w:b w:val="0"/>
                <w:sz w:val="14"/>
              </w:rPr>
              <w:t>0.67</w:t>
            </w:r>
          </w:p>
        </w:tc>
        <w:tc>
          <w:tcPr>
            <w:tcW w:w="1037" w:type="dxa"/>
            <w:vAlign w:val="center"/>
          </w:tcPr>
          <w:p w14:paraId="67E8A7C8">
            <w:pPr>
              <w:spacing w:after="0"/>
            </w:pPr>
            <w:r>
              <w:rPr>
                <w:rFonts w:ascii="Aptos" w:hAnsi="Aptos"/>
                <w:b w:val="0"/>
                <w:sz w:val="14"/>
              </w:rPr>
              <w:t>minus 7.66</w:t>
            </w:r>
          </w:p>
        </w:tc>
      </w:tr>
      <w:tr w14:paraId="26E74B0E">
        <w:trPr>
          <w:jc w:val="center"/>
        </w:trPr>
        <w:tc>
          <w:tcPr>
            <w:tcW w:w="3240" w:type="dxa"/>
            <w:vAlign w:val="center"/>
          </w:tcPr>
          <w:p w14:paraId="67D227A0">
            <w:pPr>
              <w:spacing w:after="0"/>
            </w:pPr>
            <w:r>
              <w:rPr>
                <w:rFonts w:ascii="Aptos" w:hAnsi="Aptos"/>
                <w:b w:val="0"/>
                <w:sz w:val="14"/>
              </w:rPr>
              <w:t>SARIMAX conditional</w:t>
            </w:r>
          </w:p>
        </w:tc>
        <w:tc>
          <w:tcPr>
            <w:tcW w:w="1037" w:type="dxa"/>
            <w:vAlign w:val="center"/>
          </w:tcPr>
          <w:p w14:paraId="00A5B9B4">
            <w:pPr>
              <w:spacing w:after="0"/>
            </w:pPr>
            <w:r>
              <w:rPr>
                <w:rFonts w:ascii="Aptos" w:hAnsi="Aptos"/>
                <w:b w:val="0"/>
                <w:sz w:val="14"/>
              </w:rPr>
              <w:t>36.95</w:t>
            </w:r>
          </w:p>
        </w:tc>
        <w:tc>
          <w:tcPr>
            <w:tcW w:w="1037" w:type="dxa"/>
            <w:vAlign w:val="center"/>
          </w:tcPr>
          <w:p w14:paraId="686FFF32">
            <w:pPr>
              <w:spacing w:after="0"/>
            </w:pPr>
            <w:r>
              <w:rPr>
                <w:rFonts w:ascii="Aptos" w:hAnsi="Aptos"/>
                <w:b w:val="0"/>
                <w:sz w:val="14"/>
              </w:rPr>
              <w:t>65.77</w:t>
            </w:r>
          </w:p>
        </w:tc>
        <w:tc>
          <w:tcPr>
            <w:tcW w:w="1037" w:type="dxa"/>
            <w:vAlign w:val="center"/>
          </w:tcPr>
          <w:p w14:paraId="76C58D31">
            <w:pPr>
              <w:spacing w:after="0"/>
            </w:pPr>
            <w:r>
              <w:rPr>
                <w:rFonts w:ascii="Aptos" w:hAnsi="Aptos"/>
                <w:b w:val="0"/>
                <w:sz w:val="14"/>
              </w:rPr>
              <w:t>33.40</w:t>
            </w:r>
          </w:p>
        </w:tc>
        <w:tc>
          <w:tcPr>
            <w:tcW w:w="1037" w:type="dxa"/>
            <w:vAlign w:val="center"/>
          </w:tcPr>
          <w:p w14:paraId="750C9502">
            <w:pPr>
              <w:spacing w:after="0"/>
            </w:pPr>
            <w:r>
              <w:rPr>
                <w:rFonts w:ascii="Aptos" w:hAnsi="Aptos"/>
                <w:b w:val="0"/>
                <w:sz w:val="14"/>
              </w:rPr>
              <w:t>0.69</w:t>
            </w:r>
          </w:p>
        </w:tc>
        <w:tc>
          <w:tcPr>
            <w:tcW w:w="1037" w:type="dxa"/>
            <w:vAlign w:val="center"/>
          </w:tcPr>
          <w:p w14:paraId="6505AE58">
            <w:pPr>
              <w:spacing w:after="0"/>
            </w:pPr>
            <w:r>
              <w:rPr>
                <w:rFonts w:ascii="Aptos" w:hAnsi="Aptos"/>
                <w:b w:val="0"/>
                <w:sz w:val="14"/>
              </w:rPr>
              <w:t>minus 9.08</w:t>
            </w:r>
          </w:p>
        </w:tc>
      </w:tr>
      <w:tr w14:paraId="487999EB">
        <w:trPr>
          <w:jc w:val="center"/>
        </w:trPr>
        <w:tc>
          <w:tcPr>
            <w:tcW w:w="3240" w:type="dxa"/>
            <w:vAlign w:val="center"/>
          </w:tcPr>
          <w:p w14:paraId="0C7A38EA">
            <w:pPr>
              <w:spacing w:after="0"/>
            </w:pPr>
            <w:r>
              <w:rPr>
                <w:rFonts w:ascii="Aptos" w:hAnsi="Aptos"/>
                <w:b w:val="0"/>
                <w:sz w:val="14"/>
              </w:rPr>
              <w:t>XGBoost past only</w:t>
            </w:r>
          </w:p>
        </w:tc>
        <w:tc>
          <w:tcPr>
            <w:tcW w:w="1037" w:type="dxa"/>
            <w:vAlign w:val="center"/>
          </w:tcPr>
          <w:p w14:paraId="5C126029">
            <w:pPr>
              <w:spacing w:after="0"/>
            </w:pPr>
            <w:r>
              <w:rPr>
                <w:rFonts w:ascii="Aptos" w:hAnsi="Aptos"/>
                <w:b w:val="0"/>
                <w:sz w:val="14"/>
              </w:rPr>
              <w:t>43.00</w:t>
            </w:r>
          </w:p>
        </w:tc>
        <w:tc>
          <w:tcPr>
            <w:tcW w:w="1037" w:type="dxa"/>
            <w:vAlign w:val="center"/>
          </w:tcPr>
          <w:p w14:paraId="05004EA2">
            <w:pPr>
              <w:spacing w:after="0"/>
            </w:pPr>
            <w:r>
              <w:rPr>
                <w:rFonts w:ascii="Aptos" w:hAnsi="Aptos"/>
                <w:b w:val="0"/>
                <w:sz w:val="14"/>
              </w:rPr>
              <w:t>67.14</w:t>
            </w:r>
          </w:p>
        </w:tc>
        <w:tc>
          <w:tcPr>
            <w:tcW w:w="1037" w:type="dxa"/>
            <w:vAlign w:val="center"/>
          </w:tcPr>
          <w:p w14:paraId="0389E73A">
            <w:pPr>
              <w:spacing w:after="0"/>
            </w:pPr>
            <w:r>
              <w:rPr>
                <w:rFonts w:ascii="Aptos" w:hAnsi="Aptos"/>
                <w:b w:val="0"/>
                <w:sz w:val="14"/>
              </w:rPr>
              <w:t>43.19</w:t>
            </w:r>
          </w:p>
        </w:tc>
        <w:tc>
          <w:tcPr>
            <w:tcW w:w="1037" w:type="dxa"/>
            <w:vAlign w:val="center"/>
          </w:tcPr>
          <w:p w14:paraId="2F7D822A">
            <w:pPr>
              <w:spacing w:after="0"/>
            </w:pPr>
            <w:r>
              <w:rPr>
                <w:rFonts w:ascii="Aptos" w:hAnsi="Aptos"/>
                <w:b w:val="0"/>
                <w:sz w:val="14"/>
              </w:rPr>
              <w:t>0.80</w:t>
            </w:r>
          </w:p>
        </w:tc>
        <w:tc>
          <w:tcPr>
            <w:tcW w:w="1037" w:type="dxa"/>
            <w:vAlign w:val="center"/>
          </w:tcPr>
          <w:p w14:paraId="3138C38F">
            <w:pPr>
              <w:spacing w:after="0"/>
            </w:pPr>
            <w:r>
              <w:rPr>
                <w:rFonts w:ascii="Aptos" w:hAnsi="Aptos"/>
                <w:b w:val="0"/>
                <w:sz w:val="14"/>
              </w:rPr>
              <w:t>5.70</w:t>
            </w:r>
          </w:p>
        </w:tc>
      </w:tr>
      <w:tr w14:paraId="0D541A5E">
        <w:trPr>
          <w:jc w:val="center"/>
        </w:trPr>
        <w:tc>
          <w:tcPr>
            <w:tcW w:w="3240" w:type="dxa"/>
            <w:vAlign w:val="center"/>
          </w:tcPr>
          <w:p w14:paraId="154E9128">
            <w:pPr>
              <w:spacing w:after="0"/>
            </w:pPr>
            <w:r>
              <w:rPr>
                <w:rFonts w:ascii="Aptos" w:hAnsi="Aptos"/>
                <w:b w:val="0"/>
                <w:sz w:val="14"/>
              </w:rPr>
              <w:t>Weekly seasonal naive</w:t>
            </w:r>
          </w:p>
        </w:tc>
        <w:tc>
          <w:tcPr>
            <w:tcW w:w="1037" w:type="dxa"/>
            <w:vAlign w:val="center"/>
          </w:tcPr>
          <w:p w14:paraId="3021E838">
            <w:pPr>
              <w:spacing w:after="0"/>
            </w:pPr>
            <w:r>
              <w:rPr>
                <w:rFonts w:ascii="Aptos" w:hAnsi="Aptos"/>
                <w:b w:val="0"/>
                <w:sz w:val="14"/>
              </w:rPr>
              <w:t>43.46</w:t>
            </w:r>
          </w:p>
        </w:tc>
        <w:tc>
          <w:tcPr>
            <w:tcW w:w="1037" w:type="dxa"/>
            <w:vAlign w:val="center"/>
          </w:tcPr>
          <w:p w14:paraId="3DFBC31E">
            <w:pPr>
              <w:spacing w:after="0"/>
            </w:pPr>
            <w:r>
              <w:rPr>
                <w:rFonts w:ascii="Aptos" w:hAnsi="Aptos"/>
                <w:b w:val="0"/>
                <w:sz w:val="14"/>
              </w:rPr>
              <w:t>81.41</w:t>
            </w:r>
          </w:p>
        </w:tc>
        <w:tc>
          <w:tcPr>
            <w:tcW w:w="1037" w:type="dxa"/>
            <w:vAlign w:val="center"/>
          </w:tcPr>
          <w:p w14:paraId="346CF266">
            <w:pPr>
              <w:spacing w:after="0"/>
            </w:pPr>
            <w:r>
              <w:rPr>
                <w:rFonts w:ascii="Aptos" w:hAnsi="Aptos"/>
                <w:b w:val="0"/>
                <w:sz w:val="14"/>
              </w:rPr>
              <w:t>37.35</w:t>
            </w:r>
          </w:p>
        </w:tc>
        <w:tc>
          <w:tcPr>
            <w:tcW w:w="1037" w:type="dxa"/>
            <w:vAlign w:val="center"/>
          </w:tcPr>
          <w:p w14:paraId="65D7CE87">
            <w:pPr>
              <w:spacing w:after="0"/>
            </w:pPr>
            <w:r>
              <w:rPr>
                <w:rFonts w:ascii="Aptos" w:hAnsi="Aptos"/>
                <w:b w:val="0"/>
                <w:sz w:val="14"/>
              </w:rPr>
              <w:t>0.81</w:t>
            </w:r>
          </w:p>
        </w:tc>
        <w:tc>
          <w:tcPr>
            <w:tcW w:w="1037" w:type="dxa"/>
            <w:vAlign w:val="center"/>
          </w:tcPr>
          <w:p w14:paraId="2E609543">
            <w:pPr>
              <w:spacing w:after="0"/>
            </w:pPr>
            <w:r>
              <w:rPr>
                <w:rFonts w:ascii="Aptos" w:hAnsi="Aptos"/>
                <w:b w:val="0"/>
                <w:sz w:val="14"/>
              </w:rPr>
              <w:t>minus 13.16</w:t>
            </w:r>
          </w:p>
        </w:tc>
      </w:tr>
      <w:tr w14:paraId="7BCAE0BE">
        <w:trPr>
          <w:jc w:val="center"/>
        </w:trPr>
        <w:tc>
          <w:tcPr>
            <w:tcW w:w="3240" w:type="dxa"/>
            <w:vAlign w:val="center"/>
          </w:tcPr>
          <w:p w14:paraId="6576A68F">
            <w:pPr>
              <w:spacing w:after="0"/>
            </w:pPr>
            <w:r>
              <w:rPr>
                <w:rFonts w:ascii="Aptos" w:hAnsi="Aptos"/>
                <w:b w:val="0"/>
                <w:sz w:val="14"/>
              </w:rPr>
              <w:t>Daily seasonal naive</w:t>
            </w:r>
          </w:p>
        </w:tc>
        <w:tc>
          <w:tcPr>
            <w:tcW w:w="1037" w:type="dxa"/>
            <w:vAlign w:val="center"/>
          </w:tcPr>
          <w:p w14:paraId="6A00FB19">
            <w:pPr>
              <w:spacing w:after="0"/>
            </w:pPr>
            <w:r>
              <w:rPr>
                <w:rFonts w:ascii="Aptos" w:hAnsi="Aptos"/>
                <w:b w:val="0"/>
                <w:sz w:val="14"/>
              </w:rPr>
              <w:t>48.31</w:t>
            </w:r>
          </w:p>
        </w:tc>
        <w:tc>
          <w:tcPr>
            <w:tcW w:w="1037" w:type="dxa"/>
            <w:vAlign w:val="center"/>
          </w:tcPr>
          <w:p w14:paraId="18B09BCA">
            <w:pPr>
              <w:spacing w:after="0"/>
            </w:pPr>
            <w:r>
              <w:rPr>
                <w:rFonts w:ascii="Aptos" w:hAnsi="Aptos"/>
                <w:b w:val="0"/>
                <w:sz w:val="14"/>
              </w:rPr>
              <w:t>85.56</w:t>
            </w:r>
          </w:p>
        </w:tc>
        <w:tc>
          <w:tcPr>
            <w:tcW w:w="1037" w:type="dxa"/>
            <w:vAlign w:val="center"/>
          </w:tcPr>
          <w:p w14:paraId="1983E9BC">
            <w:pPr>
              <w:spacing w:after="0"/>
            </w:pPr>
            <w:r>
              <w:rPr>
                <w:rFonts w:ascii="Aptos" w:hAnsi="Aptos"/>
                <w:b w:val="0"/>
                <w:sz w:val="14"/>
              </w:rPr>
              <w:t>43.33</w:t>
            </w:r>
          </w:p>
        </w:tc>
        <w:tc>
          <w:tcPr>
            <w:tcW w:w="1037" w:type="dxa"/>
            <w:vAlign w:val="center"/>
          </w:tcPr>
          <w:p w14:paraId="2B3593C6">
            <w:pPr>
              <w:spacing w:after="0"/>
            </w:pPr>
            <w:r>
              <w:rPr>
                <w:rFonts w:ascii="Aptos" w:hAnsi="Aptos"/>
                <w:b w:val="0"/>
                <w:sz w:val="14"/>
              </w:rPr>
              <w:t>0.90</w:t>
            </w:r>
          </w:p>
        </w:tc>
        <w:tc>
          <w:tcPr>
            <w:tcW w:w="1037" w:type="dxa"/>
            <w:vAlign w:val="center"/>
          </w:tcPr>
          <w:p w14:paraId="21E5CDD0">
            <w:pPr>
              <w:spacing w:after="0"/>
            </w:pPr>
            <w:r>
              <w:rPr>
                <w:rFonts w:ascii="Aptos" w:hAnsi="Aptos"/>
                <w:b w:val="0"/>
                <w:sz w:val="14"/>
              </w:rPr>
              <w:t>1.75</w:t>
            </w:r>
          </w:p>
        </w:tc>
      </w:tr>
      <w:tr w14:paraId="41E11EE1">
        <w:trPr>
          <w:jc w:val="center"/>
        </w:trPr>
        <w:tc>
          <w:tcPr>
            <w:tcW w:w="3240" w:type="dxa"/>
            <w:vAlign w:val="center"/>
          </w:tcPr>
          <w:p w14:paraId="4E6253C5">
            <w:pPr>
              <w:spacing w:after="0"/>
            </w:pPr>
            <w:r>
              <w:rPr>
                <w:rFonts w:ascii="Aptos" w:hAnsi="Aptos"/>
                <w:b w:val="0"/>
                <w:sz w:val="14"/>
              </w:rPr>
              <w:t>XGBoost conditional</w:t>
            </w:r>
          </w:p>
        </w:tc>
        <w:tc>
          <w:tcPr>
            <w:tcW w:w="1037" w:type="dxa"/>
            <w:vAlign w:val="center"/>
          </w:tcPr>
          <w:p w14:paraId="2B387B94">
            <w:pPr>
              <w:spacing w:after="0"/>
            </w:pPr>
            <w:r>
              <w:rPr>
                <w:rFonts w:ascii="Aptos" w:hAnsi="Aptos"/>
                <w:b w:val="0"/>
                <w:sz w:val="14"/>
              </w:rPr>
              <w:t>49.37</w:t>
            </w:r>
          </w:p>
        </w:tc>
        <w:tc>
          <w:tcPr>
            <w:tcW w:w="1037" w:type="dxa"/>
            <w:vAlign w:val="center"/>
          </w:tcPr>
          <w:p w14:paraId="5BE9913F">
            <w:pPr>
              <w:spacing w:after="0"/>
            </w:pPr>
            <w:r>
              <w:rPr>
                <w:rFonts w:ascii="Aptos" w:hAnsi="Aptos"/>
                <w:b w:val="0"/>
                <w:sz w:val="14"/>
              </w:rPr>
              <w:t>69.35</w:t>
            </w:r>
          </w:p>
        </w:tc>
        <w:tc>
          <w:tcPr>
            <w:tcW w:w="1037" w:type="dxa"/>
            <w:vAlign w:val="center"/>
          </w:tcPr>
          <w:p w14:paraId="0CDB69A3">
            <w:pPr>
              <w:spacing w:after="0"/>
            </w:pPr>
            <w:r>
              <w:rPr>
                <w:rFonts w:ascii="Aptos" w:hAnsi="Aptos"/>
                <w:b w:val="0"/>
                <w:sz w:val="14"/>
              </w:rPr>
              <w:t>56.89</w:t>
            </w:r>
          </w:p>
        </w:tc>
        <w:tc>
          <w:tcPr>
            <w:tcW w:w="1037" w:type="dxa"/>
            <w:vAlign w:val="center"/>
          </w:tcPr>
          <w:p w14:paraId="36ED6DD7">
            <w:pPr>
              <w:spacing w:after="0"/>
            </w:pPr>
            <w:r>
              <w:rPr>
                <w:rFonts w:ascii="Aptos" w:hAnsi="Aptos"/>
                <w:b w:val="0"/>
                <w:sz w:val="14"/>
              </w:rPr>
              <w:t>0.92</w:t>
            </w:r>
          </w:p>
        </w:tc>
        <w:tc>
          <w:tcPr>
            <w:tcW w:w="1037" w:type="dxa"/>
            <w:vAlign w:val="center"/>
          </w:tcPr>
          <w:p w14:paraId="57F165E8">
            <w:pPr>
              <w:spacing w:after="0"/>
            </w:pPr>
            <w:r>
              <w:rPr>
                <w:rFonts w:ascii="Aptos" w:hAnsi="Aptos"/>
                <w:b w:val="0"/>
                <w:sz w:val="14"/>
              </w:rPr>
              <w:t>21.28</w:t>
            </w:r>
          </w:p>
        </w:tc>
      </w:tr>
      <w:tr w14:paraId="1F569179">
        <w:trPr>
          <w:jc w:val="center"/>
        </w:trPr>
        <w:tc>
          <w:tcPr>
            <w:tcW w:w="3240" w:type="dxa"/>
            <w:vAlign w:val="center"/>
          </w:tcPr>
          <w:p w14:paraId="09140E19">
            <w:pPr>
              <w:spacing w:after="0"/>
            </w:pPr>
            <w:r>
              <w:rPr>
                <w:rFonts w:ascii="Aptos" w:hAnsi="Aptos"/>
                <w:b w:val="0"/>
                <w:sz w:val="14"/>
              </w:rPr>
              <w:t>Mean</w:t>
            </w:r>
          </w:p>
        </w:tc>
        <w:tc>
          <w:tcPr>
            <w:tcW w:w="1037" w:type="dxa"/>
            <w:vAlign w:val="center"/>
          </w:tcPr>
          <w:p w14:paraId="289D5A8A">
            <w:pPr>
              <w:spacing w:after="0"/>
            </w:pPr>
            <w:r>
              <w:rPr>
                <w:rFonts w:ascii="Aptos" w:hAnsi="Aptos"/>
                <w:b w:val="0"/>
                <w:sz w:val="14"/>
              </w:rPr>
              <w:t>50.26</w:t>
            </w:r>
          </w:p>
        </w:tc>
        <w:tc>
          <w:tcPr>
            <w:tcW w:w="1037" w:type="dxa"/>
            <w:vAlign w:val="center"/>
          </w:tcPr>
          <w:p w14:paraId="3D8C8CA8">
            <w:pPr>
              <w:spacing w:after="0"/>
            </w:pPr>
            <w:r>
              <w:rPr>
                <w:rFonts w:ascii="Aptos" w:hAnsi="Aptos"/>
                <w:b w:val="0"/>
                <w:sz w:val="14"/>
              </w:rPr>
              <w:t>74.94</w:t>
            </w:r>
          </w:p>
        </w:tc>
        <w:tc>
          <w:tcPr>
            <w:tcW w:w="1037" w:type="dxa"/>
            <w:vAlign w:val="center"/>
          </w:tcPr>
          <w:p w14:paraId="71A5EE7B">
            <w:pPr>
              <w:spacing w:after="0"/>
            </w:pPr>
            <w:r>
              <w:rPr>
                <w:rFonts w:ascii="Aptos" w:hAnsi="Aptos"/>
                <w:b w:val="0"/>
                <w:sz w:val="14"/>
              </w:rPr>
              <w:t>53.70</w:t>
            </w:r>
          </w:p>
        </w:tc>
        <w:tc>
          <w:tcPr>
            <w:tcW w:w="1037" w:type="dxa"/>
            <w:vAlign w:val="center"/>
          </w:tcPr>
          <w:p w14:paraId="63275B56">
            <w:pPr>
              <w:spacing w:after="0"/>
            </w:pPr>
            <w:r>
              <w:rPr>
                <w:rFonts w:ascii="Aptos" w:hAnsi="Aptos"/>
                <w:b w:val="0"/>
                <w:sz w:val="14"/>
              </w:rPr>
              <w:t>0.94</w:t>
            </w:r>
          </w:p>
        </w:tc>
        <w:tc>
          <w:tcPr>
            <w:tcW w:w="1037" w:type="dxa"/>
            <w:vAlign w:val="center"/>
          </w:tcPr>
          <w:p w14:paraId="7DAEDCCE">
            <w:pPr>
              <w:spacing w:after="0"/>
            </w:pPr>
            <w:r>
              <w:rPr>
                <w:rFonts w:ascii="Aptos" w:hAnsi="Aptos"/>
                <w:b w:val="0"/>
                <w:sz w:val="14"/>
              </w:rPr>
              <w:t>minus 3.29</w:t>
            </w:r>
          </w:p>
        </w:tc>
      </w:tr>
      <w:tr w14:paraId="569798F8">
        <w:trPr>
          <w:jc w:val="center"/>
        </w:trPr>
        <w:tc>
          <w:tcPr>
            <w:tcW w:w="3240" w:type="dxa"/>
            <w:vAlign w:val="center"/>
          </w:tcPr>
          <w:p w14:paraId="79A190C4">
            <w:pPr>
              <w:spacing w:after="0"/>
            </w:pPr>
            <w:r>
              <w:rPr>
                <w:rFonts w:ascii="Aptos" w:hAnsi="Aptos"/>
                <w:b w:val="0"/>
                <w:sz w:val="14"/>
              </w:rPr>
              <w:t>Naive</w:t>
            </w:r>
          </w:p>
        </w:tc>
        <w:tc>
          <w:tcPr>
            <w:tcW w:w="1037" w:type="dxa"/>
            <w:vAlign w:val="center"/>
          </w:tcPr>
          <w:p w14:paraId="52166858">
            <w:pPr>
              <w:spacing w:after="0"/>
            </w:pPr>
            <w:r>
              <w:rPr>
                <w:rFonts w:ascii="Aptos" w:hAnsi="Aptos"/>
                <w:b w:val="0"/>
                <w:sz w:val="14"/>
              </w:rPr>
              <w:t>85.55</w:t>
            </w:r>
          </w:p>
        </w:tc>
        <w:tc>
          <w:tcPr>
            <w:tcW w:w="1037" w:type="dxa"/>
            <w:vAlign w:val="center"/>
          </w:tcPr>
          <w:p w14:paraId="0E6B01B9">
            <w:pPr>
              <w:spacing w:after="0"/>
            </w:pPr>
            <w:r>
              <w:rPr>
                <w:rFonts w:ascii="Aptos" w:hAnsi="Aptos"/>
                <w:b w:val="0"/>
                <w:sz w:val="14"/>
              </w:rPr>
              <w:t>110.39</w:t>
            </w:r>
          </w:p>
        </w:tc>
        <w:tc>
          <w:tcPr>
            <w:tcW w:w="1037" w:type="dxa"/>
            <w:vAlign w:val="center"/>
          </w:tcPr>
          <w:p w14:paraId="10F45BC8">
            <w:pPr>
              <w:spacing w:after="0"/>
            </w:pPr>
            <w:r>
              <w:rPr>
                <w:rFonts w:ascii="Aptos" w:hAnsi="Aptos"/>
                <w:b w:val="0"/>
                <w:sz w:val="14"/>
              </w:rPr>
              <w:t>112.91</w:t>
            </w:r>
          </w:p>
        </w:tc>
        <w:tc>
          <w:tcPr>
            <w:tcW w:w="1037" w:type="dxa"/>
            <w:vAlign w:val="center"/>
          </w:tcPr>
          <w:p w14:paraId="3C041885">
            <w:pPr>
              <w:spacing w:after="0"/>
            </w:pPr>
            <w:r>
              <w:rPr>
                <w:rFonts w:ascii="Aptos" w:hAnsi="Aptos"/>
                <w:b w:val="0"/>
                <w:sz w:val="14"/>
              </w:rPr>
              <w:t>1.60</w:t>
            </w:r>
          </w:p>
        </w:tc>
        <w:tc>
          <w:tcPr>
            <w:tcW w:w="1037" w:type="dxa"/>
            <w:vAlign w:val="center"/>
          </w:tcPr>
          <w:p w14:paraId="728A140D">
            <w:pPr>
              <w:spacing w:after="0"/>
            </w:pPr>
            <w:r>
              <w:rPr>
                <w:rFonts w:ascii="Aptos" w:hAnsi="Aptos"/>
                <w:b w:val="0"/>
                <w:sz w:val="14"/>
              </w:rPr>
              <w:t>50.98</w:t>
            </w:r>
          </w:p>
        </w:tc>
      </w:tr>
      <w:tr w14:paraId="144B02E4">
        <w:trPr>
          <w:jc w:val="center"/>
        </w:trPr>
        <w:tc>
          <w:tcPr>
            <w:tcW w:w="3240" w:type="dxa"/>
            <w:vAlign w:val="center"/>
          </w:tcPr>
          <w:p w14:paraId="49412CE2">
            <w:pPr>
              <w:spacing w:after="0"/>
            </w:pPr>
            <w:r>
              <w:rPr>
                <w:rFonts w:ascii="Aptos" w:hAnsi="Aptos"/>
                <w:b w:val="0"/>
                <w:sz w:val="14"/>
              </w:rPr>
              <w:t>Drift</w:t>
            </w:r>
          </w:p>
        </w:tc>
        <w:tc>
          <w:tcPr>
            <w:tcW w:w="1037" w:type="dxa"/>
            <w:vAlign w:val="center"/>
          </w:tcPr>
          <w:p w14:paraId="1E3895F5">
            <w:pPr>
              <w:spacing w:after="0"/>
            </w:pPr>
            <w:r>
              <w:rPr>
                <w:rFonts w:ascii="Aptos" w:hAnsi="Aptos"/>
                <w:b w:val="0"/>
                <w:sz w:val="14"/>
              </w:rPr>
              <w:t>85.80</w:t>
            </w:r>
          </w:p>
        </w:tc>
        <w:tc>
          <w:tcPr>
            <w:tcW w:w="1037" w:type="dxa"/>
            <w:vAlign w:val="center"/>
          </w:tcPr>
          <w:p w14:paraId="163B1310">
            <w:pPr>
              <w:spacing w:after="0"/>
            </w:pPr>
            <w:r>
              <w:rPr>
                <w:rFonts w:ascii="Aptos" w:hAnsi="Aptos"/>
                <w:b w:val="0"/>
                <w:sz w:val="14"/>
              </w:rPr>
              <w:t>110.68</w:t>
            </w:r>
          </w:p>
        </w:tc>
        <w:tc>
          <w:tcPr>
            <w:tcW w:w="1037" w:type="dxa"/>
            <w:vAlign w:val="center"/>
          </w:tcPr>
          <w:p w14:paraId="649C38D6">
            <w:pPr>
              <w:spacing w:after="0"/>
            </w:pPr>
            <w:r>
              <w:rPr>
                <w:rFonts w:ascii="Aptos" w:hAnsi="Aptos"/>
                <w:b w:val="0"/>
                <w:sz w:val="14"/>
              </w:rPr>
              <w:t>113.31</w:t>
            </w:r>
          </w:p>
        </w:tc>
        <w:tc>
          <w:tcPr>
            <w:tcW w:w="1037" w:type="dxa"/>
            <w:vAlign w:val="center"/>
          </w:tcPr>
          <w:p w14:paraId="76A03B1F">
            <w:pPr>
              <w:spacing w:after="0"/>
            </w:pPr>
            <w:r>
              <w:rPr>
                <w:rFonts w:ascii="Aptos" w:hAnsi="Aptos"/>
                <w:b w:val="0"/>
                <w:sz w:val="14"/>
              </w:rPr>
              <w:t>1.61</w:t>
            </w:r>
          </w:p>
        </w:tc>
        <w:tc>
          <w:tcPr>
            <w:tcW w:w="1037" w:type="dxa"/>
            <w:vAlign w:val="center"/>
          </w:tcPr>
          <w:p w14:paraId="725580EF">
            <w:pPr>
              <w:spacing w:after="0"/>
            </w:pPr>
            <w:r>
              <w:rPr>
                <w:rFonts w:ascii="Aptos" w:hAnsi="Aptos"/>
                <w:b w:val="0"/>
                <w:sz w:val="14"/>
              </w:rPr>
              <w:t>51.37</w:t>
            </w:r>
          </w:p>
        </w:tc>
      </w:tr>
    </w:tbl>
    <w:p w14:paraId="514708A2">
      <w:pPr>
        <w:widowControl/>
        <w:spacing w:after="40"/>
        <w:jc w:val="center"/>
      </w:pPr>
      <w:r>
        <w:drawing>
          <wp:inline distT="0" distB="0" distL="114300" distR="114300">
            <wp:extent cx="5897880" cy="2680335"/>
            <wp:effectExtent l="0" t="0" r="203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97880" cy="2680855"/>
                    </a:xfrm>
                    <a:prstGeom prst="rect">
                      <a:avLst/>
                    </a:prstGeom>
                  </pic:spPr>
                </pic:pic>
              </a:graphicData>
            </a:graphic>
          </wp:inline>
        </w:drawing>
      </w:r>
    </w:p>
    <w:p w14:paraId="24C44FFC">
      <w:pPr>
        <w:widowControl/>
        <w:spacing w:after="80"/>
        <w:jc w:val="center"/>
      </w:pPr>
      <w:r>
        <w:rPr>
          <w:i/>
          <w:color w:val="5A5A5A"/>
          <w:sz w:val="16"/>
        </w:rPr>
        <w:t>Figure 6, actual use and selected forecasts across the test period</w:t>
      </w:r>
    </w:p>
    <w:p w14:paraId="3EA0552F">
      <w:pPr>
        <w:pStyle w:val="2"/>
        <w:widowControl/>
      </w:pPr>
      <w:r>
        <w:t>Answers to the six questions</w:t>
      </w:r>
    </w:p>
    <w:p w14:paraId="3F497968">
      <w:pPr>
        <w:widowControl/>
      </w:pPr>
      <w:r>
        <w:t>1. Weekly seasonal naive was the strongest benchmark by MAE because the household followed some weekly routines. The same hour from the previous week was usually a useful guide. Its RMSE was still high because an unusual peak from last week could be copied into a quiet hour this week, creating one very large error.</w:t>
      </w:r>
    </w:p>
    <w:p w14:paraId="61E5BE92">
      <w:pPr>
        <w:widowControl/>
      </w:pPr>
      <w:r>
        <w:t>2. SARIMA improved clearly on weekly seasonal naive, especially under RMSE. This suggests that daily seasonality and shorter autocorrelation were captured more carefully than simply copying an old day. The SARIMAX version did not improve the scores, so the chosen weather and calendar variables added complexity without adding reliable forecast information.</w:t>
      </w:r>
    </w:p>
    <w:p w14:paraId="142DDBCA">
      <w:pPr>
        <w:widowControl/>
      </w:pPr>
      <w:r>
        <w:t>3. Past only XGBoost improved MAE by only 0.46 Wh over the weekly benchmark, which is too small to be convincing. Lag and rolling features were the most useful because they directly described recent appliance behaviour. Indoor sensors appeared important in the conditional model, but their future values would not normally be available.</w:t>
      </w:r>
    </w:p>
    <w:p w14:paraId="7B13BF34">
      <w:pPr>
        <w:widowControl/>
      </w:pPr>
      <w:r>
        <w:t>4. Chronos had the best MAE, MAPE, and MASE, while SARIMA had the best RMSE. This means Chronos was better in a typical hour, but SARIMA handled the largest errors slightly better. The Chronos gain was real, although it was not large enough to ignore its higher computing cost and lower interpretability.</w:t>
      </w:r>
    </w:p>
    <w:p w14:paraId="3E279C49">
      <w:pPr>
        <w:widowControl/>
      </w:pPr>
      <w:r>
        <w:t>5. Calendar values and past appliance readings are genuinely known at the forecast origin. Future indoor temperature and humidity are not known, and future weather should come from a separate weather forecast. Using observed future values from the test set therefore answers a conditional question, what demand would be if those conditions were already known.</w:t>
      </w:r>
    </w:p>
    <w:p w14:paraId="7A38C16E">
      <w:pPr>
        <w:widowControl/>
      </w:pPr>
      <w:r>
        <w:t>6. I recommend SARIMA for practical smart home use because it balances accuracy, uncertainty, computing cost, and explanation. Chronos is a reasonable alternative when a cloud service is already available and average accuracy is the main goal. For a small local device, the extra complexity is harder to justify.</w:t>
      </w:r>
    </w:p>
    <w:p w14:paraId="23D4D5BA">
      <w:pPr>
        <w:widowControl/>
      </w:pPr>
      <w:r>
        <w:br w:type="page"/>
      </w:r>
    </w:p>
    <w:p w14:paraId="7C6C9ABD">
      <w:pPr>
        <w:widowControl/>
        <w:spacing w:after="80"/>
        <w:jc w:val="left"/>
      </w:pPr>
      <w:r>
        <w:rPr>
          <w:rFonts w:ascii="Aptos Display" w:hAnsi="Aptos Display"/>
          <w:b/>
          <w:color w:val="1F3748"/>
          <w:sz w:val="50"/>
        </w:rPr>
        <w:t>7  Errors, limits, and final conclusion</w:t>
      </w:r>
    </w:p>
    <w:p w14:paraId="48E4119C">
      <w:pPr>
        <w:widowControl/>
        <w:spacing w:after="40"/>
        <w:jc w:val="center"/>
      </w:pPr>
      <w:r>
        <w:drawing>
          <wp:inline distT="0" distB="0" distL="114300" distR="114300">
            <wp:extent cx="5760720" cy="2303780"/>
            <wp:effectExtent l="0" t="0" r="508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60720" cy="2304288"/>
                    </a:xfrm>
                    <a:prstGeom prst="rect">
                      <a:avLst/>
                    </a:prstGeom>
                  </pic:spPr>
                </pic:pic>
              </a:graphicData>
            </a:graphic>
          </wp:inline>
        </w:drawing>
      </w:r>
    </w:p>
    <w:p w14:paraId="24FF806A">
      <w:pPr>
        <w:widowControl/>
        <w:spacing w:after="80"/>
        <w:jc w:val="center"/>
      </w:pPr>
      <w:r>
        <w:rPr>
          <w:i/>
          <w:color w:val="5A5A5A"/>
          <w:sz w:val="16"/>
        </w:rPr>
        <w:t>Figure 7, error shape and mean absolute error by hour</w:t>
      </w:r>
    </w:p>
    <w:p w14:paraId="53C65288">
      <w:pPr>
        <w:pStyle w:val="2"/>
        <w:widowControl/>
      </w:pPr>
      <w:r>
        <w:t>Critical discussion</w:t>
      </w:r>
    </w:p>
    <w:p w14:paraId="421F2B54">
      <w:pPr>
        <w:widowControl/>
      </w:pPr>
      <w:r>
        <w:t>The clearest weakness was the same for every model, rare peaks. This is why RMSE stayed high even when MAE got better. The data recorded the house conditions, but it did not record what the people were doing. It also came from only one house over about four and a half months. Because of this, I cannot assume the same result would work for another family, season, or building. The 14 day test was fair for this assignment, but several test periods would give stronger evidence.</w:t>
      </w:r>
    </w:p>
    <w:p w14:paraId="4597A01E">
      <w:pPr>
        <w:widowControl/>
      </w:pPr>
      <w:r>
        <w:t>The SARIMA fit gave a convergence warning in the reproduction run, so its exact parameters should be checked again with more iterations and different starting values. The notebook result still showed clean residual autocorrelation. Chronos intervals were wide around uncertain periods. XGBoost importance should not be read as cause and effect.</w:t>
      </w:r>
    </w:p>
    <w:p w14:paraId="1CE1DE28">
      <w:pPr>
        <w:pStyle w:val="3"/>
        <w:widowControl/>
      </w:pPr>
      <w:r>
        <w:t>Future improvements</w:t>
      </w:r>
    </w:p>
    <w:p w14:paraId="741308CA">
      <w:pPr>
        <w:widowControl/>
      </w:pPr>
      <w:r>
        <w:t>A future study could add real occupancy data, appliance event labels, electricity price, holidays, and trusted weather forecasts. Models should be tested across several seasons and houses. Peak events could use a separate classification model. Forecast intervals should be checked for real coverage, not only drawn on a chart. Hyperparameter tuning should use time based validation only.</w:t>
      </w:r>
    </w:p>
    <w:p w14:paraId="74864AF2">
      <w:pPr>
        <w:pStyle w:val="2"/>
        <w:widowControl/>
      </w:pPr>
      <w:r>
        <w:t>Final conclusion</w:t>
      </w:r>
    </w:p>
    <w:p w14:paraId="6CB89FDD">
      <w:pPr>
        <w:widowControl/>
      </w:pPr>
      <w:r>
        <w:t>Overall, the result makes sense for a real home. People follow routines, so daily and weekly patterns can be predicted. At the same time, people make sudden choices, so the largest peaks are difficult to know in advance. Chronos gave the best average accuracy, while SARIMA handled large errors better and was easier to run. Since the improvement from Chronos was fairly small, I would choose SARIMA as the most balanced model.</w:t>
      </w:r>
    </w:p>
    <w:p w14:paraId="7A338640">
      <w:pPr>
        <w:pStyle w:val="3"/>
        <w:widowControl/>
      </w:pPr>
      <w:r>
        <w:t>References</w:t>
      </w:r>
    </w:p>
    <w:p w14:paraId="5AE4F2B1">
      <w:pPr>
        <w:widowControl/>
      </w:pPr>
      <w:r>
        <w:t>Ansari, A. F. and others, 2024. Chronos, Learning the Language of Time Series. arXiv 2403.07815.</w:t>
      </w:r>
    </w:p>
    <w:p w14:paraId="1422A71C">
      <w:pPr>
        <w:widowControl/>
      </w:pPr>
      <w:r>
        <w:t>Candanedo, L. M., Feldheim, V. and Deramaix, D., 2017. Data driven prediction models of energy use of appliances in a low energy house. Energy and Buildings, 140, pages 81 to 97.</w:t>
      </w:r>
    </w:p>
    <w:p w14:paraId="4272CE68">
      <w:pPr>
        <w:widowControl/>
      </w:pPr>
      <w:r>
        <w:t>Chen, T. and Guestrin, C., 2016. XGBoost, A Scalable Tree Boosting System. Proceedings of KDD, pages 785 to 794.</w:t>
      </w:r>
    </w:p>
    <w:p w14:paraId="32D85940">
      <w:pPr>
        <w:widowControl/>
      </w:pPr>
      <w:r>
        <w:t>UCI Machine Learning Repository, 2017. Appliances Energy Prediction data set.</w:t>
      </w:r>
    </w:p>
    <w:sectPr>
      <w:headerReference r:id="rId5" w:type="default"/>
      <w:footerReference r:id="rId6" w:type="default"/>
      <w:pgSz w:w="12240" w:h="15840"/>
      <w:pgMar w:top="979" w:right="1123" w:bottom="979" w:left="1123"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BD3F">
    <w:pPr>
      <w:pStyle w:val="18"/>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090C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BC5725A"/>
    <w:rsid w:val="F7D710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ptos" w:hAnsi="Aptos" w:eastAsiaTheme="minorEastAsia" w:cstheme="minorBidi"/>
      <w:color w:val="1E1E1E"/>
      <w:sz w:val="17"/>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1F4E79"/>
      <w:sz w:val="25"/>
      <w:szCs w:val="26"/>
    </w:rPr>
  </w:style>
  <w:style w:type="paragraph" w:styleId="4">
    <w:name w:val="heading 3"/>
    <w:basedOn w:val="1"/>
    <w:next w:val="1"/>
    <w:link w:val="140"/>
    <w:unhideWhenUsed/>
    <w:qFormat/>
    <w:uiPriority w:val="9"/>
    <w:pPr>
      <w:keepNext/>
      <w:keepLines/>
      <w:spacing w:before="100" w:after="40"/>
      <w:outlineLvl w:val="2"/>
    </w:pPr>
    <w:rPr>
      <w:rFonts w:asciiTheme="majorHAnsi" w:hAnsiTheme="majorHAnsi" w:eastAsiaTheme="majorEastAsia" w:cstheme="majorBidi"/>
      <w:b/>
      <w:bCs/>
      <w:color w:val="1F4E79"/>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Augustine Akauba</dc:creator>
  <dc:description>Clean native text edition rebuilt for Turnitin submission</dc:description>
  <cp:keywords>time series, appliance energy, SARIMA, XGBoost, Chronos</cp:keywords>
  <cp:lastModifiedBy>AugustineAkauba</cp:lastModifiedBy>
  <dcterms:modified xsi:type="dcterms:W3CDTF">2026-08-13T01:35:46Z</dcterms:modified>
  <dc:subject>Appliance energy forecasting case study</dc:subject>
  <dc:title>Forecasting Household Appliance Energy 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C41488C5ED45036062117D6A257F112F_43</vt:lpwstr>
  </property>
</Properties>
</file>