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01/27/23 Meeting Notes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Epigenetics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 Environment Interplay influences DNA expression throughout our life course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Social Epigenetics: Uncovering social influences on biological pathways and later life disease vulnerability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does systematic social adversity influence biology in protracted armed conflict and a worsening climate crisis for communities stuck in extreme poverty?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can technology be optimized to short-circuit these pathways for better health outcomes?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can we build better data to uncover these challenges?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Pre-Covid 19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Non-Communicable Disease Explosions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Diabetes, Cardiovascular Disease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Climate change worsening food security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Dwindling money for traditional aid response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Very modest evidence to support current intervention strategies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of the most heavily invested nutritional support is Iron vs. Anemia Outcomes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Hypothesized Pathways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exact mechanisms? Maternal microbiota, abnormal development of serotonin system, “Leaky Gut” theory leading to neuroinflammation, environmental stressors creating imbalances in gut bacteria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Insecurity vs. Nutrition Insecurity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Insecurity: Environmental determinants of mental health, high energy/low nutrient foods, intra-household food distribution, neighborhood/community food access influenced by geography, restricted movements, politics of agriculture and food systems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Nutrition Insecurity: Environment influencing the activation or silencing of genes at an individual level, brain-gut axis, acceleration or mitigation of mental health disorders, 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Audience is the Civil Socity Organizations, how can we develop tools to help NGO’s support their local communities?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Important to deal with how data is transferred, centralized vs. decentralized data servers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