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implesTabela2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379"/>
        <w:gridCol w:w="1201"/>
        <w:gridCol w:w="1753"/>
        <w:gridCol w:w="1841"/>
        <w:gridCol w:w="1811"/>
        <w:gridCol w:w="979"/>
        <w:gridCol w:w="813"/>
        <w:gridCol w:w="574"/>
        <w:gridCol w:w="574"/>
        <w:gridCol w:w="574"/>
        <w:gridCol w:w="574"/>
        <w:gridCol w:w="574"/>
        <w:gridCol w:w="517"/>
        <w:gridCol w:w="838"/>
      </w:tblGrid>
      <w:tr w:rsidR="001E49FB" w:rsidRPr="0018548E" w14:paraId="4B000F6B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0B050"/>
          </w:tcPr>
          <w:p w14:paraId="4DF16D08" w14:textId="26ED7B48" w:rsidR="001E49FB" w:rsidRPr="0018548E" w:rsidRDefault="001E49FB" w:rsidP="001E49FB">
            <w:pPr>
              <w:spacing w:line="240" w:lineRule="auto"/>
              <w:rPr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00B050"/>
          </w:tcPr>
          <w:p w14:paraId="41F0A5D2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481641EE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8EC1CBB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5170089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4E7C5000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215EDBD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6E4E280D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476363FF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08720488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FFFFFF" w:themeFill="background1"/>
          </w:tcPr>
          <w:p w14:paraId="5C5C5748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Objetivo 1 – Estabelecer práticas sustentáveis para o quadro institucional.</w:t>
            </w:r>
          </w:p>
        </w:tc>
        <w:tc>
          <w:tcPr>
            <w:tcW w:w="0" w:type="auto"/>
            <w:shd w:val="clear" w:color="auto" w:fill="FFFFFF" w:themeFill="background1"/>
          </w:tcPr>
          <w:p w14:paraId="5D8D561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22BE67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935AC6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B242D0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5E0738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EBD0A4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53F8EB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25315A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75914C4E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FFFFFF" w:themeFill="background1"/>
          </w:tcPr>
          <w:p w14:paraId="1924819E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1: Quantificar e monitorar o consumo</w:t>
            </w:r>
          </w:p>
        </w:tc>
        <w:tc>
          <w:tcPr>
            <w:tcW w:w="0" w:type="auto"/>
            <w:shd w:val="clear" w:color="auto" w:fill="FFFFFF" w:themeFill="background1"/>
          </w:tcPr>
          <w:p w14:paraId="288D445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5"/>
            <w:shd w:val="clear" w:color="auto" w:fill="FFFFFF" w:themeFill="background1"/>
          </w:tcPr>
          <w:p w14:paraId="4E82C0ED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</w:rPr>
              <w:t>LINHA DO TEMPO</w:t>
            </w:r>
          </w:p>
        </w:tc>
        <w:tc>
          <w:tcPr>
            <w:tcW w:w="0" w:type="auto"/>
            <w:shd w:val="clear" w:color="auto" w:fill="FFFFFF" w:themeFill="background1"/>
          </w:tcPr>
          <w:p w14:paraId="0930145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489626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12C188C7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FFFFFF" w:themeFill="background1"/>
          </w:tcPr>
          <w:p w14:paraId="62293755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01" w:type="dxa"/>
            <w:shd w:val="clear" w:color="auto" w:fill="FFFFFF" w:themeFill="background1"/>
          </w:tcPr>
          <w:p w14:paraId="623CA06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Ação</w:t>
            </w:r>
          </w:p>
        </w:tc>
        <w:tc>
          <w:tcPr>
            <w:tcW w:w="0" w:type="auto"/>
            <w:shd w:val="clear" w:color="auto" w:fill="FFFFFF" w:themeFill="background1"/>
          </w:tcPr>
          <w:p w14:paraId="4AE2782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Nome do indicador</w:t>
            </w:r>
          </w:p>
        </w:tc>
        <w:tc>
          <w:tcPr>
            <w:tcW w:w="0" w:type="auto"/>
            <w:shd w:val="clear" w:color="auto" w:fill="FFFFFF" w:themeFill="background1"/>
          </w:tcPr>
          <w:p w14:paraId="6D28E0E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Métrica</w:t>
            </w:r>
          </w:p>
        </w:tc>
        <w:tc>
          <w:tcPr>
            <w:tcW w:w="0" w:type="auto"/>
            <w:shd w:val="clear" w:color="auto" w:fill="FFFFFF" w:themeFill="background1"/>
          </w:tcPr>
          <w:p w14:paraId="54493BE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Objetivo (Período)</w:t>
            </w:r>
          </w:p>
        </w:tc>
        <w:tc>
          <w:tcPr>
            <w:tcW w:w="0" w:type="auto"/>
            <w:shd w:val="clear" w:color="auto" w:fill="FFFFFF" w:themeFill="background1"/>
          </w:tcPr>
          <w:p w14:paraId="188D323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Começar</w:t>
            </w:r>
          </w:p>
        </w:tc>
        <w:tc>
          <w:tcPr>
            <w:tcW w:w="0" w:type="auto"/>
            <w:shd w:val="clear" w:color="auto" w:fill="FFFFFF" w:themeFill="background1"/>
          </w:tcPr>
          <w:p w14:paraId="7BCD360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Fim</w:t>
            </w:r>
          </w:p>
        </w:tc>
        <w:tc>
          <w:tcPr>
            <w:tcW w:w="0" w:type="auto"/>
            <w:shd w:val="clear" w:color="auto" w:fill="FFFFFF" w:themeFill="background1"/>
          </w:tcPr>
          <w:p w14:paraId="0A9DE17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1</w:t>
            </w:r>
          </w:p>
        </w:tc>
        <w:tc>
          <w:tcPr>
            <w:tcW w:w="0" w:type="auto"/>
            <w:shd w:val="clear" w:color="auto" w:fill="FFFFFF" w:themeFill="background1"/>
          </w:tcPr>
          <w:p w14:paraId="65E04E8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2</w:t>
            </w:r>
          </w:p>
        </w:tc>
        <w:tc>
          <w:tcPr>
            <w:tcW w:w="0" w:type="auto"/>
            <w:shd w:val="clear" w:color="auto" w:fill="FFFFFF" w:themeFill="background1"/>
          </w:tcPr>
          <w:p w14:paraId="6930796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3</w:t>
            </w:r>
          </w:p>
        </w:tc>
        <w:tc>
          <w:tcPr>
            <w:tcW w:w="0" w:type="auto"/>
            <w:shd w:val="clear" w:color="auto" w:fill="FFFFFF" w:themeFill="background1"/>
          </w:tcPr>
          <w:p w14:paraId="03ADB29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4</w:t>
            </w:r>
          </w:p>
        </w:tc>
        <w:tc>
          <w:tcPr>
            <w:tcW w:w="0" w:type="auto"/>
            <w:shd w:val="clear" w:color="auto" w:fill="FFFFFF" w:themeFill="background1"/>
          </w:tcPr>
          <w:p w14:paraId="39A92CB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5</w:t>
            </w:r>
          </w:p>
        </w:tc>
        <w:tc>
          <w:tcPr>
            <w:tcW w:w="0" w:type="auto"/>
            <w:shd w:val="clear" w:color="auto" w:fill="FFFFFF" w:themeFill="background1"/>
          </w:tcPr>
          <w:p w14:paraId="2A25248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  <w:shd w:val="clear" w:color="auto" w:fill="FFFFFF" w:themeFill="background1"/>
          </w:tcPr>
          <w:p w14:paraId="6DF608E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SI</w:t>
            </w:r>
          </w:p>
        </w:tc>
      </w:tr>
      <w:tr w:rsidR="001E49FB" w:rsidRPr="0018548E" w14:paraId="48216F1B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FFFFFF" w:themeFill="background1"/>
          </w:tcPr>
          <w:p w14:paraId="25A8E694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EXT_Obj1_Act1</w:t>
            </w:r>
          </w:p>
        </w:tc>
        <w:tc>
          <w:tcPr>
            <w:tcW w:w="1201" w:type="dxa"/>
            <w:shd w:val="clear" w:color="auto" w:fill="FFFFFF" w:themeFill="background1"/>
          </w:tcPr>
          <w:p w14:paraId="5BA27CA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Revisar o plano estratégico para incluir o compromisso com as iniciativas de DS</w:t>
            </w:r>
          </w:p>
        </w:tc>
        <w:tc>
          <w:tcPr>
            <w:tcW w:w="0" w:type="auto"/>
            <w:shd w:val="clear" w:color="auto" w:fill="FFFFFF" w:themeFill="background1"/>
          </w:tcPr>
          <w:p w14:paraId="0394F80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 xml:space="preserve">Compromisso estratégico para integrar iniciativas de DS </w:t>
            </w:r>
          </w:p>
        </w:tc>
        <w:tc>
          <w:tcPr>
            <w:tcW w:w="0" w:type="auto"/>
            <w:shd w:val="clear" w:color="auto" w:fill="FFFFFF" w:themeFill="background1"/>
          </w:tcPr>
          <w:p w14:paraId="04FCB4F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O compromisso DS está incluído no Plano Estratégico? (S/N)</w:t>
            </w:r>
          </w:p>
        </w:tc>
        <w:tc>
          <w:tcPr>
            <w:tcW w:w="0" w:type="auto"/>
            <w:shd w:val="clear" w:color="auto" w:fill="FFFFFF" w:themeFill="background1"/>
          </w:tcPr>
          <w:p w14:paraId="6DB7EC1B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 xml:space="preserve">Ter ou concordar com a inclusão do compromisso SD até a próxima revisão (pontual) </w:t>
            </w:r>
          </w:p>
        </w:tc>
        <w:tc>
          <w:tcPr>
            <w:tcW w:w="0" w:type="auto"/>
            <w:shd w:val="clear" w:color="auto" w:fill="FFFFFF" w:themeFill="background1"/>
          </w:tcPr>
          <w:p w14:paraId="43E9A95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Na próxima revisão, até Y5</w:t>
            </w:r>
          </w:p>
        </w:tc>
        <w:tc>
          <w:tcPr>
            <w:tcW w:w="0" w:type="auto"/>
            <w:shd w:val="clear" w:color="auto" w:fill="FFFFFF" w:themeFill="background1"/>
          </w:tcPr>
          <w:p w14:paraId="761341C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Y 5</w:t>
            </w:r>
          </w:p>
        </w:tc>
        <w:tc>
          <w:tcPr>
            <w:tcW w:w="0" w:type="auto"/>
            <w:shd w:val="clear" w:color="auto" w:fill="FFFFFF" w:themeFill="background1"/>
          </w:tcPr>
          <w:p w14:paraId="5BD060B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41A2CA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B30186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F23F19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0F7279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shd w:val="clear" w:color="auto" w:fill="FFFFFF" w:themeFill="background1"/>
          </w:tcPr>
          <w:p w14:paraId="24B66C2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  <w:shd w:val="clear" w:color="auto" w:fill="FFFFFF" w:themeFill="background1"/>
          </w:tcPr>
          <w:p w14:paraId="055FD2A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PROPLAN</w:t>
            </w:r>
          </w:p>
        </w:tc>
      </w:tr>
      <w:tr w:rsidR="001E49FB" w:rsidRPr="0018548E" w14:paraId="04274F9C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FFFFFF" w:themeFill="background1"/>
          </w:tcPr>
          <w:p w14:paraId="45B02880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EXT_Obj1_Act2</w:t>
            </w:r>
          </w:p>
        </w:tc>
        <w:tc>
          <w:tcPr>
            <w:tcW w:w="1201" w:type="dxa"/>
            <w:shd w:val="clear" w:color="auto" w:fill="FFFFFF" w:themeFill="background1"/>
          </w:tcPr>
          <w:p w14:paraId="120E95D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Criar uma política institucional de DS</w:t>
            </w:r>
          </w:p>
        </w:tc>
        <w:tc>
          <w:tcPr>
            <w:tcW w:w="0" w:type="auto"/>
            <w:shd w:val="clear" w:color="auto" w:fill="FFFFFF" w:themeFill="background1"/>
          </w:tcPr>
          <w:p w14:paraId="549601D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Política institucional de DS</w:t>
            </w:r>
          </w:p>
        </w:tc>
        <w:tc>
          <w:tcPr>
            <w:tcW w:w="0" w:type="auto"/>
            <w:shd w:val="clear" w:color="auto" w:fill="FFFFFF" w:themeFill="background1"/>
          </w:tcPr>
          <w:p w14:paraId="19D14E3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A instituição tem política de SD? (S/N)</w:t>
            </w:r>
          </w:p>
        </w:tc>
        <w:tc>
          <w:tcPr>
            <w:tcW w:w="0" w:type="auto"/>
            <w:shd w:val="clear" w:color="auto" w:fill="FFFFFF" w:themeFill="background1"/>
          </w:tcPr>
          <w:p w14:paraId="0DB1E41B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Ter política de DS Institucional (pontual)</w:t>
            </w:r>
          </w:p>
        </w:tc>
        <w:tc>
          <w:tcPr>
            <w:tcW w:w="0" w:type="auto"/>
            <w:shd w:val="clear" w:color="auto" w:fill="FFFFFF" w:themeFill="background1"/>
          </w:tcPr>
          <w:p w14:paraId="7C8890A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E228DB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Y 2</w:t>
            </w:r>
          </w:p>
        </w:tc>
        <w:tc>
          <w:tcPr>
            <w:tcW w:w="0" w:type="auto"/>
            <w:shd w:val="clear" w:color="auto" w:fill="FFFFFF" w:themeFill="background1"/>
          </w:tcPr>
          <w:p w14:paraId="2EA39C1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5A80CC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shd w:val="clear" w:color="auto" w:fill="FFFFFF" w:themeFill="background1"/>
          </w:tcPr>
          <w:p w14:paraId="2AFFE44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5E5161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08C4C5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15967F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DF7529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0944E647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FFFFFF" w:themeFill="background1"/>
          </w:tcPr>
          <w:p w14:paraId="7325B95C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2: Promover a redução do uso</w:t>
            </w:r>
          </w:p>
        </w:tc>
      </w:tr>
      <w:tr w:rsidR="001E49FB" w:rsidRPr="001A558F" w14:paraId="29114B97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FFFFFF" w:themeFill="background1"/>
          </w:tcPr>
          <w:p w14:paraId="3342DBFB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</w:p>
        </w:tc>
        <w:tc>
          <w:tcPr>
            <w:tcW w:w="1201" w:type="dxa"/>
            <w:shd w:val="clear" w:color="auto" w:fill="FFFFFF" w:themeFill="background1"/>
          </w:tcPr>
          <w:p w14:paraId="26FDE9C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5FE369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481C4C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167ED4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B06797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26F68F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71B445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C19B1A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0C1EBD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A80816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EF1030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F0E806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A61E81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31D2021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FFFFFF" w:themeFill="background1"/>
          </w:tcPr>
          <w:p w14:paraId="178DB128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3 – Campanhas SD</w:t>
            </w:r>
          </w:p>
        </w:tc>
      </w:tr>
      <w:tr w:rsidR="001E49FB" w:rsidRPr="0018548E" w14:paraId="1EBC5915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FFFFFF" w:themeFill="background1"/>
          </w:tcPr>
          <w:p w14:paraId="60A69C18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EXT_Obj1_Act3</w:t>
            </w:r>
          </w:p>
        </w:tc>
        <w:tc>
          <w:tcPr>
            <w:tcW w:w="1201" w:type="dxa"/>
            <w:shd w:val="clear" w:color="auto" w:fill="FFFFFF" w:themeFill="background1"/>
          </w:tcPr>
          <w:p w14:paraId="72BF34F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Desenvolver uma campanha de divulgação do compromisso institucional com o DS</w:t>
            </w:r>
          </w:p>
        </w:tc>
        <w:tc>
          <w:tcPr>
            <w:tcW w:w="0" w:type="auto"/>
            <w:shd w:val="clear" w:color="auto" w:fill="FFFFFF" w:themeFill="background1"/>
          </w:tcPr>
          <w:p w14:paraId="2C5F9EF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Campanhas de sensibilização para o compromisso institucional com o DS</w:t>
            </w:r>
            <w:r w:rsidRPr="0018548E">
              <w:rPr>
                <w:rFonts w:cstheme="majorHAnsi"/>
                <w:sz w:val="16"/>
                <w:szCs w:val="16"/>
              </w:rPr>
              <w:tab/>
            </w:r>
          </w:p>
        </w:tc>
        <w:tc>
          <w:tcPr>
            <w:tcW w:w="0" w:type="auto"/>
            <w:shd w:val="clear" w:color="auto" w:fill="FFFFFF" w:themeFill="background1"/>
          </w:tcPr>
          <w:p w14:paraId="6B61CB8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Número de campanhas sobre compromisso institucional com o DS criadas por semestre</w:t>
            </w:r>
          </w:p>
        </w:tc>
        <w:tc>
          <w:tcPr>
            <w:tcW w:w="0" w:type="auto"/>
            <w:shd w:val="clear" w:color="auto" w:fill="FFFFFF" w:themeFill="background1"/>
          </w:tcPr>
          <w:p w14:paraId="21CA18E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Ter pelo menos 4 campanhas criadas por semestre (contínuas)</w:t>
            </w:r>
          </w:p>
        </w:tc>
        <w:tc>
          <w:tcPr>
            <w:tcW w:w="0" w:type="auto"/>
            <w:shd w:val="clear" w:color="auto" w:fill="FFFFFF" w:themeFill="background1"/>
          </w:tcPr>
          <w:p w14:paraId="6129BFA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  <w:shd w:val="clear" w:color="auto" w:fill="FFFFFF" w:themeFill="background1"/>
          </w:tcPr>
          <w:p w14:paraId="19AAB89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  <w:shd w:val="clear" w:color="auto" w:fill="FFFFFF" w:themeFill="background1"/>
          </w:tcPr>
          <w:p w14:paraId="457979C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shd w:val="clear" w:color="auto" w:fill="FFFFFF" w:themeFill="background1"/>
          </w:tcPr>
          <w:p w14:paraId="60410B0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shd w:val="clear" w:color="auto" w:fill="FFFFFF" w:themeFill="background1"/>
          </w:tcPr>
          <w:p w14:paraId="3A51CA1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shd w:val="clear" w:color="auto" w:fill="FFFFFF" w:themeFill="background1"/>
          </w:tcPr>
          <w:p w14:paraId="6EC1A79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shd w:val="clear" w:color="auto" w:fill="FFFFFF" w:themeFill="background1"/>
          </w:tcPr>
          <w:p w14:paraId="16466B2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shd w:val="clear" w:color="auto" w:fill="FFFFFF" w:themeFill="background1"/>
          </w:tcPr>
          <w:p w14:paraId="2688716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  <w:shd w:val="clear" w:color="auto" w:fill="FFFFFF" w:themeFill="background1"/>
          </w:tcPr>
          <w:p w14:paraId="5B747BC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1ADE9C6D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FFFFFF" w:themeFill="background1"/>
          </w:tcPr>
          <w:p w14:paraId="3AB2366C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201" w:type="dxa"/>
            <w:shd w:val="clear" w:color="auto" w:fill="FFFFFF" w:themeFill="background1"/>
          </w:tcPr>
          <w:p w14:paraId="61DEA52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57198F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20500A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4F631B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3DD7A9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2B5CA1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31724F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9F198D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481EFD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7DABC5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D77EFA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D32C82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034F66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742CD1AE" w14:textId="1A68D7FB" w:rsidR="00931322" w:rsidRDefault="00931322" w:rsidP="001E49FB">
      <w:pPr>
        <w:spacing w:line="240" w:lineRule="auto"/>
        <w:rPr>
          <w:lang w:val="pt-PT"/>
        </w:rPr>
      </w:pPr>
    </w:p>
    <w:p w14:paraId="1A9003F2" w14:textId="77777777" w:rsidR="001E49FB" w:rsidRDefault="001E49FB" w:rsidP="001E49FB">
      <w:pPr>
        <w:spacing w:line="240" w:lineRule="auto"/>
        <w:rPr>
          <w:lang w:val="pt-PT"/>
        </w:rPr>
      </w:pP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14"/>
        <w:gridCol w:w="1985"/>
        <w:gridCol w:w="1735"/>
        <w:gridCol w:w="1880"/>
        <w:gridCol w:w="1694"/>
        <w:gridCol w:w="859"/>
        <w:gridCol w:w="813"/>
        <w:gridCol w:w="574"/>
        <w:gridCol w:w="287"/>
        <w:gridCol w:w="287"/>
        <w:gridCol w:w="574"/>
        <w:gridCol w:w="574"/>
        <w:gridCol w:w="574"/>
        <w:gridCol w:w="517"/>
        <w:gridCol w:w="335"/>
      </w:tblGrid>
      <w:tr w:rsidR="001E49FB" w:rsidRPr="0018548E" w14:paraId="6EA3711F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shd w:val="clear" w:color="auto" w:fill="00B050"/>
          </w:tcPr>
          <w:p w14:paraId="7B22887E" w14:textId="77777777" w:rsidR="001E49FB" w:rsidRPr="0018548E" w:rsidRDefault="001E49FB" w:rsidP="001E49FB">
            <w:pPr>
              <w:spacing w:line="240" w:lineRule="auto"/>
              <w:rPr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00B050"/>
          </w:tcPr>
          <w:p w14:paraId="76DB3811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5302CC66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2"/>
            <w:shd w:val="clear" w:color="auto" w:fill="00B050"/>
          </w:tcPr>
          <w:p w14:paraId="2D68585F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2"/>
            <w:shd w:val="clear" w:color="auto" w:fill="00B050"/>
          </w:tcPr>
          <w:p w14:paraId="1712FCE5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4E7CA280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E72E304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87BD41D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1853734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7B864A94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14:paraId="0F37AB0D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Objetivo 2 – Estabelecer práticas sustentáveis para aquisição de materiais.</w:t>
            </w:r>
          </w:p>
        </w:tc>
        <w:tc>
          <w:tcPr>
            <w:tcW w:w="0" w:type="auto"/>
          </w:tcPr>
          <w:p w14:paraId="65A9C93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D9A403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2"/>
          </w:tcPr>
          <w:p w14:paraId="619E5F0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2"/>
          </w:tcPr>
          <w:p w14:paraId="13AFD88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C13404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6995162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780429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E86917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0657F23D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14:paraId="69E80840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1: Quantificar e monitorar o consumo</w:t>
            </w:r>
          </w:p>
        </w:tc>
        <w:tc>
          <w:tcPr>
            <w:tcW w:w="0" w:type="auto"/>
          </w:tcPr>
          <w:p w14:paraId="05915C1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7"/>
          </w:tcPr>
          <w:p w14:paraId="348693DB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</w:rPr>
              <w:t>LINHA DO TEMPO</w:t>
            </w:r>
          </w:p>
        </w:tc>
        <w:tc>
          <w:tcPr>
            <w:tcW w:w="0" w:type="auto"/>
          </w:tcPr>
          <w:p w14:paraId="29E3069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057F792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27EBDB9E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76F4C78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985" w:type="dxa"/>
          </w:tcPr>
          <w:p w14:paraId="279871A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Ação</w:t>
            </w:r>
          </w:p>
        </w:tc>
        <w:tc>
          <w:tcPr>
            <w:tcW w:w="1735" w:type="dxa"/>
          </w:tcPr>
          <w:p w14:paraId="1E4D9A4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Nome do indicador</w:t>
            </w:r>
          </w:p>
        </w:tc>
        <w:tc>
          <w:tcPr>
            <w:tcW w:w="0" w:type="auto"/>
          </w:tcPr>
          <w:p w14:paraId="2224FBA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Métrica</w:t>
            </w:r>
          </w:p>
        </w:tc>
        <w:tc>
          <w:tcPr>
            <w:tcW w:w="0" w:type="auto"/>
          </w:tcPr>
          <w:p w14:paraId="7FD7D9C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Objetivo (Período)</w:t>
            </w:r>
          </w:p>
        </w:tc>
        <w:tc>
          <w:tcPr>
            <w:tcW w:w="0" w:type="auto"/>
          </w:tcPr>
          <w:p w14:paraId="16CBE2B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Começar</w:t>
            </w:r>
          </w:p>
        </w:tc>
        <w:tc>
          <w:tcPr>
            <w:tcW w:w="0" w:type="auto"/>
          </w:tcPr>
          <w:p w14:paraId="26C584E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Fim</w:t>
            </w:r>
          </w:p>
        </w:tc>
        <w:tc>
          <w:tcPr>
            <w:tcW w:w="0" w:type="auto"/>
          </w:tcPr>
          <w:p w14:paraId="0287BC5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1</w:t>
            </w:r>
          </w:p>
        </w:tc>
        <w:tc>
          <w:tcPr>
            <w:tcW w:w="0" w:type="auto"/>
            <w:gridSpan w:val="2"/>
          </w:tcPr>
          <w:p w14:paraId="2C5191E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2</w:t>
            </w:r>
          </w:p>
        </w:tc>
        <w:tc>
          <w:tcPr>
            <w:tcW w:w="0" w:type="auto"/>
          </w:tcPr>
          <w:p w14:paraId="5057102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3</w:t>
            </w:r>
          </w:p>
        </w:tc>
        <w:tc>
          <w:tcPr>
            <w:tcW w:w="0" w:type="auto"/>
          </w:tcPr>
          <w:p w14:paraId="371392B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4</w:t>
            </w:r>
          </w:p>
        </w:tc>
        <w:tc>
          <w:tcPr>
            <w:tcW w:w="0" w:type="auto"/>
          </w:tcPr>
          <w:p w14:paraId="04F05B9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5</w:t>
            </w:r>
          </w:p>
        </w:tc>
        <w:tc>
          <w:tcPr>
            <w:tcW w:w="0" w:type="auto"/>
          </w:tcPr>
          <w:p w14:paraId="13F5581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</w:tcPr>
          <w:p w14:paraId="464032D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SI</w:t>
            </w:r>
          </w:p>
        </w:tc>
      </w:tr>
      <w:tr w:rsidR="001E49FB" w:rsidRPr="0018548E" w14:paraId="5E5BBF39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1E5510F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bookmarkStart w:id="0" w:name="_Hlk127737851"/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BAS_Obj2_Act1</w:t>
            </w:r>
          </w:p>
        </w:tc>
        <w:tc>
          <w:tcPr>
            <w:tcW w:w="1985" w:type="dxa"/>
          </w:tcPr>
          <w:p w14:paraId="4079BCE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consumo mensal global de papel branco (branqueado) em folhas</w:t>
            </w:r>
          </w:p>
        </w:tc>
        <w:tc>
          <w:tcPr>
            <w:tcW w:w="1735" w:type="dxa"/>
          </w:tcPr>
          <w:p w14:paraId="1950176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Quantidade total de folhas de papel branco usadas.</w:t>
            </w:r>
          </w:p>
        </w:tc>
        <w:tc>
          <w:tcPr>
            <w:tcW w:w="0" w:type="auto"/>
          </w:tcPr>
          <w:p w14:paraId="309F649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Quantidade (unidades) de folhas de papel branco utilizadas</w:t>
            </w:r>
          </w:p>
        </w:tc>
        <w:tc>
          <w:tcPr>
            <w:tcW w:w="0" w:type="auto"/>
          </w:tcPr>
          <w:p w14:paraId="6DE31DAB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3CF60C0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4638396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75FE8AC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gridSpan w:val="2"/>
          </w:tcPr>
          <w:p w14:paraId="411F62F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C237F4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8D5DA4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F246ED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3BD617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351A60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06278673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00C3D5A3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BAS_Obj2_ Ato 2</w:t>
            </w:r>
          </w:p>
        </w:tc>
        <w:tc>
          <w:tcPr>
            <w:tcW w:w="1985" w:type="dxa"/>
          </w:tcPr>
          <w:p w14:paraId="73E77F3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 xml:space="preserve">Quantificar o consumo mensal per capita de papel branco (branqueado) em folhas consumidas pelos </w:t>
            </w:r>
            <w:r w:rsidRPr="0018548E">
              <w:rPr>
                <w:rFonts w:cstheme="majorHAnsi"/>
                <w:sz w:val="16"/>
                <w:szCs w:val="16"/>
              </w:rPr>
              <w:lastRenderedPageBreak/>
              <w:t>servidores públicos da Instituição</w:t>
            </w:r>
          </w:p>
        </w:tc>
        <w:tc>
          <w:tcPr>
            <w:tcW w:w="1735" w:type="dxa"/>
          </w:tcPr>
          <w:p w14:paraId="1308593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lastRenderedPageBreak/>
              <w:t>Número de folhas de papel branco per capita usadas por servidores públicos</w:t>
            </w:r>
          </w:p>
        </w:tc>
        <w:tc>
          <w:tcPr>
            <w:tcW w:w="0" w:type="auto"/>
          </w:tcPr>
          <w:p w14:paraId="4254731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N° de folhas brancas/ N° de servidores</w:t>
            </w:r>
          </w:p>
        </w:tc>
        <w:tc>
          <w:tcPr>
            <w:tcW w:w="0" w:type="auto"/>
          </w:tcPr>
          <w:p w14:paraId="3CCF4152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7609C11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6F40F16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297923A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gridSpan w:val="2"/>
          </w:tcPr>
          <w:p w14:paraId="2758A80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F33453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CF3816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4B7791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DAD8E8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641675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10005C6F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355DA293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BAS_Obj2_ Act3</w:t>
            </w:r>
          </w:p>
        </w:tc>
        <w:tc>
          <w:tcPr>
            <w:tcW w:w="1985" w:type="dxa"/>
          </w:tcPr>
          <w:p w14:paraId="6432AF1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gasto mensal, em R$, com a compra de papel branco (branqueado)</w:t>
            </w:r>
          </w:p>
        </w:tc>
        <w:tc>
          <w:tcPr>
            <w:tcW w:w="1735" w:type="dxa"/>
          </w:tcPr>
          <w:p w14:paraId="0774602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Despesas totais com a aquisição do white paper</w:t>
            </w:r>
          </w:p>
        </w:tc>
        <w:tc>
          <w:tcPr>
            <w:tcW w:w="0" w:type="auto"/>
          </w:tcPr>
          <w:p w14:paraId="1699544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Gastos em R$ com a aquisição de white paper</w:t>
            </w:r>
          </w:p>
        </w:tc>
        <w:tc>
          <w:tcPr>
            <w:tcW w:w="0" w:type="auto"/>
          </w:tcPr>
          <w:p w14:paraId="134292F7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7C0CD48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13427E9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78FE184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gridSpan w:val="2"/>
          </w:tcPr>
          <w:p w14:paraId="46F63DF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FB36B5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128ECA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A0C723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A86081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2F0191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44A5B75B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78E6BB34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EXT_Obj2_ Act4</w:t>
            </w:r>
          </w:p>
        </w:tc>
        <w:tc>
          <w:tcPr>
            <w:tcW w:w="1985" w:type="dxa"/>
          </w:tcPr>
          <w:p w14:paraId="46A8B28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 xml:space="preserve">Quantificar o consumo per capita mensal de papel branco (branqueado) consumido pela comunidade (servidores públicos, estudantes e terceirizados) na Instituição </w:t>
            </w:r>
            <w:r w:rsidRPr="0018548E">
              <w:rPr>
                <w:rFonts w:cstheme="majorHAnsi"/>
                <w:sz w:val="16"/>
                <w:szCs w:val="16"/>
              </w:rPr>
              <w:tab/>
            </w:r>
          </w:p>
        </w:tc>
        <w:tc>
          <w:tcPr>
            <w:tcW w:w="1735" w:type="dxa"/>
          </w:tcPr>
          <w:p w14:paraId="50D5A99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Número de folhas de papel branco per capita usadas pela comunidade</w:t>
            </w:r>
          </w:p>
        </w:tc>
        <w:tc>
          <w:tcPr>
            <w:tcW w:w="0" w:type="auto"/>
          </w:tcPr>
          <w:p w14:paraId="2FD85A8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N° de lençóis brancos/ N° de servidores públicos + estudantes + terceirizados</w:t>
            </w:r>
          </w:p>
        </w:tc>
        <w:tc>
          <w:tcPr>
            <w:tcW w:w="0" w:type="auto"/>
          </w:tcPr>
          <w:p w14:paraId="1A14CD60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2B178C6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4173266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79956AC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gridSpan w:val="2"/>
          </w:tcPr>
          <w:p w14:paraId="742F207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EFCBDD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10C71E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57B2BC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14B17E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8E0017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13985701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2477F8A6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EXT_Obj2_Act5</w:t>
            </w:r>
          </w:p>
        </w:tc>
        <w:tc>
          <w:tcPr>
            <w:tcW w:w="1985" w:type="dxa"/>
          </w:tcPr>
          <w:p w14:paraId="298AC2E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gasto mensal per capita, em reais, dos servidores públicos na compra de papel branco (branqueado)</w:t>
            </w:r>
          </w:p>
        </w:tc>
        <w:tc>
          <w:tcPr>
            <w:tcW w:w="1735" w:type="dxa"/>
          </w:tcPr>
          <w:p w14:paraId="4B65215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 xml:space="preserve">Despesa per capita do servidor em white paper </w:t>
            </w:r>
          </w:p>
        </w:tc>
        <w:tc>
          <w:tcPr>
            <w:tcW w:w="0" w:type="auto"/>
          </w:tcPr>
          <w:p w14:paraId="01BDE52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Despesa, em reais, com a aquisição do white paper /No. de servidores públicos</w:t>
            </w:r>
          </w:p>
        </w:tc>
        <w:tc>
          <w:tcPr>
            <w:tcW w:w="0" w:type="auto"/>
          </w:tcPr>
          <w:p w14:paraId="6D0BA529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72CBFA0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1642B65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185996C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gridSpan w:val="2"/>
          </w:tcPr>
          <w:p w14:paraId="3FF8FC3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DF1D51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188321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0F65D5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666D8C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296F09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EF65E09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564E70CB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EXT_Obj2_Act6</w:t>
            </w:r>
          </w:p>
        </w:tc>
        <w:tc>
          <w:tcPr>
            <w:tcW w:w="1985" w:type="dxa"/>
          </w:tcPr>
          <w:p w14:paraId="1A49F4C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gasto mensal per capita, em R$, da comunidade (servidores públicos, estudantes e terceirizados) na compra de papel branco (branqueado)</w:t>
            </w:r>
            <w:r w:rsidRPr="0018548E">
              <w:rPr>
                <w:rFonts w:cstheme="majorHAnsi"/>
                <w:sz w:val="16"/>
                <w:szCs w:val="16"/>
              </w:rPr>
              <w:tab/>
            </w:r>
          </w:p>
        </w:tc>
        <w:tc>
          <w:tcPr>
            <w:tcW w:w="1735" w:type="dxa"/>
          </w:tcPr>
          <w:p w14:paraId="223FAE9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Despesas per capita da comunidade académica em livro branco</w:t>
            </w:r>
          </w:p>
        </w:tc>
        <w:tc>
          <w:tcPr>
            <w:tcW w:w="0" w:type="auto"/>
          </w:tcPr>
          <w:p w14:paraId="001990D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Despesa em R$/ N° de empregados + alunos + terceirizados</w:t>
            </w:r>
          </w:p>
        </w:tc>
        <w:tc>
          <w:tcPr>
            <w:tcW w:w="0" w:type="auto"/>
          </w:tcPr>
          <w:p w14:paraId="6FD6C54C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1D5BE71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69BDA6B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2BB08A6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gridSpan w:val="2"/>
          </w:tcPr>
          <w:p w14:paraId="2EBA4A7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BC68D4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B27519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E71AB1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9BCF1F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09B401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3BB3536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7C827B7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bookmarkStart w:id="1" w:name="_Hlk127737995"/>
            <w:bookmarkEnd w:id="0"/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BAS_Obj2_Act7</w:t>
            </w:r>
          </w:p>
        </w:tc>
        <w:tc>
          <w:tcPr>
            <w:tcW w:w="1985" w:type="dxa"/>
          </w:tcPr>
          <w:p w14:paraId="34C8BDA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consumo mensal global de copos descartáveis de 180 ml</w:t>
            </w:r>
          </w:p>
        </w:tc>
        <w:tc>
          <w:tcPr>
            <w:tcW w:w="1735" w:type="dxa"/>
          </w:tcPr>
          <w:p w14:paraId="141FCB7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Consumo de copos descartáveis de 180 ml</w:t>
            </w:r>
          </w:p>
        </w:tc>
        <w:tc>
          <w:tcPr>
            <w:tcW w:w="0" w:type="auto"/>
          </w:tcPr>
          <w:p w14:paraId="22CE59D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Quantidade (unidades) de copos descartáveis de 180 ml usados</w:t>
            </w:r>
          </w:p>
        </w:tc>
        <w:tc>
          <w:tcPr>
            <w:tcW w:w="0" w:type="auto"/>
          </w:tcPr>
          <w:p w14:paraId="615A8338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6868F8E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1E22600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27CBEFA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gridSpan w:val="2"/>
          </w:tcPr>
          <w:p w14:paraId="55B48E3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AC18E1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E747FE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65B138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F085F9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F47AC8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47BEF24C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6993300B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BAS_Obj2_Act8</w:t>
            </w:r>
          </w:p>
        </w:tc>
        <w:tc>
          <w:tcPr>
            <w:tcW w:w="1985" w:type="dxa"/>
          </w:tcPr>
          <w:p w14:paraId="4EA6F47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consumo mensal global de copos descartáveis de 50 ml</w:t>
            </w:r>
          </w:p>
        </w:tc>
        <w:tc>
          <w:tcPr>
            <w:tcW w:w="1735" w:type="dxa"/>
          </w:tcPr>
          <w:p w14:paraId="75FDEE6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Consumo de copos descartáveis de 50 ml</w:t>
            </w:r>
          </w:p>
        </w:tc>
        <w:tc>
          <w:tcPr>
            <w:tcW w:w="0" w:type="auto"/>
          </w:tcPr>
          <w:p w14:paraId="29AF7F1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Quantidade (unidades) de copos descartáveis de 50 ml usados</w:t>
            </w:r>
          </w:p>
        </w:tc>
        <w:tc>
          <w:tcPr>
            <w:tcW w:w="0" w:type="auto"/>
          </w:tcPr>
          <w:p w14:paraId="4CAC876D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11D43F2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1687C43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717F2DE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gridSpan w:val="2"/>
          </w:tcPr>
          <w:p w14:paraId="37119C9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9B0147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30DA5A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D9970C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28966F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C3F697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3EFB1E6B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03621A31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BAS_Obj2_Act9</w:t>
            </w:r>
          </w:p>
        </w:tc>
        <w:tc>
          <w:tcPr>
            <w:tcW w:w="1985" w:type="dxa"/>
          </w:tcPr>
          <w:p w14:paraId="65936F5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consumo mensal per capita de copos descartáveis de 180ml por servidores públicos</w:t>
            </w:r>
          </w:p>
        </w:tc>
        <w:tc>
          <w:tcPr>
            <w:tcW w:w="1735" w:type="dxa"/>
          </w:tcPr>
          <w:p w14:paraId="6423368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Consumo per capita de copos descartáveis de 180ml por servo</w:t>
            </w:r>
          </w:p>
          <w:p w14:paraId="35EF64F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C00E04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Quantidade (unidades) de copos de 180 ml / número total de servidores</w:t>
            </w:r>
          </w:p>
        </w:tc>
        <w:tc>
          <w:tcPr>
            <w:tcW w:w="0" w:type="auto"/>
          </w:tcPr>
          <w:p w14:paraId="08A8AC08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49DC772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29D3577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2BCEB98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gridSpan w:val="2"/>
          </w:tcPr>
          <w:p w14:paraId="34B07FA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21F17E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DE566D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4A62EA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659790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18463F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507C146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42CAD11A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BAS_Obj2_Act10</w:t>
            </w:r>
          </w:p>
        </w:tc>
        <w:tc>
          <w:tcPr>
            <w:tcW w:w="1985" w:type="dxa"/>
          </w:tcPr>
          <w:p w14:paraId="79C4B14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consumo mensal per capita de copos descartáveis de 50 ml por servidor público</w:t>
            </w:r>
          </w:p>
        </w:tc>
        <w:tc>
          <w:tcPr>
            <w:tcW w:w="1735" w:type="dxa"/>
          </w:tcPr>
          <w:p w14:paraId="09D2D58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Consumo per capita de copos descartáveis de 50 ml por servidor público</w:t>
            </w:r>
          </w:p>
        </w:tc>
        <w:tc>
          <w:tcPr>
            <w:tcW w:w="0" w:type="auto"/>
          </w:tcPr>
          <w:p w14:paraId="78566DF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Quantidade (unidades) de copos de 50 ml / número total de servidores</w:t>
            </w:r>
          </w:p>
        </w:tc>
        <w:tc>
          <w:tcPr>
            <w:tcW w:w="0" w:type="auto"/>
          </w:tcPr>
          <w:p w14:paraId="26C47E7C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5B351CE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1FA2E38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46FF4D1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gridSpan w:val="2"/>
          </w:tcPr>
          <w:p w14:paraId="4B3D5B2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BDE9AF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5EAFD1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2FC70F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98769B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AEF2FC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471D2966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758E832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EXT_Obj2_Act11</w:t>
            </w:r>
          </w:p>
        </w:tc>
        <w:tc>
          <w:tcPr>
            <w:tcW w:w="1985" w:type="dxa"/>
          </w:tcPr>
          <w:p w14:paraId="774B530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 xml:space="preserve">Quantificar o consumo mensal per capita de copos descartáveis de 180ml pela comunidade </w:t>
            </w:r>
            <w:r w:rsidRPr="0018548E">
              <w:rPr>
                <w:rFonts w:cstheme="majorHAnsi"/>
                <w:sz w:val="16"/>
                <w:szCs w:val="16"/>
              </w:rPr>
              <w:lastRenderedPageBreak/>
              <w:t>(funcionários, estudantes e terceirizados)</w:t>
            </w:r>
          </w:p>
        </w:tc>
        <w:tc>
          <w:tcPr>
            <w:tcW w:w="1735" w:type="dxa"/>
          </w:tcPr>
          <w:p w14:paraId="1FBC185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lastRenderedPageBreak/>
              <w:t>Consumo per capita de copos descartáveis de 180ml pela comunidade</w:t>
            </w:r>
          </w:p>
        </w:tc>
        <w:tc>
          <w:tcPr>
            <w:tcW w:w="0" w:type="auto"/>
          </w:tcPr>
          <w:p w14:paraId="0DFFA13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 xml:space="preserve">Quantidade (unidades) de copos de 180 ml/comunidade total </w:t>
            </w:r>
            <w:r w:rsidRPr="0018548E">
              <w:rPr>
                <w:rFonts w:cstheme="majorHAnsi"/>
                <w:sz w:val="16"/>
                <w:szCs w:val="16"/>
              </w:rPr>
              <w:lastRenderedPageBreak/>
              <w:t>(funcionários, estudantes e terceirizados)</w:t>
            </w:r>
          </w:p>
        </w:tc>
        <w:tc>
          <w:tcPr>
            <w:tcW w:w="0" w:type="auto"/>
          </w:tcPr>
          <w:p w14:paraId="22D9B239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lastRenderedPageBreak/>
              <w:t>Representando 100% do consumo (mensal e semestral)</w:t>
            </w:r>
          </w:p>
        </w:tc>
        <w:tc>
          <w:tcPr>
            <w:tcW w:w="0" w:type="auto"/>
          </w:tcPr>
          <w:p w14:paraId="1497015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001BF94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4C37880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gridSpan w:val="2"/>
          </w:tcPr>
          <w:p w14:paraId="096AC0A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F6D807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6E5244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FAC83B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846D75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0C094E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0C5F666B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44CA12D5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EXT_Obj2_Act12</w:t>
            </w:r>
          </w:p>
        </w:tc>
        <w:tc>
          <w:tcPr>
            <w:tcW w:w="1985" w:type="dxa"/>
          </w:tcPr>
          <w:p w14:paraId="17415AF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consumo mensal per capita de copos descartáveis de 50 ml pela comunidade (funcionários, estudantes e terceirizados)</w:t>
            </w:r>
          </w:p>
        </w:tc>
        <w:tc>
          <w:tcPr>
            <w:tcW w:w="1735" w:type="dxa"/>
          </w:tcPr>
          <w:p w14:paraId="414C34B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Consumo per capita de copos descartáveis de 50 ml pela comunidade</w:t>
            </w:r>
          </w:p>
        </w:tc>
        <w:tc>
          <w:tcPr>
            <w:tcW w:w="0" w:type="auto"/>
          </w:tcPr>
          <w:p w14:paraId="238F08A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Quantidade (unidades) de copos de 50 ml/comunidade total (funcionários, estudantes e terceirizados)</w:t>
            </w:r>
          </w:p>
        </w:tc>
        <w:tc>
          <w:tcPr>
            <w:tcW w:w="0" w:type="auto"/>
          </w:tcPr>
          <w:p w14:paraId="414CB787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3729985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51C6742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45631CF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gridSpan w:val="2"/>
          </w:tcPr>
          <w:p w14:paraId="065B01E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C65C4E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73FA9A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05C86D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8ADED2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36ECA9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5C73B626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42E8BCA3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BAS_Obj2_Act13</w:t>
            </w:r>
          </w:p>
        </w:tc>
        <w:tc>
          <w:tcPr>
            <w:tcW w:w="1985" w:type="dxa"/>
          </w:tcPr>
          <w:p w14:paraId="759981A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gasto mensal, em R$, na compra de 180ml</w:t>
            </w:r>
          </w:p>
        </w:tc>
        <w:tc>
          <w:tcPr>
            <w:tcW w:w="1735" w:type="dxa"/>
          </w:tcPr>
          <w:p w14:paraId="1D106FC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Gastos com a compra de copos descartáveis</w:t>
            </w:r>
          </w:p>
        </w:tc>
        <w:tc>
          <w:tcPr>
            <w:tcW w:w="0" w:type="auto"/>
          </w:tcPr>
          <w:p w14:paraId="1A9C626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Valor (R$) gasto na compra de copos descartáveis (180ml)</w:t>
            </w:r>
          </w:p>
        </w:tc>
        <w:tc>
          <w:tcPr>
            <w:tcW w:w="0" w:type="auto"/>
          </w:tcPr>
          <w:p w14:paraId="7C771B92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0069A54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6FF75F2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000A2F6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gridSpan w:val="2"/>
          </w:tcPr>
          <w:p w14:paraId="21C8D77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0FF86D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5E3CE1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F659A0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7D3B4D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FCCBCC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3359B4F4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5E1FBA0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bookmarkStart w:id="2" w:name="_Hlk127738174"/>
            <w:bookmarkEnd w:id="1"/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EXT_Obj2_Act14</w:t>
            </w:r>
          </w:p>
        </w:tc>
        <w:tc>
          <w:tcPr>
            <w:tcW w:w="1985" w:type="dxa"/>
          </w:tcPr>
          <w:p w14:paraId="0231744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consumo mensal global de cartuchos e toner</w:t>
            </w:r>
          </w:p>
        </w:tc>
        <w:tc>
          <w:tcPr>
            <w:tcW w:w="1735" w:type="dxa"/>
          </w:tcPr>
          <w:p w14:paraId="3E47267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Consumo mensal de cartuchos de impressão e toner</w:t>
            </w:r>
          </w:p>
        </w:tc>
        <w:tc>
          <w:tcPr>
            <w:tcW w:w="0" w:type="auto"/>
          </w:tcPr>
          <w:p w14:paraId="4A9C103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Quantidade (unidades) de cartuchos e toners utilizados</w:t>
            </w:r>
          </w:p>
        </w:tc>
        <w:tc>
          <w:tcPr>
            <w:tcW w:w="0" w:type="auto"/>
          </w:tcPr>
          <w:p w14:paraId="60278637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6754E39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3EAB079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42501F5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gridSpan w:val="2"/>
          </w:tcPr>
          <w:p w14:paraId="16CF893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2CF4AA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56F124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11CF71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F3F601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D56BB3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7C665373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137FCB7C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EXT_Obj2_Act15</w:t>
            </w:r>
          </w:p>
        </w:tc>
        <w:tc>
          <w:tcPr>
            <w:tcW w:w="1985" w:type="dxa"/>
          </w:tcPr>
          <w:p w14:paraId="28AE1B8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os gastos mensais, em reais, com a compra de cartuchos de impressora e toners</w:t>
            </w:r>
          </w:p>
        </w:tc>
        <w:tc>
          <w:tcPr>
            <w:tcW w:w="1735" w:type="dxa"/>
          </w:tcPr>
          <w:p w14:paraId="3A62EED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Gastos com a compra de cartuchos e toners</w:t>
            </w:r>
            <w:r w:rsidRPr="0018548E">
              <w:rPr>
                <w:rFonts w:cstheme="majorHAnsi"/>
                <w:sz w:val="16"/>
                <w:szCs w:val="16"/>
              </w:rPr>
              <w:tab/>
            </w:r>
          </w:p>
          <w:p w14:paraId="0070D3E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37DB75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Valor (R$) gasto na compra de cartuchos e toners</w:t>
            </w:r>
          </w:p>
        </w:tc>
        <w:tc>
          <w:tcPr>
            <w:tcW w:w="0" w:type="auto"/>
          </w:tcPr>
          <w:p w14:paraId="08EFFC9F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79BB279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1BEA1BB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7F36C58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gridSpan w:val="2"/>
          </w:tcPr>
          <w:p w14:paraId="73458C4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E23B33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AA052E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39A1C2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A37A82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43B277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bookmarkEnd w:id="2"/>
      <w:tr w:rsidR="001E49FB" w:rsidRPr="001A558F" w14:paraId="16D02609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5"/>
          </w:tcPr>
          <w:p w14:paraId="7C9C64B3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2: Promover a redução do uso</w:t>
            </w:r>
          </w:p>
        </w:tc>
      </w:tr>
      <w:tr w:rsidR="001E49FB" w:rsidRPr="0018548E" w14:paraId="7433E226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4A4FD640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EXT_Obj2_Act16</w:t>
            </w:r>
          </w:p>
        </w:tc>
        <w:tc>
          <w:tcPr>
            <w:tcW w:w="1985" w:type="dxa"/>
          </w:tcPr>
          <w:p w14:paraId="73DB2AD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Promover a redução do uso de papel, regulando a digitalização dos processos</w:t>
            </w:r>
          </w:p>
        </w:tc>
        <w:tc>
          <w:tcPr>
            <w:tcW w:w="1735" w:type="dxa"/>
          </w:tcPr>
          <w:p w14:paraId="3A067E6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Regulação da digitalização de processos</w:t>
            </w:r>
          </w:p>
          <w:p w14:paraId="262BED3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E39235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A instituição possui resoluções e/ou portarias sobre o tema? (s/n)</w:t>
            </w:r>
          </w:p>
        </w:tc>
        <w:tc>
          <w:tcPr>
            <w:tcW w:w="0" w:type="auto"/>
          </w:tcPr>
          <w:p w14:paraId="710E775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Ter regulamentação para promover a digitalização dos processos (pontual)</w:t>
            </w:r>
          </w:p>
        </w:tc>
        <w:tc>
          <w:tcPr>
            <w:tcW w:w="0" w:type="auto"/>
          </w:tcPr>
          <w:p w14:paraId="5304DBE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7C75400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39252F5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gridSpan w:val="2"/>
          </w:tcPr>
          <w:p w14:paraId="629619C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369080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F6672C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84DFB8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2B775E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334307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080F2F9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5"/>
            <w:shd w:val="clear" w:color="auto" w:fill="auto"/>
          </w:tcPr>
          <w:p w14:paraId="0577D05B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3 – Campanhas SD</w:t>
            </w:r>
          </w:p>
        </w:tc>
      </w:tr>
      <w:tr w:rsidR="001E49FB" w:rsidRPr="0018548E" w14:paraId="30BA9CC2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4DF611F9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EXT_Obj2_Act17</w:t>
            </w:r>
          </w:p>
        </w:tc>
        <w:tc>
          <w:tcPr>
            <w:tcW w:w="1985" w:type="dxa"/>
          </w:tcPr>
          <w:p w14:paraId="741C5D4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Desenvolver campanha de sensibilização para a redução do uso de papel</w:t>
            </w:r>
          </w:p>
        </w:tc>
        <w:tc>
          <w:tcPr>
            <w:tcW w:w="1735" w:type="dxa"/>
          </w:tcPr>
          <w:p w14:paraId="7F33C5E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Campanhas de sensibilização para a redução da utilização de papel</w:t>
            </w:r>
            <w:r w:rsidRPr="0018548E">
              <w:rPr>
                <w:rFonts w:cstheme="majorHAnsi"/>
                <w:sz w:val="16"/>
                <w:szCs w:val="16"/>
              </w:rPr>
              <w:tab/>
            </w:r>
          </w:p>
        </w:tc>
        <w:tc>
          <w:tcPr>
            <w:tcW w:w="0" w:type="auto"/>
          </w:tcPr>
          <w:p w14:paraId="003D4AF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Número de campanhas de sensibilização para a redução da utilização de papel</w:t>
            </w:r>
          </w:p>
        </w:tc>
        <w:tc>
          <w:tcPr>
            <w:tcW w:w="0" w:type="auto"/>
          </w:tcPr>
          <w:p w14:paraId="4A71201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Ter pelo menos 4 campanhas criadas por semestre (contínuas)</w:t>
            </w:r>
          </w:p>
        </w:tc>
        <w:tc>
          <w:tcPr>
            <w:tcW w:w="0" w:type="auto"/>
          </w:tcPr>
          <w:p w14:paraId="70EA28E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6230978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7D33413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gridSpan w:val="2"/>
          </w:tcPr>
          <w:p w14:paraId="32597C8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E0BEF1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ADFEBD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B688B6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4B99E0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</w:tcPr>
          <w:p w14:paraId="2FF04CA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561232C5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021C8763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EXT_Obj2_Act18</w:t>
            </w:r>
          </w:p>
        </w:tc>
        <w:tc>
          <w:tcPr>
            <w:tcW w:w="1985" w:type="dxa"/>
            <w:shd w:val="clear" w:color="auto" w:fill="auto"/>
          </w:tcPr>
          <w:p w14:paraId="1B828A5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Desenvolver campanha de sensibilização para a redução do uso de copos descartáveis</w:t>
            </w:r>
          </w:p>
        </w:tc>
        <w:tc>
          <w:tcPr>
            <w:tcW w:w="1735" w:type="dxa"/>
          </w:tcPr>
          <w:p w14:paraId="7A01762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Campanha de sensibilização para a redução do uso de copos descartáveis</w:t>
            </w:r>
          </w:p>
        </w:tc>
        <w:tc>
          <w:tcPr>
            <w:tcW w:w="0" w:type="auto"/>
          </w:tcPr>
          <w:p w14:paraId="251FC65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Número de campanhas de sensibilização para a redução da utilização de copos descartáveis</w:t>
            </w:r>
          </w:p>
        </w:tc>
        <w:tc>
          <w:tcPr>
            <w:tcW w:w="0" w:type="auto"/>
          </w:tcPr>
          <w:p w14:paraId="4F0996C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Ter pelo menos 4 campanhas criadas por semestre (contínuas)</w:t>
            </w:r>
          </w:p>
        </w:tc>
        <w:tc>
          <w:tcPr>
            <w:tcW w:w="0" w:type="auto"/>
          </w:tcPr>
          <w:p w14:paraId="3DEB3F7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04EDAD6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2D2198E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gridSpan w:val="2"/>
          </w:tcPr>
          <w:p w14:paraId="7CF41CB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BFDFB1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997333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894C13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DC5149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CB4259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CBA555D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13329C97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EXT_Obj2_Act19</w:t>
            </w:r>
          </w:p>
        </w:tc>
        <w:tc>
          <w:tcPr>
            <w:tcW w:w="1985" w:type="dxa"/>
          </w:tcPr>
          <w:p w14:paraId="17AE0B5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Desenvolver campanha de sensibilização para a redução do uso de cartuchos e toners</w:t>
            </w:r>
          </w:p>
        </w:tc>
        <w:tc>
          <w:tcPr>
            <w:tcW w:w="1735" w:type="dxa"/>
          </w:tcPr>
          <w:p w14:paraId="0AF61B8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Campanha de sensibilização para a redução da utilização de cartuchos e toners</w:t>
            </w:r>
          </w:p>
        </w:tc>
        <w:tc>
          <w:tcPr>
            <w:tcW w:w="0" w:type="auto"/>
          </w:tcPr>
          <w:p w14:paraId="1E8B5E8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Número de campanhas de sensibilização para a redução da utilização de cartuchos e toners</w:t>
            </w:r>
          </w:p>
        </w:tc>
        <w:tc>
          <w:tcPr>
            <w:tcW w:w="0" w:type="auto"/>
          </w:tcPr>
          <w:p w14:paraId="63B6B31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Ter pelo menos 4 campanhas criadas por semestre (contínuas)</w:t>
            </w:r>
          </w:p>
        </w:tc>
        <w:tc>
          <w:tcPr>
            <w:tcW w:w="0" w:type="auto"/>
          </w:tcPr>
          <w:p w14:paraId="7300725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732F1AF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7129775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  <w:gridSpan w:val="2"/>
          </w:tcPr>
          <w:p w14:paraId="5ED39B0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6EEEFF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779FA0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D79CA1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449BAC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B8E4A0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2E9618F0" w14:textId="77777777" w:rsidR="001E49FB" w:rsidRDefault="001E49FB" w:rsidP="001E49FB">
      <w:pPr>
        <w:spacing w:line="240" w:lineRule="auto"/>
        <w:rPr>
          <w:lang w:val="pt-PT"/>
        </w:rPr>
      </w:pP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47"/>
        <w:gridCol w:w="2055"/>
        <w:gridCol w:w="1560"/>
        <w:gridCol w:w="1538"/>
        <w:gridCol w:w="1588"/>
        <w:gridCol w:w="876"/>
        <w:gridCol w:w="813"/>
        <w:gridCol w:w="574"/>
        <w:gridCol w:w="574"/>
        <w:gridCol w:w="574"/>
        <w:gridCol w:w="574"/>
        <w:gridCol w:w="574"/>
        <w:gridCol w:w="517"/>
        <w:gridCol w:w="838"/>
      </w:tblGrid>
      <w:tr w:rsidR="001E49FB" w:rsidRPr="0018548E" w14:paraId="377B8B31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0B050"/>
          </w:tcPr>
          <w:p w14:paraId="1EDE7849" w14:textId="77777777" w:rsidR="001E49FB" w:rsidRPr="0018548E" w:rsidRDefault="001E49FB" w:rsidP="001E49FB">
            <w:pPr>
              <w:spacing w:line="240" w:lineRule="auto"/>
              <w:rPr>
                <w:color w:val="FFFFFF" w:themeColor="background1"/>
                <w:sz w:val="18"/>
                <w:szCs w:val="18"/>
                <w:lang w:val="en-GB"/>
              </w:rPr>
            </w:pPr>
            <w:r w:rsidRPr="0018548E">
              <w:rPr>
                <w:color w:val="FFFFFF" w:themeColor="background1"/>
                <w:sz w:val="18"/>
                <w:szCs w:val="18"/>
              </w:rPr>
              <w:t>PLANO DE AÇÃO – Contratação pública</w:t>
            </w:r>
          </w:p>
        </w:tc>
        <w:tc>
          <w:tcPr>
            <w:tcW w:w="0" w:type="auto"/>
            <w:shd w:val="clear" w:color="auto" w:fill="00B050"/>
          </w:tcPr>
          <w:p w14:paraId="57B9595E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7CA6449C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1A3103B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7B26F24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535E8B66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6D16A14B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836A0E7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2C76BB4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6EA65613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1997B67D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Objetivo 3 – Estabelecer práticas sustentáveis para compras e contratações.</w:t>
            </w:r>
          </w:p>
        </w:tc>
        <w:tc>
          <w:tcPr>
            <w:tcW w:w="0" w:type="auto"/>
          </w:tcPr>
          <w:p w14:paraId="6C40A22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069A0D6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F013B3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4D490D5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0692699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9E9F0F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ECF150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4966250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6E06EE9C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7E411860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1: Quantificar e monitorar o consumo</w:t>
            </w:r>
          </w:p>
        </w:tc>
        <w:tc>
          <w:tcPr>
            <w:tcW w:w="0" w:type="auto"/>
          </w:tcPr>
          <w:p w14:paraId="2251164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5"/>
          </w:tcPr>
          <w:p w14:paraId="1BD0A84B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</w:rPr>
              <w:t>LINHA DO TEMPO</w:t>
            </w:r>
          </w:p>
        </w:tc>
        <w:tc>
          <w:tcPr>
            <w:tcW w:w="0" w:type="auto"/>
          </w:tcPr>
          <w:p w14:paraId="2ED4FA7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B98BFE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1A2D5FB2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1AFCD3E1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055" w:type="dxa"/>
          </w:tcPr>
          <w:p w14:paraId="7059264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Ação</w:t>
            </w:r>
          </w:p>
        </w:tc>
        <w:tc>
          <w:tcPr>
            <w:tcW w:w="1560" w:type="dxa"/>
          </w:tcPr>
          <w:p w14:paraId="271EF6F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Nome do indicador</w:t>
            </w:r>
          </w:p>
        </w:tc>
        <w:tc>
          <w:tcPr>
            <w:tcW w:w="1538" w:type="dxa"/>
          </w:tcPr>
          <w:p w14:paraId="69F64FE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Métrica</w:t>
            </w:r>
          </w:p>
        </w:tc>
        <w:tc>
          <w:tcPr>
            <w:tcW w:w="0" w:type="auto"/>
          </w:tcPr>
          <w:p w14:paraId="296444C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Objetivo (Período)</w:t>
            </w:r>
          </w:p>
        </w:tc>
        <w:tc>
          <w:tcPr>
            <w:tcW w:w="0" w:type="auto"/>
          </w:tcPr>
          <w:p w14:paraId="06AE994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Começar</w:t>
            </w:r>
          </w:p>
        </w:tc>
        <w:tc>
          <w:tcPr>
            <w:tcW w:w="0" w:type="auto"/>
          </w:tcPr>
          <w:p w14:paraId="733AE14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Fim</w:t>
            </w:r>
          </w:p>
        </w:tc>
        <w:tc>
          <w:tcPr>
            <w:tcW w:w="0" w:type="auto"/>
          </w:tcPr>
          <w:p w14:paraId="34E057C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1</w:t>
            </w:r>
          </w:p>
        </w:tc>
        <w:tc>
          <w:tcPr>
            <w:tcW w:w="0" w:type="auto"/>
          </w:tcPr>
          <w:p w14:paraId="1D93323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2</w:t>
            </w:r>
          </w:p>
        </w:tc>
        <w:tc>
          <w:tcPr>
            <w:tcW w:w="0" w:type="auto"/>
          </w:tcPr>
          <w:p w14:paraId="32F9930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3</w:t>
            </w:r>
          </w:p>
        </w:tc>
        <w:tc>
          <w:tcPr>
            <w:tcW w:w="0" w:type="auto"/>
          </w:tcPr>
          <w:p w14:paraId="2B89B4A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4</w:t>
            </w:r>
          </w:p>
        </w:tc>
        <w:tc>
          <w:tcPr>
            <w:tcW w:w="0" w:type="auto"/>
          </w:tcPr>
          <w:p w14:paraId="5CE541D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5</w:t>
            </w:r>
          </w:p>
        </w:tc>
        <w:tc>
          <w:tcPr>
            <w:tcW w:w="0" w:type="auto"/>
          </w:tcPr>
          <w:p w14:paraId="621BABA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</w:tcPr>
          <w:p w14:paraId="5A94D14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SI</w:t>
            </w:r>
          </w:p>
        </w:tc>
      </w:tr>
      <w:tr w:rsidR="001E49FB" w:rsidRPr="0018548E" w14:paraId="34EF48E8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59BCED67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bookmarkStart w:id="3" w:name="_Hlk129292776"/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lastRenderedPageBreak/>
              <w:t>BAS_Obj3_Act1</w:t>
            </w:r>
          </w:p>
        </w:tc>
        <w:tc>
          <w:tcPr>
            <w:tcW w:w="2055" w:type="dxa"/>
          </w:tcPr>
          <w:p w14:paraId="3FEC7C0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gasto mensal por ramal ou uso de linha telefônica convencional</w:t>
            </w:r>
          </w:p>
        </w:tc>
        <w:tc>
          <w:tcPr>
            <w:tcW w:w="1560" w:type="dxa"/>
          </w:tcPr>
          <w:p w14:paraId="6E5F232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Despesas por ramal e linha telefônica fixa</w:t>
            </w:r>
            <w:r w:rsidRPr="0018548E">
              <w:rPr>
                <w:rFonts w:cstheme="majorHAnsi"/>
                <w:sz w:val="16"/>
                <w:szCs w:val="16"/>
              </w:rPr>
              <w:tab/>
            </w:r>
          </w:p>
        </w:tc>
        <w:tc>
          <w:tcPr>
            <w:tcW w:w="1538" w:type="dxa"/>
          </w:tcPr>
          <w:p w14:paraId="52D4B71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Valor em R$ / nº de telefone fixo</w:t>
            </w:r>
          </w:p>
        </w:tc>
        <w:tc>
          <w:tcPr>
            <w:tcW w:w="0" w:type="auto"/>
          </w:tcPr>
          <w:p w14:paraId="45807CB7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6D3D5B6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65E7B5C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0536C61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15AAF9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F0FB72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8F352C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9BC5C4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A2E3AB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</w:tcPr>
          <w:p w14:paraId="6A9017D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PROPLAN</w:t>
            </w:r>
          </w:p>
        </w:tc>
      </w:tr>
      <w:tr w:rsidR="001E49FB" w:rsidRPr="0018548E" w14:paraId="0FC90502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5ACCAFCA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BAS_Obj3_Act2</w:t>
            </w:r>
          </w:p>
        </w:tc>
        <w:tc>
          <w:tcPr>
            <w:tcW w:w="2055" w:type="dxa"/>
          </w:tcPr>
          <w:p w14:paraId="7980CB7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a despesa mensal por linha telefónica móvel</w:t>
            </w:r>
          </w:p>
        </w:tc>
        <w:tc>
          <w:tcPr>
            <w:tcW w:w="1560" w:type="dxa"/>
          </w:tcPr>
          <w:p w14:paraId="5D0ABAC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Despesas por linha móvel</w:t>
            </w:r>
          </w:p>
        </w:tc>
        <w:tc>
          <w:tcPr>
            <w:tcW w:w="1538" w:type="dxa"/>
          </w:tcPr>
          <w:p w14:paraId="7FACF5D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Valor em R$ / nº de linhas móveis</w:t>
            </w:r>
          </w:p>
        </w:tc>
        <w:tc>
          <w:tcPr>
            <w:tcW w:w="0" w:type="auto"/>
          </w:tcPr>
          <w:p w14:paraId="2960B2EB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7DBCAB9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4A10F33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074E5F2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4A5A93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259B6D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6C731D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2D0BF2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D4138A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A26DBC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bookmarkEnd w:id="3"/>
      <w:tr w:rsidR="001E49FB" w:rsidRPr="0018548E" w14:paraId="577A1F2E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2DD1D04E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BAS_Obj3_Act3</w:t>
            </w:r>
          </w:p>
        </w:tc>
        <w:tc>
          <w:tcPr>
            <w:tcW w:w="2055" w:type="dxa"/>
          </w:tcPr>
          <w:p w14:paraId="65310B1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valor médio mensal do posto de vigilância</w:t>
            </w:r>
          </w:p>
        </w:tc>
        <w:tc>
          <w:tcPr>
            <w:tcW w:w="1560" w:type="dxa"/>
          </w:tcPr>
          <w:p w14:paraId="25843C0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Valor médio do posto de vigilância</w:t>
            </w:r>
          </w:p>
        </w:tc>
        <w:tc>
          <w:tcPr>
            <w:tcW w:w="1538" w:type="dxa"/>
          </w:tcPr>
          <w:p w14:paraId="5CFF2F2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(Valor total anual do contrato/número de lugares)/12</w:t>
            </w:r>
          </w:p>
        </w:tc>
        <w:tc>
          <w:tcPr>
            <w:tcW w:w="0" w:type="auto"/>
          </w:tcPr>
          <w:p w14:paraId="44C1EDB9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5EC9AF4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7A55B47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44F9479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A3C708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BB6C55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DBE491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806DC2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A37E9F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E171B2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10510008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030B0A8C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BAS_Obj3_Act4</w:t>
            </w:r>
          </w:p>
        </w:tc>
        <w:tc>
          <w:tcPr>
            <w:tcW w:w="2055" w:type="dxa"/>
          </w:tcPr>
          <w:p w14:paraId="59A0406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valor médio atual do posto de vigilância (reactuação)</w:t>
            </w:r>
          </w:p>
        </w:tc>
        <w:tc>
          <w:tcPr>
            <w:tcW w:w="1560" w:type="dxa"/>
          </w:tcPr>
          <w:p w14:paraId="73D2807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 xml:space="preserve">Estimativa de </w:t>
            </w:r>
            <w:proofErr w:type="spellStart"/>
            <w:r w:rsidRPr="0018548E">
              <w:rPr>
                <w:rFonts w:cstheme="majorHAnsi"/>
                <w:sz w:val="16"/>
                <w:szCs w:val="16"/>
              </w:rPr>
              <w:t>reactuação</w:t>
            </w:r>
            <w:proofErr w:type="spellEnd"/>
          </w:p>
        </w:tc>
        <w:tc>
          <w:tcPr>
            <w:tcW w:w="1538" w:type="dxa"/>
          </w:tcPr>
          <w:p w14:paraId="6D971AB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Valor total do contrato reactuado / valor anual do contrato inicial</w:t>
            </w:r>
          </w:p>
        </w:tc>
        <w:tc>
          <w:tcPr>
            <w:tcW w:w="0" w:type="auto"/>
          </w:tcPr>
          <w:p w14:paraId="58E7BA76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4CE929B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27F1499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6E9FE01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665D1B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B2A314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CB0DFD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888D2D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40C51F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7B0AFB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3BA07F04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0E7AE782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EXT_Obj3_Act5</w:t>
            </w:r>
          </w:p>
        </w:tc>
        <w:tc>
          <w:tcPr>
            <w:tcW w:w="2055" w:type="dxa"/>
          </w:tcPr>
          <w:p w14:paraId="1C102D5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gasto total mensal em R$ com o contrato de vigilância</w:t>
            </w:r>
          </w:p>
        </w:tc>
        <w:tc>
          <w:tcPr>
            <w:tcW w:w="1560" w:type="dxa"/>
          </w:tcPr>
          <w:p w14:paraId="33A7FE2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Gasto total com a contratação de serviço de vigilância</w:t>
            </w:r>
          </w:p>
        </w:tc>
        <w:tc>
          <w:tcPr>
            <w:tcW w:w="1538" w:type="dxa"/>
          </w:tcPr>
          <w:p w14:paraId="4ECEFE8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(Soma do gasto em R$ de todos os postos nos câmpus)</w:t>
            </w:r>
          </w:p>
        </w:tc>
        <w:tc>
          <w:tcPr>
            <w:tcW w:w="0" w:type="auto"/>
          </w:tcPr>
          <w:p w14:paraId="7608713D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3CED215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70246A3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400B532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D8238E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7CE4DD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08DDD7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D770C2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B1B1FA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A99DC2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74AC0D17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1735A009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EXT_Obj3_Act6</w:t>
            </w:r>
          </w:p>
        </w:tc>
        <w:tc>
          <w:tcPr>
            <w:tcW w:w="2055" w:type="dxa"/>
          </w:tcPr>
          <w:p w14:paraId="7F493C1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a despesa mensal per capita com o serviço de segurança por servidor</w:t>
            </w:r>
          </w:p>
        </w:tc>
        <w:tc>
          <w:tcPr>
            <w:tcW w:w="1560" w:type="dxa"/>
          </w:tcPr>
          <w:p w14:paraId="3793B28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Despesa per capita do servidor com contrato de serviço de segurança</w:t>
            </w:r>
          </w:p>
        </w:tc>
        <w:tc>
          <w:tcPr>
            <w:tcW w:w="1538" w:type="dxa"/>
          </w:tcPr>
          <w:p w14:paraId="38357D8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Despesas, em R$ reais, com contratação de serviço de segurança / nº de servidor</w:t>
            </w:r>
          </w:p>
        </w:tc>
        <w:tc>
          <w:tcPr>
            <w:tcW w:w="0" w:type="auto"/>
          </w:tcPr>
          <w:p w14:paraId="771C6CC4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1885902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56F889E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17D02DC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879F01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8FD257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292D7B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669612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3C072A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8FA481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24DE6AF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077F25CB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EXT_Obj3_Act7</w:t>
            </w:r>
          </w:p>
        </w:tc>
        <w:tc>
          <w:tcPr>
            <w:tcW w:w="2055" w:type="dxa"/>
          </w:tcPr>
          <w:p w14:paraId="33D988B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gasto mensal per capita com o serviço de segurança por comunidade</w:t>
            </w:r>
          </w:p>
        </w:tc>
        <w:tc>
          <w:tcPr>
            <w:tcW w:w="1560" w:type="dxa"/>
          </w:tcPr>
          <w:p w14:paraId="3B5F395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Despesa per capita da comunidade em contrato de serviço de segurança</w:t>
            </w:r>
          </w:p>
        </w:tc>
        <w:tc>
          <w:tcPr>
            <w:tcW w:w="1538" w:type="dxa"/>
          </w:tcPr>
          <w:p w14:paraId="4F26819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Gasto, em R$ reais, com contratação de serviço de segurança / nº de comunidade</w:t>
            </w:r>
          </w:p>
        </w:tc>
        <w:tc>
          <w:tcPr>
            <w:tcW w:w="0" w:type="auto"/>
          </w:tcPr>
          <w:p w14:paraId="13454071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62C5DB5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5B7C332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46C25E5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9AB0CC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215CC7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952B8F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58EC89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1B292D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AB8F6B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0503A430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03B9F8C6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BAS_Obj3_Act8</w:t>
            </w:r>
          </w:p>
        </w:tc>
        <w:tc>
          <w:tcPr>
            <w:tcW w:w="2055" w:type="dxa"/>
          </w:tcPr>
          <w:p w14:paraId="1089672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valor médio pago por metro quadrado para limpeza de todas as áreas da instituição</w:t>
            </w:r>
          </w:p>
        </w:tc>
        <w:tc>
          <w:tcPr>
            <w:tcW w:w="1560" w:type="dxa"/>
          </w:tcPr>
          <w:p w14:paraId="0246DE8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Total das despesas pagas por m2 com o contrato de limpeza</w:t>
            </w:r>
          </w:p>
        </w:tc>
        <w:tc>
          <w:tcPr>
            <w:tcW w:w="1538" w:type="dxa"/>
          </w:tcPr>
          <w:p w14:paraId="73D3534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Valor total gasto com o contrato/m2</w:t>
            </w:r>
          </w:p>
        </w:tc>
        <w:tc>
          <w:tcPr>
            <w:tcW w:w="0" w:type="auto"/>
          </w:tcPr>
          <w:p w14:paraId="0D2DD4A3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32432A8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55C3A1E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4D264C5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14AAAD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88A18F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4ED4B9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E78F99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20B7EE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E1133F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74527851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77BE78E9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BAS_Obj3_Act9</w:t>
            </w:r>
          </w:p>
        </w:tc>
        <w:tc>
          <w:tcPr>
            <w:tcW w:w="2055" w:type="dxa"/>
          </w:tcPr>
          <w:p w14:paraId="61317AA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a reactuação do contrato de limpeza</w:t>
            </w:r>
          </w:p>
        </w:tc>
        <w:tc>
          <w:tcPr>
            <w:tcW w:w="1560" w:type="dxa"/>
          </w:tcPr>
          <w:p w14:paraId="423C3EC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Revogação do contrato de limpeza</w:t>
            </w:r>
          </w:p>
          <w:p w14:paraId="1C4027E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538" w:type="dxa"/>
          </w:tcPr>
          <w:p w14:paraId="6447FF8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Valor total do contrato reactuado / valor anual do contrato inicial</w:t>
            </w:r>
          </w:p>
        </w:tc>
        <w:tc>
          <w:tcPr>
            <w:tcW w:w="0" w:type="auto"/>
          </w:tcPr>
          <w:p w14:paraId="39225E0B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Responsável por 100% do consumo (anual)</w:t>
            </w:r>
          </w:p>
        </w:tc>
        <w:tc>
          <w:tcPr>
            <w:tcW w:w="0" w:type="auto"/>
          </w:tcPr>
          <w:p w14:paraId="767EA5D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73ACD46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485DC00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F9D689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4C2800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4B7AE6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5AB191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FEE2F2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F93633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50E74A14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1ADEA9D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EXT_Obj3_Act10</w:t>
            </w:r>
          </w:p>
        </w:tc>
        <w:tc>
          <w:tcPr>
            <w:tcW w:w="2055" w:type="dxa"/>
          </w:tcPr>
          <w:p w14:paraId="6B279FF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gasto mensal total em R$ com o serviço de limpeza</w:t>
            </w:r>
          </w:p>
        </w:tc>
        <w:tc>
          <w:tcPr>
            <w:tcW w:w="1560" w:type="dxa"/>
          </w:tcPr>
          <w:p w14:paraId="6A3072F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Despesa mensal total com a contratação de serviço de limpeza</w:t>
            </w:r>
          </w:p>
        </w:tc>
        <w:tc>
          <w:tcPr>
            <w:tcW w:w="1538" w:type="dxa"/>
          </w:tcPr>
          <w:p w14:paraId="5FB6419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Soma do gasto mensal em R$</w:t>
            </w:r>
          </w:p>
        </w:tc>
        <w:tc>
          <w:tcPr>
            <w:tcW w:w="0" w:type="auto"/>
          </w:tcPr>
          <w:p w14:paraId="6E0041D5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1AEA76C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2FDA6CA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698738C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0399282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25A5D9B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669E769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68380CF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4955591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A476B2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05357F1A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5411CBF6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EXT_Obj3_Act11</w:t>
            </w:r>
          </w:p>
        </w:tc>
        <w:tc>
          <w:tcPr>
            <w:tcW w:w="2055" w:type="dxa"/>
          </w:tcPr>
          <w:p w14:paraId="49CA8F6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gasto mensal per capita com serviço de limpeza por empregado</w:t>
            </w:r>
          </w:p>
        </w:tc>
        <w:tc>
          <w:tcPr>
            <w:tcW w:w="1560" w:type="dxa"/>
          </w:tcPr>
          <w:p w14:paraId="7AEB757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Despesa per capita de empregado em contrato de serviço de limpeza</w:t>
            </w:r>
          </w:p>
        </w:tc>
        <w:tc>
          <w:tcPr>
            <w:tcW w:w="1538" w:type="dxa"/>
          </w:tcPr>
          <w:p w14:paraId="360678C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Gasto, em R$ reais, com contratação de serviço de limpeza/nº de empregado</w:t>
            </w:r>
          </w:p>
        </w:tc>
        <w:tc>
          <w:tcPr>
            <w:tcW w:w="0" w:type="auto"/>
          </w:tcPr>
          <w:p w14:paraId="315336D7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606BAED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1E1E8A8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14B5278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04BA084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6FDCB2B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00C1A47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1FCE94A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5329084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82F9A0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19A8C366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7059B985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lastRenderedPageBreak/>
              <w:t>EXT_Obj3_Act12</w:t>
            </w:r>
          </w:p>
        </w:tc>
        <w:tc>
          <w:tcPr>
            <w:tcW w:w="2055" w:type="dxa"/>
          </w:tcPr>
          <w:p w14:paraId="3D2F228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gasto mensal per capita com serviço de limpeza por comunidade</w:t>
            </w:r>
          </w:p>
        </w:tc>
        <w:tc>
          <w:tcPr>
            <w:tcW w:w="1560" w:type="dxa"/>
          </w:tcPr>
          <w:p w14:paraId="544D18D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Despesa per capita da comunidade com contrato de serviço de limpeza</w:t>
            </w:r>
          </w:p>
        </w:tc>
        <w:tc>
          <w:tcPr>
            <w:tcW w:w="1538" w:type="dxa"/>
          </w:tcPr>
          <w:p w14:paraId="2CBE007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Gasto, em R$ reais, com contratação de serviço de limpeza / nº de comunidade</w:t>
            </w:r>
          </w:p>
        </w:tc>
        <w:tc>
          <w:tcPr>
            <w:tcW w:w="0" w:type="auto"/>
          </w:tcPr>
          <w:p w14:paraId="10249659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66A881E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698BCC1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3321540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20A1DAA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7C4D018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31410E0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27C42F5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2C58B55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231557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0BCF44F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7A5CDB9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BAS_Obj3_Act13</w:t>
            </w:r>
          </w:p>
        </w:tc>
        <w:tc>
          <w:tcPr>
            <w:tcW w:w="2055" w:type="dxa"/>
          </w:tcPr>
          <w:p w14:paraId="57624C1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as despesas com contratos de construção</w:t>
            </w:r>
          </w:p>
        </w:tc>
        <w:tc>
          <w:tcPr>
            <w:tcW w:w="1560" w:type="dxa"/>
          </w:tcPr>
          <w:p w14:paraId="710EB6F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Soma das despesas com contratos de construção</w:t>
            </w:r>
          </w:p>
        </w:tc>
        <w:tc>
          <w:tcPr>
            <w:tcW w:w="1538" w:type="dxa"/>
          </w:tcPr>
          <w:p w14:paraId="5C8F32E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Soma das despesas relativas aos contratos de empreitada de obras</w:t>
            </w:r>
          </w:p>
        </w:tc>
        <w:tc>
          <w:tcPr>
            <w:tcW w:w="0" w:type="auto"/>
          </w:tcPr>
          <w:p w14:paraId="7CA06882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30D643F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26F9C3E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56DC593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5E5781F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5E21217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380EACE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260CC4E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52E9E23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1979F0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B211341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4BF56506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BAS_Obj3_Act14</w:t>
            </w:r>
          </w:p>
        </w:tc>
        <w:tc>
          <w:tcPr>
            <w:tcW w:w="2055" w:type="dxa"/>
          </w:tcPr>
          <w:p w14:paraId="2031675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as despesas com contratos de manutenção</w:t>
            </w:r>
          </w:p>
        </w:tc>
        <w:tc>
          <w:tcPr>
            <w:tcW w:w="1560" w:type="dxa"/>
          </w:tcPr>
          <w:p w14:paraId="2256CF2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Soma das despesas relativas aos contratos de manutenção</w:t>
            </w:r>
          </w:p>
        </w:tc>
        <w:tc>
          <w:tcPr>
            <w:tcW w:w="1538" w:type="dxa"/>
          </w:tcPr>
          <w:p w14:paraId="77569EE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Soma das despesas com contratos de manutenção</w:t>
            </w:r>
          </w:p>
        </w:tc>
        <w:tc>
          <w:tcPr>
            <w:tcW w:w="0" w:type="auto"/>
          </w:tcPr>
          <w:p w14:paraId="511AEE8A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113E104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15026B9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18E5B7B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3FC52AF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0A0D1C0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33F8B5B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675F4B3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4DD6AB1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F6D9CB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07BAF4D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6EECA676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2: Promover a redução do uso</w:t>
            </w:r>
          </w:p>
        </w:tc>
      </w:tr>
      <w:tr w:rsidR="001E49FB" w:rsidRPr="0018548E" w14:paraId="6C392465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2A4F3B83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EXT_Obj3_Ac15</w:t>
            </w:r>
          </w:p>
        </w:tc>
        <w:tc>
          <w:tcPr>
            <w:tcW w:w="2055" w:type="dxa"/>
          </w:tcPr>
          <w:p w14:paraId="3CAAE9E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Estender a instalação de monitoramento remoto (câmeras e alarmes de emergência) nos campi para reduzir os gastos com o contrato de vigilância</w:t>
            </w:r>
          </w:p>
        </w:tc>
        <w:tc>
          <w:tcPr>
            <w:tcW w:w="1560" w:type="dxa"/>
          </w:tcPr>
          <w:p w14:paraId="03DC308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Área coberta pelo sistema de vigilância da câmera.</w:t>
            </w:r>
          </w:p>
          <w:p w14:paraId="313EEE0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538" w:type="dxa"/>
          </w:tcPr>
          <w:p w14:paraId="563D8E5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Soma da área coberta pelo sistema de câmeras</w:t>
            </w:r>
          </w:p>
        </w:tc>
        <w:tc>
          <w:tcPr>
            <w:tcW w:w="0" w:type="auto"/>
          </w:tcPr>
          <w:p w14:paraId="128A10E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5B7F07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C920BE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9DF9FF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308BB0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0FB850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C2C6CF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F5DE5E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049870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FCE665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21E28F2F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67361C24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3 – Campanhas SD</w:t>
            </w:r>
          </w:p>
        </w:tc>
      </w:tr>
      <w:tr w:rsidR="001E49FB" w:rsidRPr="0018548E" w14:paraId="4DA975AF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0B9BCC74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EXT_Obj3_Ac16</w:t>
            </w:r>
          </w:p>
        </w:tc>
        <w:tc>
          <w:tcPr>
            <w:tcW w:w="2055" w:type="dxa"/>
          </w:tcPr>
          <w:p w14:paraId="72FF317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Desenvolver campanha para o uso racional do sistema telefônico</w:t>
            </w:r>
          </w:p>
        </w:tc>
        <w:tc>
          <w:tcPr>
            <w:tcW w:w="1560" w:type="dxa"/>
          </w:tcPr>
          <w:p w14:paraId="43198C5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Campanhas educativas do DS para o uso racional do sistema telefônico</w:t>
            </w:r>
          </w:p>
        </w:tc>
        <w:tc>
          <w:tcPr>
            <w:tcW w:w="1538" w:type="dxa"/>
          </w:tcPr>
          <w:p w14:paraId="4629542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Não. campanhas de educação em DS para o uso racional da telefonia</w:t>
            </w:r>
          </w:p>
        </w:tc>
        <w:tc>
          <w:tcPr>
            <w:tcW w:w="0" w:type="auto"/>
          </w:tcPr>
          <w:p w14:paraId="3A8E034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Ter pelo menos 4 campanhas criadas por semestre (contínuas)</w:t>
            </w:r>
          </w:p>
        </w:tc>
        <w:tc>
          <w:tcPr>
            <w:tcW w:w="0" w:type="auto"/>
          </w:tcPr>
          <w:p w14:paraId="7520B3F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02A4667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77FBC05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00FA78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39A944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C371E0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98852F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DE3350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</w:tcPr>
          <w:p w14:paraId="2075437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598430F0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79148B6B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EXT_Obj3_Ac17</w:t>
            </w:r>
          </w:p>
        </w:tc>
        <w:tc>
          <w:tcPr>
            <w:tcW w:w="2055" w:type="dxa"/>
          </w:tcPr>
          <w:p w14:paraId="243587B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Desenvolver uma campanha para manter a limpeza das áreas do campus</w:t>
            </w:r>
          </w:p>
        </w:tc>
        <w:tc>
          <w:tcPr>
            <w:tcW w:w="1560" w:type="dxa"/>
          </w:tcPr>
          <w:p w14:paraId="34A3B35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Campanhas de educação SD para manter a limpeza das áreas do campus</w:t>
            </w:r>
          </w:p>
        </w:tc>
        <w:tc>
          <w:tcPr>
            <w:tcW w:w="1538" w:type="dxa"/>
          </w:tcPr>
          <w:p w14:paraId="0725191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Não. de campanhas de educação SD para manter a limpeza das áreas do campus</w:t>
            </w:r>
          </w:p>
        </w:tc>
        <w:tc>
          <w:tcPr>
            <w:tcW w:w="0" w:type="auto"/>
          </w:tcPr>
          <w:p w14:paraId="353FFEB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Ter pelo menos 4 campanhas criadas por semestre (contínuas)</w:t>
            </w:r>
          </w:p>
        </w:tc>
        <w:tc>
          <w:tcPr>
            <w:tcW w:w="0" w:type="auto"/>
          </w:tcPr>
          <w:p w14:paraId="731C76C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260542C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32E0873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AB0338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4B5A72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7D92B6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161D6E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17ED56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9CEB1B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52C9B2D5" w14:textId="77777777" w:rsidR="001E49FB" w:rsidRDefault="001E49FB" w:rsidP="001E49FB">
      <w:pPr>
        <w:spacing w:line="240" w:lineRule="auto"/>
        <w:rPr>
          <w:lang w:val="pt-PT"/>
        </w:rPr>
      </w:pPr>
    </w:p>
    <w:p w14:paraId="4179B1EB" w14:textId="77777777" w:rsidR="001E49FB" w:rsidRDefault="001E49FB" w:rsidP="001E49FB">
      <w:pPr>
        <w:spacing w:line="240" w:lineRule="auto"/>
        <w:rPr>
          <w:lang w:val="pt-PT"/>
        </w:rPr>
      </w:pP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78"/>
        <w:gridCol w:w="1201"/>
        <w:gridCol w:w="2144"/>
        <w:gridCol w:w="1767"/>
        <w:gridCol w:w="1589"/>
        <w:gridCol w:w="885"/>
        <w:gridCol w:w="813"/>
        <w:gridCol w:w="574"/>
        <w:gridCol w:w="574"/>
        <w:gridCol w:w="574"/>
        <w:gridCol w:w="574"/>
        <w:gridCol w:w="574"/>
        <w:gridCol w:w="517"/>
        <w:gridCol w:w="838"/>
      </w:tblGrid>
      <w:tr w:rsidR="001E49FB" w:rsidRPr="001A558F" w14:paraId="0E7B9480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0B050"/>
          </w:tcPr>
          <w:p w14:paraId="08590C16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FFFFFF" w:themeColor="background1"/>
                <w:sz w:val="20"/>
                <w:szCs w:val="20"/>
              </w:rPr>
              <w:t>PLANO DE AÇÃO – Qualidade de vida no trabalho</w:t>
            </w:r>
          </w:p>
        </w:tc>
        <w:tc>
          <w:tcPr>
            <w:tcW w:w="0" w:type="auto"/>
            <w:shd w:val="clear" w:color="auto" w:fill="00B050"/>
          </w:tcPr>
          <w:p w14:paraId="5B314D88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D783453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577C066E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4C0F7F3B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990C909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27D2681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663ADA3C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7AD3128D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2D487A24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35FCADEB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Objetivo 4 – Estabelecer práticas sustentáveis para a qualidade de vida no local de trabalho</w:t>
            </w:r>
          </w:p>
        </w:tc>
        <w:tc>
          <w:tcPr>
            <w:tcW w:w="0" w:type="auto"/>
          </w:tcPr>
          <w:p w14:paraId="39A8EBC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06A489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86EFEF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453892E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668E98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1D3EE0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A5F8AC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E5B3D3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1EA832EA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50828707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1: Quantificar e monitorar o consumo</w:t>
            </w:r>
          </w:p>
        </w:tc>
        <w:tc>
          <w:tcPr>
            <w:tcW w:w="0" w:type="auto"/>
          </w:tcPr>
          <w:p w14:paraId="3A82EA1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5"/>
          </w:tcPr>
          <w:p w14:paraId="4B5C3AD1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</w:rPr>
              <w:t>LINHA DO TEMPO</w:t>
            </w:r>
          </w:p>
        </w:tc>
        <w:tc>
          <w:tcPr>
            <w:tcW w:w="0" w:type="auto"/>
          </w:tcPr>
          <w:p w14:paraId="2C494D6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32C1ED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6D0E8F4D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35B60AC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01" w:type="dxa"/>
          </w:tcPr>
          <w:p w14:paraId="23C96BD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Ação</w:t>
            </w:r>
          </w:p>
        </w:tc>
        <w:tc>
          <w:tcPr>
            <w:tcW w:w="0" w:type="auto"/>
          </w:tcPr>
          <w:p w14:paraId="013AB2E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Nome do indicador</w:t>
            </w:r>
          </w:p>
        </w:tc>
        <w:tc>
          <w:tcPr>
            <w:tcW w:w="0" w:type="auto"/>
          </w:tcPr>
          <w:p w14:paraId="43EE30A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Métrica</w:t>
            </w:r>
          </w:p>
        </w:tc>
        <w:tc>
          <w:tcPr>
            <w:tcW w:w="0" w:type="auto"/>
          </w:tcPr>
          <w:p w14:paraId="23CDE76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Objetivo (Período)</w:t>
            </w:r>
          </w:p>
        </w:tc>
        <w:tc>
          <w:tcPr>
            <w:tcW w:w="0" w:type="auto"/>
          </w:tcPr>
          <w:p w14:paraId="2D33A3E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Começar</w:t>
            </w:r>
          </w:p>
        </w:tc>
        <w:tc>
          <w:tcPr>
            <w:tcW w:w="0" w:type="auto"/>
          </w:tcPr>
          <w:p w14:paraId="312398F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Fim</w:t>
            </w:r>
          </w:p>
        </w:tc>
        <w:tc>
          <w:tcPr>
            <w:tcW w:w="0" w:type="auto"/>
          </w:tcPr>
          <w:p w14:paraId="3DAF9FC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1</w:t>
            </w:r>
          </w:p>
        </w:tc>
        <w:tc>
          <w:tcPr>
            <w:tcW w:w="0" w:type="auto"/>
          </w:tcPr>
          <w:p w14:paraId="15919F0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2</w:t>
            </w:r>
          </w:p>
        </w:tc>
        <w:tc>
          <w:tcPr>
            <w:tcW w:w="0" w:type="auto"/>
          </w:tcPr>
          <w:p w14:paraId="0E8E0A6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3</w:t>
            </w:r>
          </w:p>
        </w:tc>
        <w:tc>
          <w:tcPr>
            <w:tcW w:w="0" w:type="auto"/>
          </w:tcPr>
          <w:p w14:paraId="7A3138B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4</w:t>
            </w:r>
          </w:p>
        </w:tc>
        <w:tc>
          <w:tcPr>
            <w:tcW w:w="0" w:type="auto"/>
          </w:tcPr>
          <w:p w14:paraId="4D5928D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5</w:t>
            </w:r>
          </w:p>
        </w:tc>
        <w:tc>
          <w:tcPr>
            <w:tcW w:w="0" w:type="auto"/>
          </w:tcPr>
          <w:p w14:paraId="70804C5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</w:tcPr>
          <w:p w14:paraId="04FCB09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SI</w:t>
            </w:r>
          </w:p>
        </w:tc>
      </w:tr>
      <w:tr w:rsidR="001E49FB" w:rsidRPr="0018548E" w14:paraId="14377FF0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auto"/>
          </w:tcPr>
          <w:p w14:paraId="629C7B00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BAS_Obj4_Act1</w:t>
            </w:r>
          </w:p>
        </w:tc>
        <w:tc>
          <w:tcPr>
            <w:tcW w:w="1201" w:type="dxa"/>
          </w:tcPr>
          <w:p w14:paraId="28279CE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 xml:space="preserve">Quantificar o número de servidores públicos que participaram dos programas </w:t>
            </w:r>
            <w:r w:rsidRPr="0018548E">
              <w:rPr>
                <w:rFonts w:cstheme="majorHAnsi"/>
                <w:sz w:val="16"/>
                <w:szCs w:val="16"/>
              </w:rPr>
              <w:lastRenderedPageBreak/>
              <w:t>e/ou ações voltados para a qualidade de vida no trabalho a cada ano</w:t>
            </w:r>
          </w:p>
        </w:tc>
        <w:tc>
          <w:tcPr>
            <w:tcW w:w="0" w:type="auto"/>
          </w:tcPr>
          <w:p w14:paraId="12BBCF1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bookmarkStart w:id="4" w:name="_Hlk128243305"/>
            <w:r w:rsidRPr="0018548E">
              <w:rPr>
                <w:rFonts w:cstheme="majorHAnsi"/>
                <w:sz w:val="16"/>
                <w:szCs w:val="16"/>
              </w:rPr>
              <w:lastRenderedPageBreak/>
              <w:t>Participação de servidores públicos em programas e/ou ações voltadas para a qualidade de vida no ambiente de trabalho</w:t>
            </w:r>
            <w:bookmarkEnd w:id="4"/>
          </w:p>
        </w:tc>
        <w:tc>
          <w:tcPr>
            <w:tcW w:w="0" w:type="auto"/>
          </w:tcPr>
          <w:p w14:paraId="4A05936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Total de servidores treinados / Número total de servidores * 100</w:t>
            </w:r>
          </w:p>
        </w:tc>
        <w:tc>
          <w:tcPr>
            <w:tcW w:w="0" w:type="auto"/>
          </w:tcPr>
          <w:p w14:paraId="52F3D624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</w:rPr>
              <w:t>Ter pelo menos 10% dos servidores treinados anualmente (contínuo)</w:t>
            </w:r>
          </w:p>
        </w:tc>
        <w:tc>
          <w:tcPr>
            <w:tcW w:w="0" w:type="auto"/>
          </w:tcPr>
          <w:p w14:paraId="6F6AFE1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76A392F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7C4A3EC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4757874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03EC813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2324C73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54FC167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65F7EDD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</w:tcPr>
          <w:p w14:paraId="736C139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PROPLAN</w:t>
            </w:r>
          </w:p>
        </w:tc>
      </w:tr>
      <w:tr w:rsidR="001E49FB" w:rsidRPr="001A558F" w14:paraId="515122CE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3033E125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2: Promover a redução do uso</w:t>
            </w:r>
          </w:p>
        </w:tc>
      </w:tr>
      <w:tr w:rsidR="001E49FB" w:rsidRPr="001A558F" w14:paraId="0C8CFFF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auto"/>
          </w:tcPr>
          <w:p w14:paraId="30B114E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</w:p>
        </w:tc>
        <w:tc>
          <w:tcPr>
            <w:tcW w:w="1201" w:type="dxa"/>
          </w:tcPr>
          <w:p w14:paraId="147C84A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7F9586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3C2271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A61660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593225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899EFC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4905C4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131692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F9C216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3BA98F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88B94D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DDB17F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9340AB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03E02F37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184400D2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3 – Campanhas SD</w:t>
            </w:r>
          </w:p>
        </w:tc>
      </w:tr>
      <w:tr w:rsidR="001E49FB" w:rsidRPr="0018548E" w14:paraId="2538667C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auto"/>
          </w:tcPr>
          <w:p w14:paraId="4A8009E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EXT_Obj4_Act2</w:t>
            </w:r>
          </w:p>
        </w:tc>
        <w:tc>
          <w:tcPr>
            <w:tcW w:w="1201" w:type="dxa"/>
          </w:tcPr>
          <w:p w14:paraId="2D09A4B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 xml:space="preserve">Desenvolver uma campanha de promoção da qualidade de vida no local de trabalho </w:t>
            </w:r>
          </w:p>
        </w:tc>
        <w:tc>
          <w:tcPr>
            <w:tcW w:w="0" w:type="auto"/>
          </w:tcPr>
          <w:p w14:paraId="66019FC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Campanhas para promover a qualidade de vida no local de trabalho</w:t>
            </w:r>
          </w:p>
        </w:tc>
        <w:tc>
          <w:tcPr>
            <w:tcW w:w="0" w:type="auto"/>
          </w:tcPr>
          <w:p w14:paraId="675A98A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Número de campanhas sobre qualidade de vida no local de trabalho criadas por semestre</w:t>
            </w:r>
          </w:p>
        </w:tc>
        <w:tc>
          <w:tcPr>
            <w:tcW w:w="0" w:type="auto"/>
          </w:tcPr>
          <w:p w14:paraId="19A06F2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Ter pelo menos 4 campanhas criadas por semestre (contínuas)</w:t>
            </w:r>
          </w:p>
        </w:tc>
        <w:tc>
          <w:tcPr>
            <w:tcW w:w="0" w:type="auto"/>
          </w:tcPr>
          <w:p w14:paraId="3AD5157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1BA652F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56C8F56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67AD13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0BA488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57C8F5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694274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CB4398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</w:tcPr>
          <w:p w14:paraId="1910667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6D023285" w14:textId="77777777" w:rsidR="001E49FB" w:rsidRDefault="001E49FB" w:rsidP="001E49FB">
      <w:pPr>
        <w:spacing w:line="240" w:lineRule="auto"/>
        <w:rPr>
          <w:lang w:val="pt-PT"/>
        </w:rPr>
      </w:pPr>
    </w:p>
    <w:tbl>
      <w:tblPr>
        <w:tblStyle w:val="SimplesTabela2"/>
        <w:tblW w:w="0" w:type="auto"/>
        <w:tblLayout w:type="fixed"/>
        <w:tblLook w:val="04A0" w:firstRow="1" w:lastRow="0" w:firstColumn="1" w:lastColumn="0" w:noHBand="0" w:noVBand="1"/>
      </w:tblPr>
      <w:tblGrid>
        <w:gridCol w:w="1380"/>
        <w:gridCol w:w="1741"/>
        <w:gridCol w:w="1559"/>
        <w:gridCol w:w="1935"/>
        <w:gridCol w:w="2032"/>
        <w:gridCol w:w="709"/>
        <w:gridCol w:w="828"/>
        <w:gridCol w:w="545"/>
        <w:gridCol w:w="546"/>
        <w:gridCol w:w="545"/>
        <w:gridCol w:w="545"/>
        <w:gridCol w:w="546"/>
        <w:gridCol w:w="545"/>
        <w:gridCol w:w="546"/>
      </w:tblGrid>
      <w:tr w:rsidR="001E49FB" w:rsidRPr="0018548E" w14:paraId="1D470EDB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6"/>
            <w:shd w:val="clear" w:color="auto" w:fill="00B050"/>
          </w:tcPr>
          <w:p w14:paraId="1A907E27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FFFFFF" w:themeColor="background1"/>
                <w:sz w:val="20"/>
                <w:szCs w:val="20"/>
              </w:rPr>
              <w:t>Plano de acção para a dimensão 2.2 - Programa de extensão</w:t>
            </w:r>
          </w:p>
        </w:tc>
        <w:tc>
          <w:tcPr>
            <w:tcW w:w="828" w:type="dxa"/>
            <w:shd w:val="clear" w:color="auto" w:fill="00B050"/>
          </w:tcPr>
          <w:p w14:paraId="34446460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  <w:shd w:val="clear" w:color="auto" w:fill="00B050"/>
          </w:tcPr>
          <w:p w14:paraId="3ECB9848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  <w:shd w:val="clear" w:color="auto" w:fill="00B050"/>
          </w:tcPr>
          <w:p w14:paraId="239DE118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  <w:shd w:val="clear" w:color="auto" w:fill="00B050"/>
          </w:tcPr>
          <w:p w14:paraId="7AD10E83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  <w:shd w:val="clear" w:color="auto" w:fill="00B050"/>
          </w:tcPr>
          <w:p w14:paraId="4126ABA7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  <w:shd w:val="clear" w:color="auto" w:fill="00B050"/>
          </w:tcPr>
          <w:p w14:paraId="03940D73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  <w:shd w:val="clear" w:color="auto" w:fill="00B050"/>
          </w:tcPr>
          <w:p w14:paraId="61D497D8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  <w:shd w:val="clear" w:color="auto" w:fill="00B050"/>
          </w:tcPr>
          <w:p w14:paraId="33D2139C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54198747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6"/>
          </w:tcPr>
          <w:p w14:paraId="4A11B077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Objetivo 5 – Estabelecer práticas sustentáveis para o programa de extensão.</w:t>
            </w:r>
          </w:p>
        </w:tc>
        <w:tc>
          <w:tcPr>
            <w:tcW w:w="828" w:type="dxa"/>
          </w:tcPr>
          <w:p w14:paraId="23AB94F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</w:tcPr>
          <w:p w14:paraId="087E38A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</w:tcPr>
          <w:p w14:paraId="6D50E4C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</w:tcPr>
          <w:p w14:paraId="53651B9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</w:tcPr>
          <w:p w14:paraId="68DFD7A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</w:tcPr>
          <w:p w14:paraId="6E61082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</w:tcPr>
          <w:p w14:paraId="1B83460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</w:tcPr>
          <w:p w14:paraId="1622E78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020DFC6D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6"/>
          </w:tcPr>
          <w:p w14:paraId="72678914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1: Quantificar e monitorar o consumo</w:t>
            </w:r>
          </w:p>
        </w:tc>
        <w:tc>
          <w:tcPr>
            <w:tcW w:w="1373" w:type="dxa"/>
            <w:gridSpan w:val="2"/>
          </w:tcPr>
          <w:p w14:paraId="0902BFC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091" w:type="dxa"/>
            <w:gridSpan w:val="2"/>
          </w:tcPr>
          <w:p w14:paraId="4982E96A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</w:rPr>
              <w:t>LINHA DO TEMPO</w:t>
            </w:r>
          </w:p>
        </w:tc>
        <w:tc>
          <w:tcPr>
            <w:tcW w:w="1091" w:type="dxa"/>
            <w:gridSpan w:val="2"/>
          </w:tcPr>
          <w:p w14:paraId="3E4157F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091" w:type="dxa"/>
            <w:gridSpan w:val="2"/>
          </w:tcPr>
          <w:p w14:paraId="6BD9152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620453C9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D9980F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741" w:type="dxa"/>
          </w:tcPr>
          <w:p w14:paraId="34F66E3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Ação</w:t>
            </w:r>
          </w:p>
        </w:tc>
        <w:tc>
          <w:tcPr>
            <w:tcW w:w="1559" w:type="dxa"/>
          </w:tcPr>
          <w:p w14:paraId="6CEFDC2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Nome do indicador</w:t>
            </w:r>
          </w:p>
        </w:tc>
        <w:tc>
          <w:tcPr>
            <w:tcW w:w="1935" w:type="dxa"/>
          </w:tcPr>
          <w:p w14:paraId="48DE5EC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Métrica</w:t>
            </w:r>
          </w:p>
        </w:tc>
        <w:tc>
          <w:tcPr>
            <w:tcW w:w="2032" w:type="dxa"/>
          </w:tcPr>
          <w:p w14:paraId="15E797A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Objetivo (Período)</w:t>
            </w:r>
          </w:p>
        </w:tc>
        <w:tc>
          <w:tcPr>
            <w:tcW w:w="709" w:type="dxa"/>
          </w:tcPr>
          <w:p w14:paraId="70B15F1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Começar</w:t>
            </w:r>
          </w:p>
        </w:tc>
        <w:tc>
          <w:tcPr>
            <w:tcW w:w="828" w:type="dxa"/>
          </w:tcPr>
          <w:p w14:paraId="5F9AFB5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Fim</w:t>
            </w:r>
          </w:p>
        </w:tc>
        <w:tc>
          <w:tcPr>
            <w:tcW w:w="545" w:type="dxa"/>
          </w:tcPr>
          <w:p w14:paraId="57A9BCD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1</w:t>
            </w:r>
          </w:p>
        </w:tc>
        <w:tc>
          <w:tcPr>
            <w:tcW w:w="546" w:type="dxa"/>
          </w:tcPr>
          <w:p w14:paraId="25BE0B0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2</w:t>
            </w:r>
          </w:p>
        </w:tc>
        <w:tc>
          <w:tcPr>
            <w:tcW w:w="545" w:type="dxa"/>
          </w:tcPr>
          <w:p w14:paraId="06B8CDC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3</w:t>
            </w:r>
          </w:p>
        </w:tc>
        <w:tc>
          <w:tcPr>
            <w:tcW w:w="545" w:type="dxa"/>
          </w:tcPr>
          <w:p w14:paraId="7ABA14E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4</w:t>
            </w:r>
          </w:p>
        </w:tc>
        <w:tc>
          <w:tcPr>
            <w:tcW w:w="546" w:type="dxa"/>
          </w:tcPr>
          <w:p w14:paraId="4FC150D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5</w:t>
            </w:r>
          </w:p>
        </w:tc>
        <w:tc>
          <w:tcPr>
            <w:tcW w:w="545" w:type="dxa"/>
          </w:tcPr>
          <w:p w14:paraId="464811D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546" w:type="dxa"/>
          </w:tcPr>
          <w:p w14:paraId="55E2347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SI</w:t>
            </w:r>
          </w:p>
        </w:tc>
      </w:tr>
      <w:tr w:rsidR="001E49FB" w:rsidRPr="0018548E" w14:paraId="22B74A61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5B0F1E95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EXT_Obj5_Act1</w:t>
            </w:r>
          </w:p>
        </w:tc>
        <w:tc>
          <w:tcPr>
            <w:tcW w:w="1741" w:type="dxa"/>
          </w:tcPr>
          <w:p w14:paraId="6E152EC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Avaliar se a instituição possui mecanismos para medir a sustentabilidade das atividades de extensão universitária</w:t>
            </w:r>
          </w:p>
        </w:tc>
        <w:tc>
          <w:tcPr>
            <w:tcW w:w="1559" w:type="dxa"/>
          </w:tcPr>
          <w:p w14:paraId="3DB0F47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Sustentabilidade das atividades de extensão universitária</w:t>
            </w:r>
          </w:p>
          <w:p w14:paraId="489F677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935" w:type="dxa"/>
          </w:tcPr>
          <w:p w14:paraId="2650880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A instituição possui mecanismos para mensurar a sustentabilidade das atividades de extensão universitária? (s/n)</w:t>
            </w:r>
          </w:p>
        </w:tc>
        <w:tc>
          <w:tcPr>
            <w:tcW w:w="2032" w:type="dxa"/>
          </w:tcPr>
          <w:p w14:paraId="7A7F9244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709" w:type="dxa"/>
          </w:tcPr>
          <w:p w14:paraId="0B1B221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828" w:type="dxa"/>
          </w:tcPr>
          <w:p w14:paraId="2AF832C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545" w:type="dxa"/>
          </w:tcPr>
          <w:p w14:paraId="0EC02B3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546" w:type="dxa"/>
          </w:tcPr>
          <w:p w14:paraId="7D46EF0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545" w:type="dxa"/>
          </w:tcPr>
          <w:p w14:paraId="254C46F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545" w:type="dxa"/>
          </w:tcPr>
          <w:p w14:paraId="7A4B5BC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546" w:type="dxa"/>
          </w:tcPr>
          <w:p w14:paraId="380BD5C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545" w:type="dxa"/>
          </w:tcPr>
          <w:p w14:paraId="3915050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766F30F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4C34B979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</w:tcPr>
          <w:p w14:paraId="6CAD3770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2: Promover a redução do uso</w:t>
            </w:r>
          </w:p>
        </w:tc>
      </w:tr>
      <w:tr w:rsidR="001E49FB" w:rsidRPr="001A558F" w14:paraId="7BB84D56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1DBC457B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</w:p>
        </w:tc>
        <w:tc>
          <w:tcPr>
            <w:tcW w:w="1741" w:type="dxa"/>
          </w:tcPr>
          <w:p w14:paraId="5AC2301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66BBA2D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935" w:type="dxa"/>
          </w:tcPr>
          <w:p w14:paraId="4764078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032" w:type="dxa"/>
          </w:tcPr>
          <w:p w14:paraId="63826B1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709" w:type="dxa"/>
          </w:tcPr>
          <w:p w14:paraId="1D53140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828" w:type="dxa"/>
          </w:tcPr>
          <w:p w14:paraId="1734B6C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5C5590E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59A554E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36B7BB8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41A0E83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54F8F06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6D2B6D4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360BBF5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FE21478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</w:tcPr>
          <w:p w14:paraId="687BC930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3 – Campanhas SD</w:t>
            </w:r>
          </w:p>
        </w:tc>
      </w:tr>
      <w:tr w:rsidR="001E49FB" w:rsidRPr="0018548E" w14:paraId="1C3E12C0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4F383E39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741" w:type="dxa"/>
          </w:tcPr>
          <w:p w14:paraId="3BB7E9A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198B501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935" w:type="dxa"/>
          </w:tcPr>
          <w:p w14:paraId="108C1A1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032" w:type="dxa"/>
          </w:tcPr>
          <w:p w14:paraId="69D26DE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709" w:type="dxa"/>
          </w:tcPr>
          <w:p w14:paraId="48CF069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828" w:type="dxa"/>
          </w:tcPr>
          <w:p w14:paraId="493BC5B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151DAE1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2EAB83D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04ECA0E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04E5655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6F6D362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4BC48DC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4E7FE9E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138184CD" w14:textId="77777777" w:rsidR="001E49FB" w:rsidRDefault="001E49FB" w:rsidP="001E49FB">
      <w:pPr>
        <w:spacing w:line="240" w:lineRule="auto"/>
        <w:rPr>
          <w:lang w:val="pt-PT"/>
        </w:rPr>
      </w:pPr>
    </w:p>
    <w:p w14:paraId="0FC9523F" w14:textId="77777777" w:rsidR="001E49FB" w:rsidRDefault="001E49FB" w:rsidP="001E49FB">
      <w:pPr>
        <w:spacing w:line="240" w:lineRule="auto"/>
        <w:rPr>
          <w:lang w:val="pt-PT"/>
        </w:rPr>
      </w:pPr>
    </w:p>
    <w:tbl>
      <w:tblPr>
        <w:tblStyle w:val="SimplesTabela2"/>
        <w:tblW w:w="0" w:type="auto"/>
        <w:tblLayout w:type="fixed"/>
        <w:tblLook w:val="04A0" w:firstRow="1" w:lastRow="0" w:firstColumn="1" w:lastColumn="0" w:noHBand="0" w:noVBand="1"/>
      </w:tblPr>
      <w:tblGrid>
        <w:gridCol w:w="1380"/>
        <w:gridCol w:w="1741"/>
        <w:gridCol w:w="1559"/>
        <w:gridCol w:w="1935"/>
        <w:gridCol w:w="2032"/>
        <w:gridCol w:w="709"/>
        <w:gridCol w:w="828"/>
        <w:gridCol w:w="545"/>
        <w:gridCol w:w="546"/>
        <w:gridCol w:w="545"/>
        <w:gridCol w:w="545"/>
        <w:gridCol w:w="546"/>
        <w:gridCol w:w="545"/>
        <w:gridCol w:w="546"/>
      </w:tblGrid>
      <w:tr w:rsidR="001E49FB" w:rsidRPr="001A558F" w14:paraId="0B01826E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6"/>
            <w:shd w:val="clear" w:color="auto" w:fill="00B050"/>
          </w:tcPr>
          <w:p w14:paraId="3AD6E328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FFFFFF" w:themeColor="background1"/>
                <w:sz w:val="20"/>
                <w:szCs w:val="20"/>
              </w:rPr>
              <w:t>Plano de acção para a dimensão 2.3 - Ligação em rede</w:t>
            </w:r>
          </w:p>
        </w:tc>
        <w:tc>
          <w:tcPr>
            <w:tcW w:w="828" w:type="dxa"/>
            <w:shd w:val="clear" w:color="auto" w:fill="00B050"/>
          </w:tcPr>
          <w:p w14:paraId="60D53A64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  <w:shd w:val="clear" w:color="auto" w:fill="00B050"/>
          </w:tcPr>
          <w:p w14:paraId="6F2DE564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  <w:shd w:val="clear" w:color="auto" w:fill="00B050"/>
          </w:tcPr>
          <w:p w14:paraId="4EC63014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  <w:shd w:val="clear" w:color="auto" w:fill="00B050"/>
          </w:tcPr>
          <w:p w14:paraId="242F47C2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  <w:shd w:val="clear" w:color="auto" w:fill="00B050"/>
          </w:tcPr>
          <w:p w14:paraId="44E0A4CF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  <w:shd w:val="clear" w:color="auto" w:fill="00B050"/>
          </w:tcPr>
          <w:p w14:paraId="791F700A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  <w:shd w:val="clear" w:color="auto" w:fill="00B050"/>
          </w:tcPr>
          <w:p w14:paraId="461A1D7A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  <w:shd w:val="clear" w:color="auto" w:fill="00B050"/>
          </w:tcPr>
          <w:p w14:paraId="72E9B63F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0BC15256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6"/>
          </w:tcPr>
          <w:p w14:paraId="53F56D08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Objetivo 6 – Estabelecer práticas sustentáveis para melhorar o trabalho em rede.</w:t>
            </w:r>
          </w:p>
        </w:tc>
        <w:tc>
          <w:tcPr>
            <w:tcW w:w="828" w:type="dxa"/>
          </w:tcPr>
          <w:p w14:paraId="0964B92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</w:tcPr>
          <w:p w14:paraId="781FE08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</w:tcPr>
          <w:p w14:paraId="79F6D48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</w:tcPr>
          <w:p w14:paraId="0D43D4D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</w:tcPr>
          <w:p w14:paraId="7E495D4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</w:tcPr>
          <w:p w14:paraId="5F8C3B7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</w:tcPr>
          <w:p w14:paraId="21D239F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</w:tcPr>
          <w:p w14:paraId="1905BA1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05CECA8B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6"/>
          </w:tcPr>
          <w:p w14:paraId="12806D62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1: Quantificar e monitorar o consumo</w:t>
            </w:r>
          </w:p>
        </w:tc>
        <w:tc>
          <w:tcPr>
            <w:tcW w:w="1373" w:type="dxa"/>
            <w:gridSpan w:val="2"/>
          </w:tcPr>
          <w:p w14:paraId="63F10EA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091" w:type="dxa"/>
            <w:gridSpan w:val="2"/>
          </w:tcPr>
          <w:p w14:paraId="31CC3CDE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</w:rPr>
              <w:t>LINHA DO TEMPO</w:t>
            </w:r>
          </w:p>
        </w:tc>
        <w:tc>
          <w:tcPr>
            <w:tcW w:w="1091" w:type="dxa"/>
            <w:gridSpan w:val="2"/>
          </w:tcPr>
          <w:p w14:paraId="0347D17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091" w:type="dxa"/>
            <w:gridSpan w:val="2"/>
          </w:tcPr>
          <w:p w14:paraId="753B7A4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75B5DA0E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93CEB51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</w:rPr>
              <w:lastRenderedPageBreak/>
              <w:t>ID</w:t>
            </w:r>
          </w:p>
        </w:tc>
        <w:tc>
          <w:tcPr>
            <w:tcW w:w="1741" w:type="dxa"/>
          </w:tcPr>
          <w:p w14:paraId="611C84C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Ação</w:t>
            </w:r>
          </w:p>
        </w:tc>
        <w:tc>
          <w:tcPr>
            <w:tcW w:w="1559" w:type="dxa"/>
          </w:tcPr>
          <w:p w14:paraId="1E1F886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Nome do indicador</w:t>
            </w:r>
          </w:p>
        </w:tc>
        <w:tc>
          <w:tcPr>
            <w:tcW w:w="1935" w:type="dxa"/>
          </w:tcPr>
          <w:p w14:paraId="3AC0F91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Métrica</w:t>
            </w:r>
          </w:p>
        </w:tc>
        <w:tc>
          <w:tcPr>
            <w:tcW w:w="2032" w:type="dxa"/>
          </w:tcPr>
          <w:p w14:paraId="1821A6A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Objetivo (Período)</w:t>
            </w:r>
          </w:p>
        </w:tc>
        <w:tc>
          <w:tcPr>
            <w:tcW w:w="709" w:type="dxa"/>
          </w:tcPr>
          <w:p w14:paraId="5E0220D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Começar</w:t>
            </w:r>
          </w:p>
        </w:tc>
        <w:tc>
          <w:tcPr>
            <w:tcW w:w="828" w:type="dxa"/>
          </w:tcPr>
          <w:p w14:paraId="12B2B45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Fim</w:t>
            </w:r>
          </w:p>
        </w:tc>
        <w:tc>
          <w:tcPr>
            <w:tcW w:w="545" w:type="dxa"/>
          </w:tcPr>
          <w:p w14:paraId="6CBD5E7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1</w:t>
            </w:r>
          </w:p>
        </w:tc>
        <w:tc>
          <w:tcPr>
            <w:tcW w:w="546" w:type="dxa"/>
          </w:tcPr>
          <w:p w14:paraId="37DD2A6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2</w:t>
            </w:r>
          </w:p>
        </w:tc>
        <w:tc>
          <w:tcPr>
            <w:tcW w:w="545" w:type="dxa"/>
          </w:tcPr>
          <w:p w14:paraId="3AAFCBE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3</w:t>
            </w:r>
          </w:p>
        </w:tc>
        <w:tc>
          <w:tcPr>
            <w:tcW w:w="545" w:type="dxa"/>
          </w:tcPr>
          <w:p w14:paraId="052DBEF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4</w:t>
            </w:r>
          </w:p>
        </w:tc>
        <w:tc>
          <w:tcPr>
            <w:tcW w:w="546" w:type="dxa"/>
          </w:tcPr>
          <w:p w14:paraId="470330F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5</w:t>
            </w:r>
          </w:p>
        </w:tc>
        <w:tc>
          <w:tcPr>
            <w:tcW w:w="545" w:type="dxa"/>
          </w:tcPr>
          <w:p w14:paraId="60795E0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546" w:type="dxa"/>
          </w:tcPr>
          <w:p w14:paraId="2B18E92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SI</w:t>
            </w:r>
          </w:p>
        </w:tc>
      </w:tr>
      <w:tr w:rsidR="001E49FB" w:rsidRPr="0018548E" w14:paraId="364A53E6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5C7B3735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EXT_Obj6_Act1</w:t>
            </w:r>
          </w:p>
        </w:tc>
        <w:tc>
          <w:tcPr>
            <w:tcW w:w="1741" w:type="dxa"/>
          </w:tcPr>
          <w:p w14:paraId="7E01CA4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Avaliar se a instituição faz parte de uma rede de universidades sustentáveis.</w:t>
            </w:r>
          </w:p>
        </w:tc>
        <w:tc>
          <w:tcPr>
            <w:tcW w:w="1559" w:type="dxa"/>
          </w:tcPr>
          <w:p w14:paraId="25BA512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Rede de universidades sustentáveis.</w:t>
            </w:r>
          </w:p>
          <w:p w14:paraId="77C7F7B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935" w:type="dxa"/>
          </w:tcPr>
          <w:p w14:paraId="4D78252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A instituição faz parte de uma rede de universidades sustentáveis? (s/n)</w:t>
            </w:r>
          </w:p>
        </w:tc>
        <w:tc>
          <w:tcPr>
            <w:tcW w:w="2032" w:type="dxa"/>
          </w:tcPr>
          <w:p w14:paraId="1536A0E4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</w:rPr>
              <w:t>Fazer parte de pelo menos uma rede de universidades sustentáveis anualmente (contínua)</w:t>
            </w:r>
          </w:p>
        </w:tc>
        <w:tc>
          <w:tcPr>
            <w:tcW w:w="709" w:type="dxa"/>
          </w:tcPr>
          <w:p w14:paraId="6BC6FC2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828" w:type="dxa"/>
          </w:tcPr>
          <w:p w14:paraId="4BC36BC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545" w:type="dxa"/>
          </w:tcPr>
          <w:p w14:paraId="2309CF5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546" w:type="dxa"/>
          </w:tcPr>
          <w:p w14:paraId="4A64ED1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545" w:type="dxa"/>
          </w:tcPr>
          <w:p w14:paraId="1CE9529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545" w:type="dxa"/>
          </w:tcPr>
          <w:p w14:paraId="3E11672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546" w:type="dxa"/>
          </w:tcPr>
          <w:p w14:paraId="3CAE50C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545" w:type="dxa"/>
          </w:tcPr>
          <w:p w14:paraId="065CC7F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306F3B7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6D36D4E5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</w:tcPr>
          <w:p w14:paraId="5C817372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2: Promover a redução do uso</w:t>
            </w:r>
          </w:p>
        </w:tc>
      </w:tr>
      <w:tr w:rsidR="001E49FB" w:rsidRPr="001A558F" w14:paraId="5E32562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B925863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</w:p>
        </w:tc>
        <w:tc>
          <w:tcPr>
            <w:tcW w:w="1741" w:type="dxa"/>
          </w:tcPr>
          <w:p w14:paraId="6855D04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3F2395B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935" w:type="dxa"/>
          </w:tcPr>
          <w:p w14:paraId="5334A07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032" w:type="dxa"/>
          </w:tcPr>
          <w:p w14:paraId="24FC0A0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709" w:type="dxa"/>
          </w:tcPr>
          <w:p w14:paraId="7418CB5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828" w:type="dxa"/>
          </w:tcPr>
          <w:p w14:paraId="763D8F8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32B961C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0CE7E5E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376ACE7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178084E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38765BB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2FA878B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6D2C793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747D1630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</w:tcPr>
          <w:p w14:paraId="4C1FA155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3 – Campanhas SD</w:t>
            </w:r>
          </w:p>
        </w:tc>
      </w:tr>
      <w:tr w:rsidR="001E49FB" w:rsidRPr="0018548E" w14:paraId="14F4540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7DC9273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741" w:type="dxa"/>
          </w:tcPr>
          <w:p w14:paraId="28F386D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218794D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935" w:type="dxa"/>
          </w:tcPr>
          <w:p w14:paraId="69657CD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032" w:type="dxa"/>
          </w:tcPr>
          <w:p w14:paraId="7573B05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709" w:type="dxa"/>
          </w:tcPr>
          <w:p w14:paraId="724161E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828" w:type="dxa"/>
          </w:tcPr>
          <w:p w14:paraId="5154F83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43C40D9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534ADE2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7A397F1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0ACE92E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31E60B5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614F0D7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30C51CF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6EB4C77E" w14:textId="77777777" w:rsidR="001E49FB" w:rsidRDefault="001E49FB" w:rsidP="001E49FB">
      <w:pPr>
        <w:spacing w:line="240" w:lineRule="auto"/>
        <w:rPr>
          <w:lang w:val="pt-PT"/>
        </w:rPr>
      </w:pPr>
    </w:p>
    <w:p w14:paraId="184479DD" w14:textId="77777777" w:rsidR="001E49FB" w:rsidRPr="0018548E" w:rsidRDefault="001E49FB" w:rsidP="001E49FB">
      <w:pPr>
        <w:pStyle w:val="Legenda"/>
        <w:keepNext/>
        <w:spacing w:line="240" w:lineRule="auto"/>
        <w:rPr>
          <w:lang w:val="en-GB"/>
        </w:rPr>
      </w:pPr>
      <w:bookmarkStart w:id="5" w:name="_Ref158074649"/>
      <w:bookmarkStart w:id="6" w:name="_Toc161614507"/>
      <w:r w:rsidRPr="0018548E">
        <w:t xml:space="preserve">Mesa </w:t>
      </w:r>
      <w:r w:rsidRPr="0018548E">
        <w:fldChar w:fldCharType="begin"/>
      </w:r>
      <w:r w:rsidRPr="0018548E">
        <w:instrText xml:space="preserve"> STYLEREF 1 \s </w:instrText>
      </w:r>
      <w:r w:rsidRPr="0018548E">
        <w:fldChar w:fldCharType="separate"/>
      </w:r>
      <w:r>
        <w:rPr>
          <w:noProof/>
        </w:rPr>
        <w:t>9</w:t>
      </w:r>
      <w:r w:rsidRPr="0018548E">
        <w:fldChar w:fldCharType="end"/>
      </w:r>
      <w:r w:rsidRPr="0018548E">
        <w:noBreakHyphen/>
      </w:r>
      <w:r w:rsidRPr="0018548E">
        <w:fldChar w:fldCharType="begin"/>
      </w:r>
      <w:r w:rsidRPr="0018548E">
        <w:instrText xml:space="preserve"> SEQ Table \* ARABIC \s 1 </w:instrText>
      </w:r>
      <w:r w:rsidRPr="0018548E">
        <w:fldChar w:fldCharType="separate"/>
      </w:r>
      <w:r>
        <w:rPr>
          <w:noProof/>
        </w:rPr>
        <w:t>19</w:t>
      </w:r>
      <w:r w:rsidRPr="0018548E">
        <w:fldChar w:fldCharType="end"/>
      </w:r>
      <w:bookmarkEnd w:id="5"/>
      <w:r w:rsidRPr="0018548E">
        <w:t xml:space="preserve"> - Plano de acção para a dimensão 3.1 - Energia</w:t>
      </w:r>
      <w:bookmarkEnd w:id="6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78"/>
        <w:gridCol w:w="1883"/>
        <w:gridCol w:w="2089"/>
        <w:gridCol w:w="1507"/>
        <w:gridCol w:w="1290"/>
        <w:gridCol w:w="817"/>
        <w:gridCol w:w="813"/>
        <w:gridCol w:w="574"/>
        <w:gridCol w:w="574"/>
        <w:gridCol w:w="574"/>
        <w:gridCol w:w="574"/>
        <w:gridCol w:w="574"/>
        <w:gridCol w:w="517"/>
        <w:gridCol w:w="838"/>
      </w:tblGrid>
      <w:tr w:rsidR="001E49FB" w:rsidRPr="0018548E" w14:paraId="568BE677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0B050"/>
          </w:tcPr>
          <w:p w14:paraId="1603C318" w14:textId="77777777" w:rsidR="001E49FB" w:rsidRPr="0018548E" w:rsidRDefault="001E49FB" w:rsidP="001E49FB">
            <w:pPr>
              <w:spacing w:line="240" w:lineRule="auto"/>
              <w:rPr>
                <w:color w:val="FFFFFF" w:themeColor="background1"/>
                <w:sz w:val="18"/>
                <w:szCs w:val="18"/>
                <w:lang w:val="en-GB"/>
              </w:rPr>
            </w:pPr>
            <w:r w:rsidRPr="0018548E">
              <w:rPr>
                <w:color w:val="FFFFFF" w:themeColor="background1"/>
                <w:sz w:val="18"/>
                <w:szCs w:val="18"/>
              </w:rPr>
              <w:t>PLANO DE AÇÃO - Energia</w:t>
            </w:r>
          </w:p>
        </w:tc>
        <w:tc>
          <w:tcPr>
            <w:tcW w:w="0" w:type="auto"/>
            <w:shd w:val="clear" w:color="auto" w:fill="00B050"/>
          </w:tcPr>
          <w:p w14:paraId="29601EDA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678C4E56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CA61B7A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5B78CFD1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44C95D1E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7C0619B7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1158F2C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322510C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30EE43D2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50154A69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 xml:space="preserve">Objetivo 7 – Estabelecer práticas sustentáveis para a energia. </w:t>
            </w:r>
          </w:p>
        </w:tc>
        <w:tc>
          <w:tcPr>
            <w:tcW w:w="0" w:type="auto"/>
          </w:tcPr>
          <w:p w14:paraId="5BD46D3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F6DE2D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5A43D7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8D7566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81A622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734E0A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29BB9E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B373B6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172C36AB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3FAC969F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1: Quantificar e monitorar o consumo</w:t>
            </w:r>
          </w:p>
        </w:tc>
        <w:tc>
          <w:tcPr>
            <w:tcW w:w="0" w:type="auto"/>
          </w:tcPr>
          <w:p w14:paraId="5B1B289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5"/>
          </w:tcPr>
          <w:p w14:paraId="3BF189CA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</w:rPr>
              <w:t>LINHA DO TEMPO</w:t>
            </w:r>
          </w:p>
        </w:tc>
        <w:tc>
          <w:tcPr>
            <w:tcW w:w="0" w:type="auto"/>
          </w:tcPr>
          <w:p w14:paraId="3C3FEF2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BC6DD7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41C90C5E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639F665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883" w:type="dxa"/>
          </w:tcPr>
          <w:p w14:paraId="48AE43F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Ação</w:t>
            </w:r>
          </w:p>
        </w:tc>
        <w:tc>
          <w:tcPr>
            <w:tcW w:w="2089" w:type="dxa"/>
          </w:tcPr>
          <w:p w14:paraId="6072AC0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Nome do indicador</w:t>
            </w:r>
          </w:p>
        </w:tc>
        <w:tc>
          <w:tcPr>
            <w:tcW w:w="0" w:type="auto"/>
          </w:tcPr>
          <w:p w14:paraId="2A3D889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Métrica</w:t>
            </w:r>
          </w:p>
        </w:tc>
        <w:tc>
          <w:tcPr>
            <w:tcW w:w="0" w:type="auto"/>
          </w:tcPr>
          <w:p w14:paraId="15ACF33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Objetivo (Período)</w:t>
            </w:r>
          </w:p>
        </w:tc>
        <w:tc>
          <w:tcPr>
            <w:tcW w:w="0" w:type="auto"/>
          </w:tcPr>
          <w:p w14:paraId="26FBB5A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Começar</w:t>
            </w:r>
          </w:p>
        </w:tc>
        <w:tc>
          <w:tcPr>
            <w:tcW w:w="0" w:type="auto"/>
          </w:tcPr>
          <w:p w14:paraId="2174FA1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Fim</w:t>
            </w:r>
          </w:p>
        </w:tc>
        <w:tc>
          <w:tcPr>
            <w:tcW w:w="0" w:type="auto"/>
          </w:tcPr>
          <w:p w14:paraId="1FAA710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1</w:t>
            </w:r>
          </w:p>
        </w:tc>
        <w:tc>
          <w:tcPr>
            <w:tcW w:w="0" w:type="auto"/>
          </w:tcPr>
          <w:p w14:paraId="68BF40B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2</w:t>
            </w:r>
          </w:p>
        </w:tc>
        <w:tc>
          <w:tcPr>
            <w:tcW w:w="0" w:type="auto"/>
          </w:tcPr>
          <w:p w14:paraId="0C2242D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3</w:t>
            </w:r>
          </w:p>
        </w:tc>
        <w:tc>
          <w:tcPr>
            <w:tcW w:w="0" w:type="auto"/>
          </w:tcPr>
          <w:p w14:paraId="1969DDF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4</w:t>
            </w:r>
          </w:p>
        </w:tc>
        <w:tc>
          <w:tcPr>
            <w:tcW w:w="0" w:type="auto"/>
          </w:tcPr>
          <w:p w14:paraId="0D75DDC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5</w:t>
            </w:r>
          </w:p>
        </w:tc>
        <w:tc>
          <w:tcPr>
            <w:tcW w:w="0" w:type="auto"/>
          </w:tcPr>
          <w:p w14:paraId="7DC9A48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</w:tcPr>
          <w:p w14:paraId="3BB8F62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SI</w:t>
            </w:r>
          </w:p>
        </w:tc>
      </w:tr>
      <w:tr w:rsidR="001E49FB" w:rsidRPr="0018548E" w14:paraId="16EDF3D9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58EC3AD4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BAS_Obj7_Act1</w:t>
            </w:r>
          </w:p>
        </w:tc>
        <w:tc>
          <w:tcPr>
            <w:tcW w:w="1883" w:type="dxa"/>
          </w:tcPr>
          <w:p w14:paraId="7999B83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gasto mensal, em reais, com energia elétrica</w:t>
            </w:r>
          </w:p>
        </w:tc>
        <w:tc>
          <w:tcPr>
            <w:tcW w:w="2089" w:type="dxa"/>
          </w:tcPr>
          <w:p w14:paraId="193C468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Despesas com energia</w:t>
            </w:r>
          </w:p>
          <w:p w14:paraId="386BA11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4107BC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Valor da fatura em BRL (R$)</w:t>
            </w:r>
          </w:p>
        </w:tc>
        <w:tc>
          <w:tcPr>
            <w:tcW w:w="0" w:type="auto"/>
          </w:tcPr>
          <w:p w14:paraId="576840A7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5585209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6F3FCCC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7D9F76D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99EBE7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9FEBE0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CCC7BE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BBA9F6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6181A1E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</w:tcPr>
          <w:p w14:paraId="452E292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PROPLAN</w:t>
            </w:r>
          </w:p>
        </w:tc>
      </w:tr>
      <w:tr w:rsidR="001E49FB" w:rsidRPr="0018548E" w14:paraId="7E796A84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41B0792A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BAS_Obj7_Act2</w:t>
            </w:r>
          </w:p>
        </w:tc>
        <w:tc>
          <w:tcPr>
            <w:tcW w:w="1883" w:type="dxa"/>
          </w:tcPr>
          <w:p w14:paraId="2A2515F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gasto mensal de energia elétrica, em R$ R$, per capita dos servidores públicos</w:t>
            </w:r>
          </w:p>
        </w:tc>
        <w:tc>
          <w:tcPr>
            <w:tcW w:w="2089" w:type="dxa"/>
          </w:tcPr>
          <w:p w14:paraId="6BC8E9D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Consumo de energia elétrica, em R$ R$, per capita dos servidores públicos</w:t>
            </w:r>
          </w:p>
        </w:tc>
        <w:tc>
          <w:tcPr>
            <w:tcW w:w="0" w:type="auto"/>
          </w:tcPr>
          <w:p w14:paraId="15C0BF8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Quantidade do gasto em R$ / número total de servidores</w:t>
            </w:r>
          </w:p>
        </w:tc>
        <w:tc>
          <w:tcPr>
            <w:tcW w:w="0" w:type="auto"/>
          </w:tcPr>
          <w:p w14:paraId="1E800B17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3136268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0571EE1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7EC73C9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C6C906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BED6D2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E815CE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3D65E7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1F3C75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032231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DA83509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12F85480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EXT_Obj7_Act3</w:t>
            </w:r>
          </w:p>
        </w:tc>
        <w:tc>
          <w:tcPr>
            <w:tcW w:w="1883" w:type="dxa"/>
          </w:tcPr>
          <w:p w14:paraId="5BCE606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gasto mensal com energia elétrica, em R$ R$, per capita da comunidade (servidores públicos, estudantes e terceirizados)</w:t>
            </w:r>
          </w:p>
        </w:tc>
        <w:tc>
          <w:tcPr>
            <w:tcW w:w="2089" w:type="dxa"/>
          </w:tcPr>
          <w:p w14:paraId="1756431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Gasto per capita de energia elétrica pela comunidade (servidores públicos, estudantes e terceirizados)</w:t>
            </w:r>
            <w:r w:rsidRPr="0018548E">
              <w:rPr>
                <w:rFonts w:cstheme="majorHAnsi"/>
                <w:sz w:val="16"/>
                <w:szCs w:val="16"/>
              </w:rPr>
              <w:tab/>
            </w:r>
          </w:p>
          <w:p w14:paraId="6357944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1DF5A7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Quantidade do gasto em R$ / total da comunidade (funcionários, estudantes e terceirizados)</w:t>
            </w:r>
          </w:p>
        </w:tc>
        <w:tc>
          <w:tcPr>
            <w:tcW w:w="0" w:type="auto"/>
          </w:tcPr>
          <w:p w14:paraId="609EE47E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4AB09E5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74B8923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67CEB49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FF369C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82D344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93C85D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1E7DD2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171BFCA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7B88A8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46BF1864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69079719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BAS_Obj7_Act4</w:t>
            </w:r>
          </w:p>
        </w:tc>
        <w:tc>
          <w:tcPr>
            <w:tcW w:w="1883" w:type="dxa"/>
          </w:tcPr>
          <w:p w14:paraId="633C8B9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consumo mensal de energia elétrica em kWh</w:t>
            </w:r>
          </w:p>
        </w:tc>
        <w:tc>
          <w:tcPr>
            <w:tcW w:w="2089" w:type="dxa"/>
          </w:tcPr>
          <w:p w14:paraId="24C44D8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Consumo de energia elétrica energia em kWh</w:t>
            </w:r>
          </w:p>
          <w:p w14:paraId="19DF829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EA2DF4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Quantidade de kWh consumida</w:t>
            </w:r>
          </w:p>
        </w:tc>
        <w:tc>
          <w:tcPr>
            <w:tcW w:w="0" w:type="auto"/>
          </w:tcPr>
          <w:p w14:paraId="395CBEF9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36172CE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32234B1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0F04F77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C9673F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2EB752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DF9B89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02AB8B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11FD321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977DF5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24532684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2C1798BC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BAS_Obj7_Act5</w:t>
            </w:r>
          </w:p>
        </w:tc>
        <w:tc>
          <w:tcPr>
            <w:tcW w:w="1883" w:type="dxa"/>
          </w:tcPr>
          <w:p w14:paraId="204B270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 xml:space="preserve">Quantificar o consumo mensal de energia elétrica, em kWh, per </w:t>
            </w:r>
            <w:r w:rsidRPr="0018548E">
              <w:rPr>
                <w:rFonts w:cstheme="majorHAnsi"/>
                <w:sz w:val="16"/>
                <w:szCs w:val="16"/>
              </w:rPr>
              <w:lastRenderedPageBreak/>
              <w:t>capita dos servidores públicos</w:t>
            </w:r>
            <w:r w:rsidRPr="0018548E">
              <w:rPr>
                <w:rFonts w:cstheme="majorHAnsi"/>
                <w:sz w:val="16"/>
                <w:szCs w:val="16"/>
              </w:rPr>
              <w:tab/>
            </w:r>
          </w:p>
        </w:tc>
        <w:tc>
          <w:tcPr>
            <w:tcW w:w="2089" w:type="dxa"/>
          </w:tcPr>
          <w:p w14:paraId="7E263E3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lastRenderedPageBreak/>
              <w:t>Consumo de energia elétrica per capita dos servidores públicos</w:t>
            </w:r>
          </w:p>
        </w:tc>
        <w:tc>
          <w:tcPr>
            <w:tcW w:w="0" w:type="auto"/>
          </w:tcPr>
          <w:p w14:paraId="1C2DC70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 xml:space="preserve">Quantidade de kWh consumidos / </w:t>
            </w:r>
            <w:r w:rsidRPr="0018548E">
              <w:rPr>
                <w:rFonts w:cstheme="majorHAnsi"/>
                <w:sz w:val="16"/>
                <w:szCs w:val="16"/>
              </w:rPr>
              <w:lastRenderedPageBreak/>
              <w:t>número total de servidores</w:t>
            </w:r>
          </w:p>
        </w:tc>
        <w:tc>
          <w:tcPr>
            <w:tcW w:w="0" w:type="auto"/>
          </w:tcPr>
          <w:p w14:paraId="23394BE9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lastRenderedPageBreak/>
              <w:t xml:space="preserve">Representando 100% do consumo </w:t>
            </w:r>
            <w:r w:rsidRPr="0018548E">
              <w:rPr>
                <w:rFonts w:cstheme="majorHAnsi"/>
                <w:sz w:val="16"/>
                <w:szCs w:val="16"/>
                <w:lang w:eastAsia="en-US"/>
              </w:rPr>
              <w:lastRenderedPageBreak/>
              <w:t>(mensal e semestral)</w:t>
            </w:r>
          </w:p>
        </w:tc>
        <w:tc>
          <w:tcPr>
            <w:tcW w:w="0" w:type="auto"/>
          </w:tcPr>
          <w:p w14:paraId="6821E07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lastRenderedPageBreak/>
              <w:t>Entrada em vigor</w:t>
            </w:r>
          </w:p>
        </w:tc>
        <w:tc>
          <w:tcPr>
            <w:tcW w:w="0" w:type="auto"/>
          </w:tcPr>
          <w:p w14:paraId="76AE1A1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102CAA4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C8DDE7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99CE95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3B1054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92437A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1D76F63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7D0E7A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7D3907C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24F968C0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EXT_Obj7_Act6</w:t>
            </w:r>
          </w:p>
        </w:tc>
        <w:tc>
          <w:tcPr>
            <w:tcW w:w="1883" w:type="dxa"/>
          </w:tcPr>
          <w:p w14:paraId="0F345C9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consumo mensal de energia elétrica per capita da comunidade (servidores públicos, estudantes e terceirizados)</w:t>
            </w:r>
          </w:p>
        </w:tc>
        <w:tc>
          <w:tcPr>
            <w:tcW w:w="2089" w:type="dxa"/>
          </w:tcPr>
          <w:p w14:paraId="66D0508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Consumo per capita de energia elétrica pela comunidade (servidores públicos, estudantes e terceirizados)</w:t>
            </w:r>
          </w:p>
        </w:tc>
        <w:tc>
          <w:tcPr>
            <w:tcW w:w="0" w:type="auto"/>
          </w:tcPr>
          <w:p w14:paraId="60AE8F8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Quantidade de kwh consumida / total da comunidade (funcionários, estudantes e terceirizados)</w:t>
            </w:r>
          </w:p>
        </w:tc>
        <w:tc>
          <w:tcPr>
            <w:tcW w:w="0" w:type="auto"/>
          </w:tcPr>
          <w:p w14:paraId="23C42BBF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37CEF6B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19DC548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34A47F4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5B3FA1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48E5E1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4BD278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7A200D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2D081F8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BAEB14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1C2CEB56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3A5ADEE2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BAS_Obj7_Act7</w:t>
            </w:r>
          </w:p>
        </w:tc>
        <w:tc>
          <w:tcPr>
            <w:tcW w:w="1883" w:type="dxa"/>
          </w:tcPr>
          <w:p w14:paraId="4B2544E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Monitorar e gerenciar o contrato de demanda (fora de ponta)</w:t>
            </w:r>
          </w:p>
        </w:tc>
        <w:tc>
          <w:tcPr>
            <w:tcW w:w="2089" w:type="dxa"/>
          </w:tcPr>
          <w:p w14:paraId="6FD1A36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Adequação do contrato de demanda (fora de ponta)</w:t>
            </w:r>
          </w:p>
        </w:tc>
        <w:tc>
          <w:tcPr>
            <w:tcW w:w="0" w:type="auto"/>
          </w:tcPr>
          <w:p w14:paraId="5877149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Demanda fora do horário de pico registrada / Demanda fora do horário de pico contratada</w:t>
            </w:r>
          </w:p>
        </w:tc>
        <w:tc>
          <w:tcPr>
            <w:tcW w:w="0" w:type="auto"/>
          </w:tcPr>
          <w:p w14:paraId="6B5EB5A8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2B6BDA1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639A086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2741612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238500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56243D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5D0F37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C18A85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0900087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151DA3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37CB534A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024D120B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BAS_Obj7_Act8</w:t>
            </w:r>
          </w:p>
        </w:tc>
        <w:tc>
          <w:tcPr>
            <w:tcW w:w="1883" w:type="dxa"/>
          </w:tcPr>
          <w:p w14:paraId="61B9F4A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Monitorar e gerenciar o contrato de demanda (carga de pico)</w:t>
            </w:r>
          </w:p>
        </w:tc>
        <w:tc>
          <w:tcPr>
            <w:tcW w:w="2089" w:type="dxa"/>
          </w:tcPr>
          <w:p w14:paraId="35EAAD0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Adequação do Contrato de Demanda (Pico)</w:t>
            </w:r>
          </w:p>
        </w:tc>
        <w:tc>
          <w:tcPr>
            <w:tcW w:w="0" w:type="auto"/>
          </w:tcPr>
          <w:p w14:paraId="06FC4BD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Pico de demanda registrada / Pico de demanda contratada</w:t>
            </w:r>
          </w:p>
        </w:tc>
        <w:tc>
          <w:tcPr>
            <w:tcW w:w="0" w:type="auto"/>
          </w:tcPr>
          <w:p w14:paraId="17F66BB2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638E576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66BC6FD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661BB8B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08A190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CEDEAA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E4F870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BFBA4C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3FEE527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4DDB09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431E534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0E470298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BAS_Obj7_Act9</w:t>
            </w:r>
          </w:p>
        </w:tc>
        <w:tc>
          <w:tcPr>
            <w:tcW w:w="1883" w:type="dxa"/>
          </w:tcPr>
          <w:p w14:paraId="553B4A5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Gasto com energia por área total</w:t>
            </w:r>
          </w:p>
        </w:tc>
        <w:tc>
          <w:tcPr>
            <w:tcW w:w="2089" w:type="dxa"/>
          </w:tcPr>
          <w:p w14:paraId="5EA01CF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Gasto de energia por área</w:t>
            </w:r>
          </w:p>
        </w:tc>
        <w:tc>
          <w:tcPr>
            <w:tcW w:w="0" w:type="auto"/>
          </w:tcPr>
          <w:p w14:paraId="3F83E10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Despesas em R$ / área total</w:t>
            </w:r>
          </w:p>
        </w:tc>
        <w:tc>
          <w:tcPr>
            <w:tcW w:w="0" w:type="auto"/>
          </w:tcPr>
          <w:p w14:paraId="415CDDAD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Representando 100% do consumo (mensal e semestral)</w:t>
            </w:r>
          </w:p>
        </w:tc>
        <w:tc>
          <w:tcPr>
            <w:tcW w:w="0" w:type="auto"/>
          </w:tcPr>
          <w:p w14:paraId="22B113A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7E4BFDC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4452BA4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4C0A4E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D8443A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62568C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430F90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75CE428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4DA3B3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51CEADBC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7D6D50E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883" w:type="dxa"/>
          </w:tcPr>
          <w:p w14:paraId="65C6DCF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089" w:type="dxa"/>
          </w:tcPr>
          <w:p w14:paraId="1918624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77EF02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BCF97AE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25FAB8B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E8C26E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1BD6C8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AF8124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9E265A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D63383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270BA2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9A21CB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B35962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7734ACD8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00EBF578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2: Promover a redução do uso</w:t>
            </w:r>
          </w:p>
        </w:tc>
      </w:tr>
      <w:tr w:rsidR="001E49FB" w:rsidRPr="001A558F" w14:paraId="595BAC85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3AD7D9C6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EXT_OBJ7_Act10</w:t>
            </w:r>
          </w:p>
        </w:tc>
        <w:tc>
          <w:tcPr>
            <w:tcW w:w="1883" w:type="dxa"/>
          </w:tcPr>
          <w:p w14:paraId="05CA575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Incentivar estudos que analisem a viabilidade de fontes alternativas de energia (solar, termelétrica e eólica)</w:t>
            </w:r>
          </w:p>
        </w:tc>
        <w:tc>
          <w:tcPr>
            <w:tcW w:w="2089" w:type="dxa"/>
          </w:tcPr>
          <w:p w14:paraId="3E84CF3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Análise da viabilidade de fontes alternativas de energia (solar, termelétrica e eólica)</w:t>
            </w:r>
          </w:p>
          <w:p w14:paraId="080D3B9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EB3801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Desenvolvimento de pelo menos um estudo sobre fontes alternativas de energia na IES</w:t>
            </w:r>
          </w:p>
        </w:tc>
        <w:tc>
          <w:tcPr>
            <w:tcW w:w="0" w:type="auto"/>
          </w:tcPr>
          <w:p w14:paraId="4746F98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8E0A3C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CF74E4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681C1F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AFC17D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42AB85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5EFC94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B08E46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F2E63A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1B21EF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018CE29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2CF657A3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3 – Campanhas SD</w:t>
            </w:r>
          </w:p>
        </w:tc>
      </w:tr>
      <w:tr w:rsidR="001E49FB" w:rsidRPr="0018548E" w14:paraId="58AB08B1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14DD23DB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EXT_OBJ7_Act11</w:t>
            </w:r>
          </w:p>
        </w:tc>
        <w:tc>
          <w:tcPr>
            <w:tcW w:w="1883" w:type="dxa"/>
          </w:tcPr>
          <w:p w14:paraId="02B5451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Desenvolver campanha para o uso racional da energia elétrica</w:t>
            </w:r>
          </w:p>
        </w:tc>
        <w:tc>
          <w:tcPr>
            <w:tcW w:w="2089" w:type="dxa"/>
          </w:tcPr>
          <w:p w14:paraId="7F28D2C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Campanhas de educação ambiental para o consumo de energia elétrica</w:t>
            </w:r>
          </w:p>
        </w:tc>
        <w:tc>
          <w:tcPr>
            <w:tcW w:w="0" w:type="auto"/>
          </w:tcPr>
          <w:p w14:paraId="5C2B9DD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Ter pelo menos 4 campanhas criadas por semestre (contínuas)</w:t>
            </w:r>
          </w:p>
        </w:tc>
        <w:tc>
          <w:tcPr>
            <w:tcW w:w="0" w:type="auto"/>
          </w:tcPr>
          <w:p w14:paraId="1053EDA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ED09BE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23FA836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5C90CC9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A053DC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61EF5D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CCA4C6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7E25C8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20518C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</w:tcPr>
          <w:p w14:paraId="7893C9A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219FD9A4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4795B06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883" w:type="dxa"/>
          </w:tcPr>
          <w:p w14:paraId="2EA5BE2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089" w:type="dxa"/>
          </w:tcPr>
          <w:p w14:paraId="277D019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1B2B76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032B11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3C00AC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96991B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206E54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D96B48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999644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CA9F18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EA2D4A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7C4EF0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9118EC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0C6D1E88" w14:textId="77777777" w:rsidR="001E49FB" w:rsidRPr="0018548E" w:rsidRDefault="001E49FB" w:rsidP="001E49FB">
      <w:pPr>
        <w:pStyle w:val="TeseCorpo"/>
        <w:spacing w:line="240" w:lineRule="auto"/>
        <w:rPr>
          <w:i/>
          <w:lang w:val="en-GB" w:eastAsia="pt-PT"/>
        </w:rPr>
      </w:pPr>
    </w:p>
    <w:p w14:paraId="23C1F0B9" w14:textId="77777777" w:rsidR="001E49FB" w:rsidRPr="0018548E" w:rsidRDefault="001E49FB" w:rsidP="001E49FB">
      <w:pPr>
        <w:pStyle w:val="Legenda"/>
        <w:keepNext/>
        <w:spacing w:line="240" w:lineRule="auto"/>
        <w:rPr>
          <w:lang w:val="en-GB"/>
        </w:rPr>
      </w:pPr>
      <w:bookmarkStart w:id="7" w:name="_Toc161614510"/>
      <w:r w:rsidRPr="0018548E">
        <w:t xml:space="preserve">Mesa </w:t>
      </w:r>
      <w:r w:rsidRPr="0018548E">
        <w:fldChar w:fldCharType="begin"/>
      </w:r>
      <w:r w:rsidRPr="0018548E">
        <w:instrText xml:space="preserve"> STYLEREF 1 \s </w:instrText>
      </w:r>
      <w:r w:rsidRPr="0018548E">
        <w:fldChar w:fldCharType="separate"/>
      </w:r>
      <w:r>
        <w:rPr>
          <w:noProof/>
        </w:rPr>
        <w:t>9</w:t>
      </w:r>
      <w:r w:rsidRPr="0018548E">
        <w:fldChar w:fldCharType="end"/>
      </w:r>
      <w:r w:rsidRPr="0018548E">
        <w:noBreakHyphen/>
      </w:r>
      <w:r w:rsidRPr="0018548E">
        <w:fldChar w:fldCharType="begin"/>
      </w:r>
      <w:r w:rsidRPr="0018548E">
        <w:instrText xml:space="preserve"> SEQ Table \* ARABIC \s 1 </w:instrText>
      </w:r>
      <w:r w:rsidRPr="0018548E">
        <w:fldChar w:fldCharType="separate"/>
      </w:r>
      <w:r>
        <w:rPr>
          <w:noProof/>
        </w:rPr>
        <w:t>22</w:t>
      </w:r>
      <w:r w:rsidRPr="0018548E">
        <w:fldChar w:fldCharType="end"/>
      </w:r>
      <w:r w:rsidRPr="0018548E">
        <w:t xml:space="preserve"> - Plano de ação para a dimensão 3.2 - Água</w:t>
      </w:r>
      <w:bookmarkEnd w:id="7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74"/>
        <w:gridCol w:w="2251"/>
        <w:gridCol w:w="1953"/>
        <w:gridCol w:w="1414"/>
        <w:gridCol w:w="1171"/>
        <w:gridCol w:w="801"/>
        <w:gridCol w:w="813"/>
        <w:gridCol w:w="574"/>
        <w:gridCol w:w="574"/>
        <w:gridCol w:w="574"/>
        <w:gridCol w:w="574"/>
        <w:gridCol w:w="574"/>
        <w:gridCol w:w="517"/>
        <w:gridCol w:w="838"/>
      </w:tblGrid>
      <w:tr w:rsidR="001E49FB" w:rsidRPr="0018548E" w14:paraId="50DBC435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0B050"/>
          </w:tcPr>
          <w:p w14:paraId="623CA719" w14:textId="77777777" w:rsidR="001E49FB" w:rsidRPr="0018548E" w:rsidRDefault="001E49FB" w:rsidP="001E49FB">
            <w:pPr>
              <w:spacing w:line="240" w:lineRule="auto"/>
              <w:rPr>
                <w:color w:val="FFFFFF" w:themeColor="background1"/>
                <w:sz w:val="18"/>
                <w:szCs w:val="18"/>
                <w:lang w:val="en-GB"/>
              </w:rPr>
            </w:pPr>
            <w:r w:rsidRPr="0018548E">
              <w:rPr>
                <w:rFonts w:cs="Calibri"/>
                <w:color w:val="FFFFFF" w:themeColor="background1"/>
                <w:sz w:val="20"/>
                <w:szCs w:val="20"/>
              </w:rPr>
              <w:t>PLANO DE AÇÃO - Água</w:t>
            </w:r>
          </w:p>
        </w:tc>
        <w:tc>
          <w:tcPr>
            <w:tcW w:w="0" w:type="auto"/>
            <w:shd w:val="clear" w:color="auto" w:fill="00B050"/>
          </w:tcPr>
          <w:p w14:paraId="4BE34545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68E54414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E718F34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258F92DC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001DB04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23BDACE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D45ED13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EA4BC62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3D77F5A7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1A02FF78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Objetivo 8 – Estabelecer práticas sustentáveis para a água</w:t>
            </w:r>
          </w:p>
        </w:tc>
        <w:tc>
          <w:tcPr>
            <w:tcW w:w="0" w:type="auto"/>
          </w:tcPr>
          <w:p w14:paraId="000F6CC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6ACBA02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0CC881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618D7BD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0BD5151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0896E45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FC3381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F4BE40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2E0155BC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3E17CCFA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lastRenderedPageBreak/>
              <w:t>Dimensão 1: Quantificar e monitorar o consumo</w:t>
            </w:r>
          </w:p>
        </w:tc>
        <w:tc>
          <w:tcPr>
            <w:tcW w:w="0" w:type="auto"/>
          </w:tcPr>
          <w:p w14:paraId="321F6D5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5"/>
          </w:tcPr>
          <w:p w14:paraId="7AB23FE6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</w:rPr>
              <w:t>LINHA DO TEMPO</w:t>
            </w:r>
          </w:p>
        </w:tc>
        <w:tc>
          <w:tcPr>
            <w:tcW w:w="0" w:type="auto"/>
          </w:tcPr>
          <w:p w14:paraId="234A5B9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6A834D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422EF569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442D78E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305" w:type="dxa"/>
          </w:tcPr>
          <w:p w14:paraId="1354164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Ação</w:t>
            </w:r>
          </w:p>
        </w:tc>
        <w:tc>
          <w:tcPr>
            <w:tcW w:w="1984" w:type="dxa"/>
          </w:tcPr>
          <w:p w14:paraId="1BE7D51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Nome do indicador</w:t>
            </w:r>
          </w:p>
        </w:tc>
        <w:tc>
          <w:tcPr>
            <w:tcW w:w="1418" w:type="dxa"/>
          </w:tcPr>
          <w:p w14:paraId="27E6ED1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Métrica</w:t>
            </w:r>
          </w:p>
        </w:tc>
        <w:tc>
          <w:tcPr>
            <w:tcW w:w="1182" w:type="dxa"/>
          </w:tcPr>
          <w:p w14:paraId="61231A8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Objetivo (Período)</w:t>
            </w:r>
          </w:p>
        </w:tc>
        <w:tc>
          <w:tcPr>
            <w:tcW w:w="0" w:type="auto"/>
          </w:tcPr>
          <w:p w14:paraId="1ABD47D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Começar</w:t>
            </w:r>
          </w:p>
        </w:tc>
        <w:tc>
          <w:tcPr>
            <w:tcW w:w="0" w:type="auto"/>
          </w:tcPr>
          <w:p w14:paraId="6A7AEA8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Fim</w:t>
            </w:r>
          </w:p>
        </w:tc>
        <w:tc>
          <w:tcPr>
            <w:tcW w:w="0" w:type="auto"/>
          </w:tcPr>
          <w:p w14:paraId="0884704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1</w:t>
            </w:r>
          </w:p>
        </w:tc>
        <w:tc>
          <w:tcPr>
            <w:tcW w:w="0" w:type="auto"/>
          </w:tcPr>
          <w:p w14:paraId="5BD3F37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2</w:t>
            </w:r>
          </w:p>
        </w:tc>
        <w:tc>
          <w:tcPr>
            <w:tcW w:w="0" w:type="auto"/>
          </w:tcPr>
          <w:p w14:paraId="6D30D5E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3</w:t>
            </w:r>
          </w:p>
        </w:tc>
        <w:tc>
          <w:tcPr>
            <w:tcW w:w="0" w:type="auto"/>
          </w:tcPr>
          <w:p w14:paraId="0589FFE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4</w:t>
            </w:r>
          </w:p>
        </w:tc>
        <w:tc>
          <w:tcPr>
            <w:tcW w:w="0" w:type="auto"/>
          </w:tcPr>
          <w:p w14:paraId="1A2B927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5</w:t>
            </w:r>
          </w:p>
        </w:tc>
        <w:tc>
          <w:tcPr>
            <w:tcW w:w="0" w:type="auto"/>
          </w:tcPr>
          <w:p w14:paraId="149FC77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</w:tcPr>
          <w:p w14:paraId="50B4C67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SI</w:t>
            </w:r>
          </w:p>
        </w:tc>
      </w:tr>
      <w:tr w:rsidR="001E49FB" w:rsidRPr="0018548E" w14:paraId="6DB088A0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shd w:val="clear" w:color="auto" w:fill="auto"/>
          </w:tcPr>
          <w:p w14:paraId="1E8994B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BAS_Obj8_Act1</w:t>
            </w:r>
          </w:p>
        </w:tc>
        <w:tc>
          <w:tcPr>
            <w:tcW w:w="2305" w:type="dxa"/>
          </w:tcPr>
          <w:p w14:paraId="1F1BD71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volume de água consumido mensalmente</w:t>
            </w:r>
          </w:p>
        </w:tc>
        <w:tc>
          <w:tcPr>
            <w:tcW w:w="1984" w:type="dxa"/>
          </w:tcPr>
          <w:p w14:paraId="0A17BC0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Volume de água utilizado</w:t>
            </w:r>
          </w:p>
        </w:tc>
        <w:tc>
          <w:tcPr>
            <w:tcW w:w="1418" w:type="dxa"/>
          </w:tcPr>
          <w:p w14:paraId="4B94A87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Quantidade de m³ de água</w:t>
            </w:r>
          </w:p>
        </w:tc>
        <w:tc>
          <w:tcPr>
            <w:tcW w:w="1182" w:type="dxa"/>
          </w:tcPr>
          <w:p w14:paraId="210EB95D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4CE9F51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466D023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5EFB106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0B06AF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B04B77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EFEFE0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763925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1F1872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</w:tcPr>
          <w:p w14:paraId="79DB509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PROPLAN</w:t>
            </w:r>
          </w:p>
        </w:tc>
      </w:tr>
      <w:tr w:rsidR="001E49FB" w:rsidRPr="0018548E" w14:paraId="6D215121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shd w:val="clear" w:color="auto" w:fill="auto"/>
          </w:tcPr>
          <w:p w14:paraId="28764A0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BAS_Obj8_Act2</w:t>
            </w:r>
          </w:p>
        </w:tc>
        <w:tc>
          <w:tcPr>
            <w:tcW w:w="2305" w:type="dxa"/>
          </w:tcPr>
          <w:p w14:paraId="5D03AC2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volume per capita de água consumido mensalmente pelos servidores públicos</w:t>
            </w:r>
          </w:p>
        </w:tc>
        <w:tc>
          <w:tcPr>
            <w:tcW w:w="1984" w:type="dxa"/>
          </w:tcPr>
          <w:p w14:paraId="70F0A01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Volume per capita de água dos servidores públicos</w:t>
            </w:r>
            <w:r w:rsidRPr="0018548E">
              <w:rPr>
                <w:rFonts w:cstheme="majorHAnsi"/>
                <w:sz w:val="16"/>
                <w:szCs w:val="16"/>
              </w:rPr>
              <w:tab/>
            </w:r>
          </w:p>
          <w:p w14:paraId="5A3BAF6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418" w:type="dxa"/>
          </w:tcPr>
          <w:p w14:paraId="3EC61E0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Quantidade de m³ de água/número total de servidores</w:t>
            </w:r>
          </w:p>
        </w:tc>
        <w:tc>
          <w:tcPr>
            <w:tcW w:w="1182" w:type="dxa"/>
          </w:tcPr>
          <w:p w14:paraId="5179B653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45545D3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50885F9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1AC7290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57E965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45B41E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BFD209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8D979C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A22D26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4EE182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568F7399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shd w:val="clear" w:color="auto" w:fill="auto"/>
          </w:tcPr>
          <w:p w14:paraId="32324B69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EXT_Obj8_Act3</w:t>
            </w:r>
          </w:p>
        </w:tc>
        <w:tc>
          <w:tcPr>
            <w:tcW w:w="2305" w:type="dxa"/>
          </w:tcPr>
          <w:p w14:paraId="4E83CEB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volume per capita de água consumido mensalmente pela comunidade (funcionários, estudantes e terceirizados)</w:t>
            </w:r>
            <w:r w:rsidRPr="0018548E">
              <w:rPr>
                <w:rFonts w:cstheme="majorHAnsi"/>
                <w:sz w:val="16"/>
                <w:szCs w:val="16"/>
              </w:rPr>
              <w:tab/>
            </w:r>
          </w:p>
        </w:tc>
        <w:tc>
          <w:tcPr>
            <w:tcW w:w="1984" w:type="dxa"/>
          </w:tcPr>
          <w:p w14:paraId="319D241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Volume per capita de água pela comunidade (empregados, estudantes e terceirizados)</w:t>
            </w:r>
          </w:p>
        </w:tc>
        <w:tc>
          <w:tcPr>
            <w:tcW w:w="1418" w:type="dxa"/>
          </w:tcPr>
          <w:p w14:paraId="747E13E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Quantidade de m³ de água/ total de membros da comunidade</w:t>
            </w:r>
          </w:p>
        </w:tc>
        <w:tc>
          <w:tcPr>
            <w:tcW w:w="1182" w:type="dxa"/>
          </w:tcPr>
          <w:p w14:paraId="23CEF37E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555FE97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5B8B3E2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07DC87E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255AC8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BC8EFE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6A7DBC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0A7A5A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A8BE11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348451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1814601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shd w:val="clear" w:color="auto" w:fill="auto"/>
          </w:tcPr>
          <w:p w14:paraId="5852922B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BAS_Obj8_Act4</w:t>
            </w:r>
          </w:p>
        </w:tc>
        <w:tc>
          <w:tcPr>
            <w:tcW w:w="2305" w:type="dxa"/>
          </w:tcPr>
          <w:p w14:paraId="72BE507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gasto mensal, em reais, com o abastecimento de água</w:t>
            </w:r>
          </w:p>
        </w:tc>
        <w:tc>
          <w:tcPr>
            <w:tcW w:w="1984" w:type="dxa"/>
          </w:tcPr>
          <w:p w14:paraId="0A20CA3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Despesas com água</w:t>
            </w:r>
          </w:p>
          <w:p w14:paraId="26FA0DE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418" w:type="dxa"/>
          </w:tcPr>
          <w:p w14:paraId="61F4F93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Valor da fatura em BRL (R$)</w:t>
            </w:r>
          </w:p>
        </w:tc>
        <w:tc>
          <w:tcPr>
            <w:tcW w:w="1182" w:type="dxa"/>
          </w:tcPr>
          <w:p w14:paraId="0E089A35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7B1088B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4459CDC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44389B3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AA78F3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92DB24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91C44D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C892AF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543320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DE33BF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3591D8C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shd w:val="clear" w:color="auto" w:fill="auto"/>
          </w:tcPr>
          <w:p w14:paraId="37678030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BAS_Obj8_Act5</w:t>
            </w:r>
          </w:p>
        </w:tc>
        <w:tc>
          <w:tcPr>
            <w:tcW w:w="2305" w:type="dxa"/>
          </w:tcPr>
          <w:p w14:paraId="18AD738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gasto mensal per capita com abastecimento de água, em reais, dos servidores públicos</w:t>
            </w:r>
          </w:p>
        </w:tc>
        <w:tc>
          <w:tcPr>
            <w:tcW w:w="1984" w:type="dxa"/>
          </w:tcPr>
          <w:p w14:paraId="5135BD7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Gastos per capita dos servidores com água</w:t>
            </w:r>
          </w:p>
        </w:tc>
        <w:tc>
          <w:tcPr>
            <w:tcW w:w="1418" w:type="dxa"/>
          </w:tcPr>
          <w:p w14:paraId="15B2334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Valor da fatura em BRL (R$) / servidores públicos</w:t>
            </w:r>
          </w:p>
        </w:tc>
        <w:tc>
          <w:tcPr>
            <w:tcW w:w="1182" w:type="dxa"/>
          </w:tcPr>
          <w:p w14:paraId="70661BB5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1841E4B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32EF308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1D2620F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ACB366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0F2569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BEFFA6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0651ED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25C585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BB6240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2AF13140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shd w:val="clear" w:color="auto" w:fill="auto"/>
          </w:tcPr>
          <w:p w14:paraId="3735D36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EXT_Obj8_Act6</w:t>
            </w:r>
          </w:p>
        </w:tc>
        <w:tc>
          <w:tcPr>
            <w:tcW w:w="2305" w:type="dxa"/>
          </w:tcPr>
          <w:p w14:paraId="26FD294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gasto mensal per capita com abastecimento de água, em reais, da comunidade (empregados, estudantes e terceirizados)</w:t>
            </w:r>
          </w:p>
        </w:tc>
        <w:tc>
          <w:tcPr>
            <w:tcW w:w="1984" w:type="dxa"/>
          </w:tcPr>
          <w:p w14:paraId="5926895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Gasto per capita com água pela comunidade (funcionários, estudantes e terceirizados)</w:t>
            </w:r>
            <w:r w:rsidRPr="0018548E">
              <w:rPr>
                <w:rFonts w:cstheme="majorHAnsi"/>
                <w:sz w:val="16"/>
                <w:szCs w:val="16"/>
              </w:rPr>
              <w:tab/>
            </w:r>
          </w:p>
        </w:tc>
        <w:tc>
          <w:tcPr>
            <w:tcW w:w="1418" w:type="dxa"/>
          </w:tcPr>
          <w:p w14:paraId="366F15E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Valor da fatura em BRL (R$) / comunidade (funcionários, alunos e terceirizados)</w:t>
            </w:r>
          </w:p>
        </w:tc>
        <w:tc>
          <w:tcPr>
            <w:tcW w:w="1182" w:type="dxa"/>
          </w:tcPr>
          <w:p w14:paraId="5EA76C0C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57E8E63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1CD5C93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5095240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493698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644ED4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D4EEF2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83A179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7A6F27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AAF879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1EFCC4DB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</w:tcPr>
          <w:p w14:paraId="01FB4117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2: Promover a redução do uso</w:t>
            </w:r>
          </w:p>
        </w:tc>
      </w:tr>
      <w:tr w:rsidR="001E49FB" w:rsidRPr="0018548E" w14:paraId="594DCE75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218D38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EXT_Obj8_Act7</w:t>
            </w:r>
          </w:p>
        </w:tc>
        <w:tc>
          <w:tcPr>
            <w:tcW w:w="2305" w:type="dxa"/>
          </w:tcPr>
          <w:p w14:paraId="6D79092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Desenvolver um canal de comunicação para a comunidade informar sobre vazamentos de água</w:t>
            </w:r>
          </w:p>
        </w:tc>
        <w:tc>
          <w:tcPr>
            <w:tcW w:w="1984" w:type="dxa"/>
          </w:tcPr>
          <w:p w14:paraId="57615F8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Canal de comunicação sobre vazamentos de água</w:t>
            </w:r>
          </w:p>
        </w:tc>
        <w:tc>
          <w:tcPr>
            <w:tcW w:w="1418" w:type="dxa"/>
          </w:tcPr>
          <w:p w14:paraId="4D9AC52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Identificar a existência de um canal de comunicação sobre vazamentos de água</w:t>
            </w:r>
          </w:p>
        </w:tc>
        <w:tc>
          <w:tcPr>
            <w:tcW w:w="1182" w:type="dxa"/>
          </w:tcPr>
          <w:p w14:paraId="4589BCA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0177D4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302DFD7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6F625F1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BE664B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0B2DAC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87F1E3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FB7FB3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02DBD9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5CECAF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39DF0E01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</w:tcPr>
          <w:p w14:paraId="18F63F17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3 – Campanhas SD</w:t>
            </w:r>
          </w:p>
        </w:tc>
      </w:tr>
      <w:tr w:rsidR="001E49FB" w:rsidRPr="0018548E" w14:paraId="6317B9FE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shd w:val="clear" w:color="auto" w:fill="auto"/>
          </w:tcPr>
          <w:p w14:paraId="3D28FC21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EXT_Obj8_Act8</w:t>
            </w:r>
          </w:p>
        </w:tc>
        <w:tc>
          <w:tcPr>
            <w:tcW w:w="2305" w:type="dxa"/>
          </w:tcPr>
          <w:p w14:paraId="685D479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Desenvolver uma campanha para o uso racional da água</w:t>
            </w:r>
          </w:p>
        </w:tc>
        <w:tc>
          <w:tcPr>
            <w:tcW w:w="1984" w:type="dxa"/>
          </w:tcPr>
          <w:p w14:paraId="5D8F6DC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Campanhas para promover o desenvolvimento sustentável para o consumo de água</w:t>
            </w:r>
          </w:p>
        </w:tc>
        <w:tc>
          <w:tcPr>
            <w:tcW w:w="1418" w:type="dxa"/>
          </w:tcPr>
          <w:p w14:paraId="6272440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Número de campanhas de desenvolvimento sustentável criadas para o uso racional da água</w:t>
            </w:r>
          </w:p>
        </w:tc>
        <w:tc>
          <w:tcPr>
            <w:tcW w:w="1182" w:type="dxa"/>
          </w:tcPr>
          <w:p w14:paraId="54A996B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Ter pelo menos 4 campanhas criadas por semestre (contínuas)</w:t>
            </w:r>
          </w:p>
        </w:tc>
        <w:tc>
          <w:tcPr>
            <w:tcW w:w="0" w:type="auto"/>
          </w:tcPr>
          <w:p w14:paraId="0908BFB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2FAF3D9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70D9FA6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569397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0CF16B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3A6A3F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AED643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02A8D3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</w:tcPr>
          <w:p w14:paraId="2B792F4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20472123" w14:textId="77777777" w:rsidR="001E49FB" w:rsidRPr="0018548E" w:rsidRDefault="001E49FB" w:rsidP="001E49FB">
      <w:pPr>
        <w:pStyle w:val="TeseCorpo"/>
        <w:spacing w:line="240" w:lineRule="auto"/>
        <w:rPr>
          <w:i/>
          <w:iCs/>
          <w:lang w:val="en-GB" w:eastAsia="pt-PT"/>
        </w:rPr>
      </w:pPr>
    </w:p>
    <w:p w14:paraId="2EB80DE0" w14:textId="77777777" w:rsidR="001E49FB" w:rsidRPr="0018548E" w:rsidRDefault="001E49FB" w:rsidP="001E49FB">
      <w:pPr>
        <w:pStyle w:val="Legenda"/>
        <w:keepNext/>
        <w:spacing w:line="240" w:lineRule="auto"/>
        <w:rPr>
          <w:lang w:val="en-GB"/>
        </w:rPr>
      </w:pPr>
      <w:bookmarkStart w:id="8" w:name="_Toc161614513"/>
      <w:r w:rsidRPr="0018548E">
        <w:lastRenderedPageBreak/>
        <w:t xml:space="preserve">Mesa </w:t>
      </w:r>
      <w:r w:rsidRPr="0018548E">
        <w:fldChar w:fldCharType="begin"/>
      </w:r>
      <w:r w:rsidRPr="0018548E">
        <w:instrText xml:space="preserve"> STYLEREF 1 \s </w:instrText>
      </w:r>
      <w:r w:rsidRPr="0018548E">
        <w:fldChar w:fldCharType="separate"/>
      </w:r>
      <w:r>
        <w:rPr>
          <w:noProof/>
        </w:rPr>
        <w:t>9</w:t>
      </w:r>
      <w:r w:rsidRPr="0018548E">
        <w:fldChar w:fldCharType="end"/>
      </w:r>
      <w:r w:rsidRPr="0018548E">
        <w:noBreakHyphen/>
      </w:r>
      <w:r w:rsidRPr="0018548E">
        <w:fldChar w:fldCharType="begin"/>
      </w:r>
      <w:r w:rsidRPr="0018548E">
        <w:instrText xml:space="preserve"> SEQ Table \* ARABIC \s 1 </w:instrText>
      </w:r>
      <w:r w:rsidRPr="0018548E">
        <w:fldChar w:fldCharType="separate"/>
      </w:r>
      <w:r>
        <w:rPr>
          <w:noProof/>
        </w:rPr>
        <w:t>25</w:t>
      </w:r>
      <w:r w:rsidRPr="0018548E">
        <w:fldChar w:fldCharType="end"/>
      </w:r>
      <w:r w:rsidRPr="0018548E">
        <w:t xml:space="preserve"> - Plano de acção para a dimensão 3.3 - Resíduos</w:t>
      </w:r>
      <w:bookmarkEnd w:id="8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76"/>
        <w:gridCol w:w="1862"/>
        <w:gridCol w:w="1963"/>
        <w:gridCol w:w="1826"/>
        <w:gridCol w:w="1136"/>
        <w:gridCol w:w="801"/>
        <w:gridCol w:w="813"/>
        <w:gridCol w:w="574"/>
        <w:gridCol w:w="574"/>
        <w:gridCol w:w="574"/>
        <w:gridCol w:w="574"/>
        <w:gridCol w:w="574"/>
        <w:gridCol w:w="517"/>
        <w:gridCol w:w="838"/>
      </w:tblGrid>
      <w:tr w:rsidR="001E49FB" w:rsidRPr="0018548E" w14:paraId="66BE3ECF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0B050"/>
          </w:tcPr>
          <w:p w14:paraId="65F90E09" w14:textId="77777777" w:rsidR="001E49FB" w:rsidRPr="0018548E" w:rsidRDefault="001E49FB" w:rsidP="001E49FB">
            <w:pPr>
              <w:spacing w:line="240" w:lineRule="auto"/>
              <w:rPr>
                <w:color w:val="FFFFFF" w:themeColor="background1"/>
                <w:sz w:val="18"/>
                <w:szCs w:val="18"/>
                <w:lang w:val="en-GB"/>
              </w:rPr>
            </w:pPr>
            <w:r w:rsidRPr="0018548E">
              <w:rPr>
                <w:rFonts w:cs="Calibri"/>
                <w:color w:val="FFFFFF" w:themeColor="background1"/>
                <w:sz w:val="20"/>
                <w:szCs w:val="20"/>
              </w:rPr>
              <w:t>PLANO DE AÇÃO - Resíduos</w:t>
            </w:r>
          </w:p>
        </w:tc>
        <w:tc>
          <w:tcPr>
            <w:tcW w:w="0" w:type="auto"/>
            <w:shd w:val="clear" w:color="auto" w:fill="00B050"/>
          </w:tcPr>
          <w:p w14:paraId="1E9C49EF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6CCD276B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56E2CA9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EB3FB61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9BF839E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632913E5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9ED2DAE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5AFE3EDB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31065B84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2B7C7094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Objetivo 9 – Estabelecer práticas sustentáveis para os resíduos</w:t>
            </w:r>
          </w:p>
        </w:tc>
        <w:tc>
          <w:tcPr>
            <w:tcW w:w="0" w:type="auto"/>
          </w:tcPr>
          <w:p w14:paraId="5FF7AE6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BE9F6E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9B1440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408B60B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E0916D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DBE9E0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4C0936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AE2FCB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1E4B8D11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5BF198AA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1: Quantificar e monitorar o consumo</w:t>
            </w:r>
          </w:p>
        </w:tc>
        <w:tc>
          <w:tcPr>
            <w:tcW w:w="0" w:type="auto"/>
          </w:tcPr>
          <w:p w14:paraId="5E7A970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5"/>
          </w:tcPr>
          <w:p w14:paraId="20020A78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</w:rPr>
              <w:t>LINHA DO TEMPO</w:t>
            </w:r>
          </w:p>
        </w:tc>
        <w:tc>
          <w:tcPr>
            <w:tcW w:w="0" w:type="auto"/>
          </w:tcPr>
          <w:p w14:paraId="0958664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F586C9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2F951AB2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536F8A55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881" w:type="dxa"/>
          </w:tcPr>
          <w:p w14:paraId="791AD1D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Ação</w:t>
            </w:r>
          </w:p>
        </w:tc>
        <w:tc>
          <w:tcPr>
            <w:tcW w:w="1984" w:type="dxa"/>
          </w:tcPr>
          <w:p w14:paraId="14F0313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Nome do indicador</w:t>
            </w:r>
          </w:p>
        </w:tc>
        <w:tc>
          <w:tcPr>
            <w:tcW w:w="1843" w:type="dxa"/>
          </w:tcPr>
          <w:p w14:paraId="5D9BFEC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Métrica</w:t>
            </w:r>
          </w:p>
        </w:tc>
        <w:tc>
          <w:tcPr>
            <w:tcW w:w="1140" w:type="dxa"/>
          </w:tcPr>
          <w:p w14:paraId="448A6AF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Objetivo (Período)</w:t>
            </w:r>
          </w:p>
        </w:tc>
        <w:tc>
          <w:tcPr>
            <w:tcW w:w="0" w:type="auto"/>
          </w:tcPr>
          <w:p w14:paraId="0D37636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Começar</w:t>
            </w:r>
          </w:p>
        </w:tc>
        <w:tc>
          <w:tcPr>
            <w:tcW w:w="0" w:type="auto"/>
          </w:tcPr>
          <w:p w14:paraId="20EDF53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Fim</w:t>
            </w:r>
          </w:p>
        </w:tc>
        <w:tc>
          <w:tcPr>
            <w:tcW w:w="0" w:type="auto"/>
          </w:tcPr>
          <w:p w14:paraId="63E4DD5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1</w:t>
            </w:r>
          </w:p>
        </w:tc>
        <w:tc>
          <w:tcPr>
            <w:tcW w:w="0" w:type="auto"/>
          </w:tcPr>
          <w:p w14:paraId="5E0BA8A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2</w:t>
            </w:r>
          </w:p>
        </w:tc>
        <w:tc>
          <w:tcPr>
            <w:tcW w:w="0" w:type="auto"/>
          </w:tcPr>
          <w:p w14:paraId="0051A69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3</w:t>
            </w:r>
          </w:p>
        </w:tc>
        <w:tc>
          <w:tcPr>
            <w:tcW w:w="0" w:type="auto"/>
          </w:tcPr>
          <w:p w14:paraId="577006B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4</w:t>
            </w:r>
          </w:p>
        </w:tc>
        <w:tc>
          <w:tcPr>
            <w:tcW w:w="0" w:type="auto"/>
          </w:tcPr>
          <w:p w14:paraId="7FBE152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5</w:t>
            </w:r>
          </w:p>
        </w:tc>
        <w:tc>
          <w:tcPr>
            <w:tcW w:w="0" w:type="auto"/>
          </w:tcPr>
          <w:p w14:paraId="3A3EB21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</w:tcPr>
          <w:p w14:paraId="1243014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SI</w:t>
            </w:r>
          </w:p>
        </w:tc>
      </w:tr>
      <w:tr w:rsidR="001E49FB" w:rsidRPr="0018548E" w14:paraId="55C8B982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062DFBF4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BAS_Obj9_Act1</w:t>
            </w:r>
          </w:p>
        </w:tc>
        <w:tc>
          <w:tcPr>
            <w:tcW w:w="1881" w:type="dxa"/>
          </w:tcPr>
          <w:p w14:paraId="2D27789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volume mensal, em quilos, de papel destinado à reciclagem</w:t>
            </w:r>
          </w:p>
        </w:tc>
        <w:tc>
          <w:tcPr>
            <w:tcW w:w="1984" w:type="dxa"/>
          </w:tcPr>
          <w:p w14:paraId="5E49EE2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Destinação do papel para reciclagem</w:t>
            </w:r>
          </w:p>
          <w:p w14:paraId="5541477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</w:tcPr>
          <w:p w14:paraId="445EC9F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Quantidade (Kg) de papel destinado a reciclagem</w:t>
            </w:r>
          </w:p>
        </w:tc>
        <w:tc>
          <w:tcPr>
            <w:tcW w:w="1140" w:type="dxa"/>
          </w:tcPr>
          <w:p w14:paraId="0377C621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24F8A3F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71B6717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7F2B304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6E7019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73588F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BD4A75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824FAF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DBBC1D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</w:tcPr>
          <w:p w14:paraId="5707801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PROPLAN</w:t>
            </w:r>
          </w:p>
        </w:tc>
      </w:tr>
      <w:tr w:rsidR="001E49FB" w:rsidRPr="0018548E" w14:paraId="7F24D2E5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108185F3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BAS_Obj9_Act2</w:t>
            </w:r>
          </w:p>
        </w:tc>
        <w:tc>
          <w:tcPr>
            <w:tcW w:w="1881" w:type="dxa"/>
          </w:tcPr>
          <w:p w14:paraId="53FC66F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volume mensal, em quilos, de papelão destinado à reciclagem</w:t>
            </w:r>
          </w:p>
        </w:tc>
        <w:tc>
          <w:tcPr>
            <w:tcW w:w="1984" w:type="dxa"/>
          </w:tcPr>
          <w:p w14:paraId="1506C13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Destinação do papelão para reciclagem</w:t>
            </w:r>
          </w:p>
          <w:p w14:paraId="3F2FFAC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</w:tcPr>
          <w:p w14:paraId="2EB4984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Quantidade (Kg) de papelão destinado à reciclagem</w:t>
            </w:r>
          </w:p>
        </w:tc>
        <w:tc>
          <w:tcPr>
            <w:tcW w:w="1140" w:type="dxa"/>
          </w:tcPr>
          <w:p w14:paraId="6142E2E3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5E070B6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4F4D990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6EF4923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79AE8D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CE2EF8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90CA23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4B8792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40C2D6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2367B4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443ADC72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42BB958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BAS_Obj9_Act3</w:t>
            </w:r>
          </w:p>
        </w:tc>
        <w:tc>
          <w:tcPr>
            <w:tcW w:w="1881" w:type="dxa"/>
          </w:tcPr>
          <w:p w14:paraId="3165247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número mensal de toners destinados a reciclagem</w:t>
            </w:r>
          </w:p>
        </w:tc>
        <w:tc>
          <w:tcPr>
            <w:tcW w:w="1984" w:type="dxa"/>
          </w:tcPr>
          <w:p w14:paraId="1034550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Destino do toner para reciclagem</w:t>
            </w:r>
          </w:p>
        </w:tc>
        <w:tc>
          <w:tcPr>
            <w:tcW w:w="1843" w:type="dxa"/>
          </w:tcPr>
          <w:p w14:paraId="42ADB93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Quantidade (unidades) de toner destinado a reciclagem</w:t>
            </w:r>
          </w:p>
        </w:tc>
        <w:tc>
          <w:tcPr>
            <w:tcW w:w="1140" w:type="dxa"/>
          </w:tcPr>
          <w:p w14:paraId="1DA65EA0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1288E11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282FF55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52E3D71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9C0121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88373D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5FFFDB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8B5EE1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67BA53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07D5BE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3560788D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2127D81C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BAS_Obj9_Act4</w:t>
            </w:r>
          </w:p>
        </w:tc>
        <w:tc>
          <w:tcPr>
            <w:tcW w:w="1881" w:type="dxa"/>
          </w:tcPr>
          <w:p w14:paraId="109A63B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volume mensal, em quilos, de plásticos destinados à reciclagem.</w:t>
            </w:r>
          </w:p>
          <w:p w14:paraId="0DF0508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984" w:type="dxa"/>
          </w:tcPr>
          <w:p w14:paraId="574D235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Destinação do plástico para reciclagem</w:t>
            </w:r>
          </w:p>
        </w:tc>
        <w:tc>
          <w:tcPr>
            <w:tcW w:w="1843" w:type="dxa"/>
          </w:tcPr>
          <w:p w14:paraId="4552204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Quantidade (Kg) de plástico destinado a reciclagem</w:t>
            </w:r>
          </w:p>
        </w:tc>
        <w:tc>
          <w:tcPr>
            <w:tcW w:w="1140" w:type="dxa"/>
          </w:tcPr>
          <w:p w14:paraId="7AACB21B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4E39BB1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17CBDA0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0278ACA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A84D95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592A17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5485DC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443043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A06B40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E34A9B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174B3322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50FD783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BAS_Obj9_Act5</w:t>
            </w:r>
          </w:p>
        </w:tc>
        <w:tc>
          <w:tcPr>
            <w:tcW w:w="1881" w:type="dxa"/>
          </w:tcPr>
          <w:p w14:paraId="26FA8CC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volume total mensal, em quilogramas, de material destinado às cooperativas</w:t>
            </w:r>
          </w:p>
        </w:tc>
        <w:tc>
          <w:tcPr>
            <w:tcW w:w="1984" w:type="dxa"/>
          </w:tcPr>
          <w:p w14:paraId="74F7BF9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Material reciclável total destinado a cooperativas</w:t>
            </w:r>
          </w:p>
        </w:tc>
        <w:tc>
          <w:tcPr>
            <w:tcW w:w="1843" w:type="dxa"/>
          </w:tcPr>
          <w:p w14:paraId="5F7D725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Kg de papel + Kg de papelão + Kg de plástico + Kg de plástico destinado à reciclagem</w:t>
            </w:r>
          </w:p>
        </w:tc>
        <w:tc>
          <w:tcPr>
            <w:tcW w:w="1140" w:type="dxa"/>
          </w:tcPr>
          <w:p w14:paraId="6A97A0CF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56010A0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00EB814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65CBFBA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D82149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25D429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ECFA0B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E55B03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85569F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FCE457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45AC056B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3AF55779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BAS_Obj9_Act6</w:t>
            </w:r>
          </w:p>
        </w:tc>
        <w:tc>
          <w:tcPr>
            <w:tcW w:w="1881" w:type="dxa"/>
          </w:tcPr>
          <w:p w14:paraId="712998A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 volume total mensal, em quilos, de papel reutilizado</w:t>
            </w:r>
          </w:p>
        </w:tc>
        <w:tc>
          <w:tcPr>
            <w:tcW w:w="1984" w:type="dxa"/>
          </w:tcPr>
          <w:p w14:paraId="63D2BE8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Volume de papel reutilizado</w:t>
            </w:r>
          </w:p>
        </w:tc>
        <w:tc>
          <w:tcPr>
            <w:tcW w:w="1843" w:type="dxa"/>
          </w:tcPr>
          <w:p w14:paraId="26E4E66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Kg de papel reutilizado mensalmente</w:t>
            </w:r>
          </w:p>
        </w:tc>
        <w:tc>
          <w:tcPr>
            <w:tcW w:w="1140" w:type="dxa"/>
          </w:tcPr>
          <w:p w14:paraId="36674286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326FF15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0B8B38B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770C1D6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6D0A62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D81EBF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C467AD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6E3333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531A0B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BEFB2D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2EBC2A3A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</w:tcPr>
          <w:p w14:paraId="7358BF9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2: Promover a redução do uso</w:t>
            </w:r>
          </w:p>
        </w:tc>
      </w:tr>
      <w:tr w:rsidR="001E49FB" w:rsidRPr="0018548E" w14:paraId="16B99E45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</w:tcPr>
          <w:p w14:paraId="03ACC977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3 – Campanhas SD</w:t>
            </w:r>
          </w:p>
        </w:tc>
      </w:tr>
      <w:tr w:rsidR="001E49FB" w:rsidRPr="0018548E" w14:paraId="0F942647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69F96DD8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EXT_Obj9_Act7</w:t>
            </w:r>
          </w:p>
        </w:tc>
        <w:tc>
          <w:tcPr>
            <w:tcW w:w="1881" w:type="dxa"/>
          </w:tcPr>
          <w:p w14:paraId="20F7DAD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Desenvolver uma campanha para promover a destinação correta dos resíduos</w:t>
            </w:r>
          </w:p>
        </w:tc>
        <w:tc>
          <w:tcPr>
            <w:tcW w:w="1984" w:type="dxa"/>
          </w:tcPr>
          <w:p w14:paraId="5F92A4F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Campanhas de educação ambiental para promover a coleta seletiva</w:t>
            </w:r>
          </w:p>
        </w:tc>
        <w:tc>
          <w:tcPr>
            <w:tcW w:w="1843" w:type="dxa"/>
          </w:tcPr>
          <w:p w14:paraId="17CEBF0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Número de campanhas de educação ambiental criadas para promover a coleta seletiva</w:t>
            </w:r>
          </w:p>
        </w:tc>
        <w:tc>
          <w:tcPr>
            <w:tcW w:w="1140" w:type="dxa"/>
          </w:tcPr>
          <w:p w14:paraId="7182D3E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Ter pelo menos 4 campanhas criadas por semestre (contínuas)</w:t>
            </w:r>
          </w:p>
        </w:tc>
        <w:tc>
          <w:tcPr>
            <w:tcW w:w="0" w:type="auto"/>
          </w:tcPr>
          <w:p w14:paraId="4307D10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1DEBF06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7F72BC5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FAF56E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4A5AFE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35A6F4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F6D189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755527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</w:tcPr>
          <w:p w14:paraId="0F49718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1B952BEA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418D1F0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881" w:type="dxa"/>
          </w:tcPr>
          <w:p w14:paraId="5DED047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984" w:type="dxa"/>
          </w:tcPr>
          <w:p w14:paraId="68D16C1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</w:tcPr>
          <w:p w14:paraId="452DDD1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140" w:type="dxa"/>
          </w:tcPr>
          <w:p w14:paraId="0B88AB6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52470A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2026F2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26F767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91FEB9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89E33E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83A37A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C74E7F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BF4C04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7816F3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44C25EB0" w14:textId="77777777" w:rsidR="001E49FB" w:rsidRPr="0018548E" w:rsidRDefault="001E49FB" w:rsidP="001E49FB">
      <w:pPr>
        <w:spacing w:line="240" w:lineRule="auto"/>
        <w:rPr>
          <w:lang w:val="en-GB"/>
        </w:rPr>
      </w:pPr>
    </w:p>
    <w:p w14:paraId="73C39D6D" w14:textId="77777777" w:rsidR="001E49FB" w:rsidRDefault="001E49FB" w:rsidP="001E49FB">
      <w:pPr>
        <w:spacing w:line="240" w:lineRule="auto"/>
        <w:rPr>
          <w:lang w:val="pt-PT"/>
        </w:rPr>
      </w:pPr>
    </w:p>
    <w:p w14:paraId="3AAAD561" w14:textId="77777777" w:rsidR="001E49FB" w:rsidRPr="0018548E" w:rsidRDefault="001E49FB" w:rsidP="001E49FB">
      <w:pPr>
        <w:pStyle w:val="Legenda"/>
        <w:keepNext/>
        <w:spacing w:line="240" w:lineRule="auto"/>
        <w:rPr>
          <w:lang w:val="en-GB"/>
        </w:rPr>
      </w:pPr>
      <w:bookmarkStart w:id="9" w:name="_Ref129724179"/>
      <w:bookmarkStart w:id="10" w:name="_Toc161614516"/>
      <w:r w:rsidRPr="0018548E">
        <w:lastRenderedPageBreak/>
        <w:t xml:space="preserve">Mesa </w:t>
      </w:r>
      <w:r w:rsidRPr="0018548E">
        <w:fldChar w:fldCharType="begin"/>
      </w:r>
      <w:r w:rsidRPr="0018548E">
        <w:instrText xml:space="preserve"> STYLEREF 1 \s </w:instrText>
      </w:r>
      <w:r w:rsidRPr="0018548E">
        <w:fldChar w:fldCharType="separate"/>
      </w:r>
      <w:r>
        <w:rPr>
          <w:noProof/>
        </w:rPr>
        <w:t>9</w:t>
      </w:r>
      <w:r w:rsidRPr="0018548E">
        <w:fldChar w:fldCharType="end"/>
      </w:r>
      <w:r w:rsidRPr="0018548E">
        <w:noBreakHyphen/>
      </w:r>
      <w:r w:rsidRPr="0018548E">
        <w:fldChar w:fldCharType="begin"/>
      </w:r>
      <w:r w:rsidRPr="0018548E">
        <w:instrText xml:space="preserve"> SEQ Table \* ARABIC \s 1 </w:instrText>
      </w:r>
      <w:r w:rsidRPr="0018548E">
        <w:fldChar w:fldCharType="separate"/>
      </w:r>
      <w:r>
        <w:rPr>
          <w:noProof/>
        </w:rPr>
        <w:t>28</w:t>
      </w:r>
      <w:r w:rsidRPr="0018548E">
        <w:fldChar w:fldCharType="end"/>
      </w:r>
      <w:bookmarkEnd w:id="9"/>
      <w:r w:rsidRPr="0018548E">
        <w:t xml:space="preserve"> - - Plano de acção para a dimensão 3.4 - Deslocação</w:t>
      </w:r>
      <w:bookmarkEnd w:id="10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82"/>
        <w:gridCol w:w="1201"/>
        <w:gridCol w:w="2013"/>
        <w:gridCol w:w="2099"/>
        <w:gridCol w:w="1398"/>
        <w:gridCol w:w="871"/>
        <w:gridCol w:w="813"/>
        <w:gridCol w:w="574"/>
        <w:gridCol w:w="574"/>
        <w:gridCol w:w="574"/>
        <w:gridCol w:w="574"/>
        <w:gridCol w:w="574"/>
        <w:gridCol w:w="517"/>
        <w:gridCol w:w="838"/>
      </w:tblGrid>
      <w:tr w:rsidR="001E49FB" w:rsidRPr="0018548E" w14:paraId="524882D7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0B050"/>
          </w:tcPr>
          <w:p w14:paraId="46C8BE02" w14:textId="77777777" w:rsidR="001E49FB" w:rsidRPr="0018548E" w:rsidRDefault="001E49FB" w:rsidP="001E49FB">
            <w:pPr>
              <w:spacing w:line="240" w:lineRule="auto"/>
              <w:rPr>
                <w:color w:val="FFFFFF" w:themeColor="background1"/>
                <w:sz w:val="18"/>
                <w:szCs w:val="18"/>
                <w:lang w:val="en-GB"/>
              </w:rPr>
            </w:pPr>
            <w:r w:rsidRPr="0018548E">
              <w:rPr>
                <w:rFonts w:cs="Calibri"/>
                <w:color w:val="FFFFFF" w:themeColor="background1"/>
                <w:sz w:val="20"/>
                <w:szCs w:val="20"/>
              </w:rPr>
              <w:t>PLANO DE AÇÃO - Deslocamento</w:t>
            </w:r>
          </w:p>
        </w:tc>
        <w:tc>
          <w:tcPr>
            <w:tcW w:w="0" w:type="auto"/>
            <w:shd w:val="clear" w:color="auto" w:fill="00B050"/>
          </w:tcPr>
          <w:p w14:paraId="1E2E2F6A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6CDDC36E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29F4F92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4BC4A37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4677DFF8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7FD80B93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E41087B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FEF16BF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68AFFB18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42D049B2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Objetivo 10 – Estabelecer práticas sustentáveis para o deslocamento</w:t>
            </w:r>
          </w:p>
        </w:tc>
        <w:tc>
          <w:tcPr>
            <w:tcW w:w="0" w:type="auto"/>
          </w:tcPr>
          <w:p w14:paraId="4BA8187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0ABF6F2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6D18613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B57703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447824E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02D6E1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9E63C7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0AA19E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6AA53B13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4240BB8F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1: Quantificar e monitorar o consumo</w:t>
            </w:r>
          </w:p>
        </w:tc>
        <w:tc>
          <w:tcPr>
            <w:tcW w:w="0" w:type="auto"/>
          </w:tcPr>
          <w:p w14:paraId="48682FB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5"/>
          </w:tcPr>
          <w:p w14:paraId="5FFC8136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</w:rPr>
              <w:t>LINHA DO TEMPO</w:t>
            </w:r>
          </w:p>
        </w:tc>
        <w:tc>
          <w:tcPr>
            <w:tcW w:w="0" w:type="auto"/>
          </w:tcPr>
          <w:p w14:paraId="74F5D1C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57CAA7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3C10607E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FD8348C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01" w:type="dxa"/>
          </w:tcPr>
          <w:p w14:paraId="0464C73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Ação</w:t>
            </w:r>
          </w:p>
        </w:tc>
        <w:tc>
          <w:tcPr>
            <w:tcW w:w="0" w:type="auto"/>
          </w:tcPr>
          <w:p w14:paraId="293C239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Nome do indicador</w:t>
            </w:r>
          </w:p>
        </w:tc>
        <w:tc>
          <w:tcPr>
            <w:tcW w:w="0" w:type="auto"/>
          </w:tcPr>
          <w:p w14:paraId="032EF73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Métrica</w:t>
            </w:r>
          </w:p>
        </w:tc>
        <w:tc>
          <w:tcPr>
            <w:tcW w:w="0" w:type="auto"/>
          </w:tcPr>
          <w:p w14:paraId="3BCE766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Objetivo (Período)</w:t>
            </w:r>
          </w:p>
        </w:tc>
        <w:tc>
          <w:tcPr>
            <w:tcW w:w="0" w:type="auto"/>
          </w:tcPr>
          <w:p w14:paraId="7AA2536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Começar</w:t>
            </w:r>
          </w:p>
        </w:tc>
        <w:tc>
          <w:tcPr>
            <w:tcW w:w="0" w:type="auto"/>
          </w:tcPr>
          <w:p w14:paraId="4067319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Fim</w:t>
            </w:r>
          </w:p>
        </w:tc>
        <w:tc>
          <w:tcPr>
            <w:tcW w:w="0" w:type="auto"/>
          </w:tcPr>
          <w:p w14:paraId="51E5981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1</w:t>
            </w:r>
          </w:p>
        </w:tc>
        <w:tc>
          <w:tcPr>
            <w:tcW w:w="0" w:type="auto"/>
          </w:tcPr>
          <w:p w14:paraId="7007787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2</w:t>
            </w:r>
          </w:p>
        </w:tc>
        <w:tc>
          <w:tcPr>
            <w:tcW w:w="0" w:type="auto"/>
          </w:tcPr>
          <w:p w14:paraId="69A5B1E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3</w:t>
            </w:r>
          </w:p>
        </w:tc>
        <w:tc>
          <w:tcPr>
            <w:tcW w:w="0" w:type="auto"/>
          </w:tcPr>
          <w:p w14:paraId="14A756D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4</w:t>
            </w:r>
          </w:p>
        </w:tc>
        <w:tc>
          <w:tcPr>
            <w:tcW w:w="0" w:type="auto"/>
          </w:tcPr>
          <w:p w14:paraId="72BC5BF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5</w:t>
            </w:r>
          </w:p>
        </w:tc>
        <w:tc>
          <w:tcPr>
            <w:tcW w:w="0" w:type="auto"/>
          </w:tcPr>
          <w:p w14:paraId="3F20D9F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</w:tcPr>
          <w:p w14:paraId="6A578ED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SI</w:t>
            </w:r>
          </w:p>
        </w:tc>
      </w:tr>
      <w:tr w:rsidR="001E49FB" w:rsidRPr="0018548E" w14:paraId="27154F02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auto"/>
          </w:tcPr>
          <w:p w14:paraId="5B52A20E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EXT_Obj10_Act1</w:t>
            </w:r>
          </w:p>
        </w:tc>
        <w:tc>
          <w:tcPr>
            <w:tcW w:w="1201" w:type="dxa"/>
          </w:tcPr>
          <w:p w14:paraId="0C1FDC9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os custos operacionais com a utilização da frota de veículos da IES</w:t>
            </w:r>
          </w:p>
        </w:tc>
        <w:tc>
          <w:tcPr>
            <w:tcW w:w="0" w:type="auto"/>
          </w:tcPr>
          <w:p w14:paraId="3D5E36B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Custos operacionais com a frota de IES</w:t>
            </w:r>
          </w:p>
          <w:p w14:paraId="6266DF1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F89DE9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Soma das despesas com: Combustível + lubrificante + material para manutenção + serviços de manutenção</w:t>
            </w:r>
          </w:p>
        </w:tc>
        <w:tc>
          <w:tcPr>
            <w:tcW w:w="0" w:type="auto"/>
          </w:tcPr>
          <w:p w14:paraId="072DCB4F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02DD57D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00807BA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5C154CC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82F503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A254A9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3AB38F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AB4C80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46A70C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</w:tcPr>
          <w:p w14:paraId="7275AA5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PROPLAN</w:t>
            </w:r>
          </w:p>
        </w:tc>
      </w:tr>
      <w:tr w:rsidR="001E49FB" w:rsidRPr="0018548E" w14:paraId="0A6CDC22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auto"/>
          </w:tcPr>
          <w:p w14:paraId="7784D391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bookmarkStart w:id="11" w:name="_Hlk129723618"/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EXT_Obj10_Act2</w:t>
            </w:r>
            <w:bookmarkEnd w:id="11"/>
          </w:p>
        </w:tc>
        <w:tc>
          <w:tcPr>
            <w:tcW w:w="1201" w:type="dxa"/>
          </w:tcPr>
          <w:p w14:paraId="3DB56BB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Medir o índice de emissão de CO2 da frota de veículos da UFPB</w:t>
            </w:r>
          </w:p>
        </w:tc>
        <w:tc>
          <w:tcPr>
            <w:tcW w:w="0" w:type="auto"/>
          </w:tcPr>
          <w:p w14:paraId="73F1559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Emissões de CO2 por frota de veículos da UFPB, total e por tipo de combustível</w:t>
            </w:r>
          </w:p>
          <w:p w14:paraId="0C6E72F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43CCB7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Emissões de dióxido de carbono em tonelada - tECO2</w:t>
            </w:r>
          </w:p>
        </w:tc>
        <w:tc>
          <w:tcPr>
            <w:tcW w:w="0" w:type="auto"/>
          </w:tcPr>
          <w:p w14:paraId="2B5753E0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50398D9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4AF8E1A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48F64FD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C61A21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894A5B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9A681B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3CB760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F7C43A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D3D798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3444F962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auto"/>
          </w:tcPr>
          <w:p w14:paraId="0D45C9E3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EXT_Obj10_Act3</w:t>
            </w:r>
          </w:p>
        </w:tc>
        <w:tc>
          <w:tcPr>
            <w:tcW w:w="1201" w:type="dxa"/>
          </w:tcPr>
          <w:p w14:paraId="495ED28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Para quantificar o volume mensal de combustível</w:t>
            </w:r>
          </w:p>
        </w:tc>
        <w:tc>
          <w:tcPr>
            <w:tcW w:w="0" w:type="auto"/>
          </w:tcPr>
          <w:p w14:paraId="55BF15F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Monitoramento do consumo de volume de combustível</w:t>
            </w:r>
          </w:p>
        </w:tc>
        <w:tc>
          <w:tcPr>
            <w:tcW w:w="0" w:type="auto"/>
          </w:tcPr>
          <w:p w14:paraId="1EBAF39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Volume total de litros consumidos</w:t>
            </w:r>
          </w:p>
        </w:tc>
        <w:tc>
          <w:tcPr>
            <w:tcW w:w="0" w:type="auto"/>
          </w:tcPr>
          <w:p w14:paraId="05206EB5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4843D0B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6CAB212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7C24784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E26961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95955B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33A010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346688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F25982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04A0F9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2DBDA579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auto"/>
          </w:tcPr>
          <w:p w14:paraId="55200329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EXT_Obj10_Act4</w:t>
            </w:r>
          </w:p>
        </w:tc>
        <w:tc>
          <w:tcPr>
            <w:tcW w:w="1201" w:type="dxa"/>
          </w:tcPr>
          <w:p w14:paraId="48262CF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Quantificar as despesas mensais com combustível</w:t>
            </w:r>
          </w:p>
        </w:tc>
        <w:tc>
          <w:tcPr>
            <w:tcW w:w="0" w:type="auto"/>
          </w:tcPr>
          <w:p w14:paraId="7B97B6E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Monitoramento do consumo de combustível</w:t>
            </w:r>
          </w:p>
          <w:p w14:paraId="064FA39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843A73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Custo total em R$</w:t>
            </w:r>
          </w:p>
        </w:tc>
        <w:tc>
          <w:tcPr>
            <w:tcW w:w="0" w:type="auto"/>
          </w:tcPr>
          <w:p w14:paraId="16725D72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3C7792F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524CE7B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6B61375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B9597E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4F0ED2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9C6DD8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D2CDD7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D38967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EF024B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4CA86D3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auto"/>
          </w:tcPr>
          <w:p w14:paraId="5F81EBB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EXT_Obj10_Act5</w:t>
            </w:r>
          </w:p>
        </w:tc>
        <w:tc>
          <w:tcPr>
            <w:tcW w:w="1201" w:type="dxa"/>
          </w:tcPr>
          <w:p w14:paraId="163DE19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Estimar a compensação das emissões de CO2</w:t>
            </w:r>
          </w:p>
        </w:tc>
        <w:tc>
          <w:tcPr>
            <w:tcW w:w="0" w:type="auto"/>
          </w:tcPr>
          <w:p w14:paraId="5F044A9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Emissões de CO2 após compensação pelo plantio de mudas</w:t>
            </w:r>
          </w:p>
          <w:p w14:paraId="42ADD8B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260EE1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Emissões de dióxido de carbono em tonelada - tECO2 após compensação</w:t>
            </w:r>
          </w:p>
        </w:tc>
        <w:tc>
          <w:tcPr>
            <w:tcW w:w="0" w:type="auto"/>
          </w:tcPr>
          <w:p w14:paraId="7B9A552C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6AC2660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3ED0194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50671F6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F2D4F8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85080A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36355C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4DDF94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2B1C22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8735C4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6203EF12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74725A6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2: Promover a redução do uso</w:t>
            </w:r>
          </w:p>
        </w:tc>
      </w:tr>
      <w:tr w:rsidR="001E49FB" w:rsidRPr="001A558F" w14:paraId="52EDBCDB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auto"/>
          </w:tcPr>
          <w:p w14:paraId="4BF77FE6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</w:p>
        </w:tc>
        <w:tc>
          <w:tcPr>
            <w:tcW w:w="1201" w:type="dxa"/>
          </w:tcPr>
          <w:p w14:paraId="70F265C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E37919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4D8D89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DF931E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BFC551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A593BF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C5DEF5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AB46F9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729E5A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D5CCDF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C55D4A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3CB90F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385111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2575E225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0572F035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3 – Campanhas SD</w:t>
            </w:r>
          </w:p>
        </w:tc>
      </w:tr>
      <w:tr w:rsidR="001E49FB" w:rsidRPr="0018548E" w14:paraId="4C9A911A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auto"/>
          </w:tcPr>
          <w:p w14:paraId="36716475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EXT_Obj10_Act6</w:t>
            </w:r>
          </w:p>
        </w:tc>
        <w:tc>
          <w:tcPr>
            <w:tcW w:w="1201" w:type="dxa"/>
          </w:tcPr>
          <w:p w14:paraId="3727AD2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Desenvolver campanha de racionalização da utilização da frota de IES</w:t>
            </w:r>
          </w:p>
        </w:tc>
        <w:tc>
          <w:tcPr>
            <w:tcW w:w="0" w:type="auto"/>
            <w:shd w:val="clear" w:color="auto" w:fill="auto"/>
          </w:tcPr>
          <w:p w14:paraId="08298F8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Campanhas de educação ambiental para promover a conscientização no uso do transporte institucional</w:t>
            </w:r>
          </w:p>
        </w:tc>
        <w:tc>
          <w:tcPr>
            <w:tcW w:w="0" w:type="auto"/>
          </w:tcPr>
          <w:p w14:paraId="3D74CF6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Número de campanhas de educação ambiental para promover a conscientização no uso do transporte institucional</w:t>
            </w:r>
          </w:p>
        </w:tc>
        <w:tc>
          <w:tcPr>
            <w:tcW w:w="0" w:type="auto"/>
          </w:tcPr>
          <w:p w14:paraId="4546026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Ter pelo menos 4 campanhas criadas por semestre (contínuas)</w:t>
            </w:r>
          </w:p>
        </w:tc>
        <w:tc>
          <w:tcPr>
            <w:tcW w:w="0" w:type="auto"/>
          </w:tcPr>
          <w:p w14:paraId="29D61A2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15B63EF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0B9B03D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4EF351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7D448A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5F35F2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496D94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A1943E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</w:tcPr>
          <w:p w14:paraId="264F55C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D25056D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0BD7C2B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EXT_Obj10_Act7</w:t>
            </w:r>
          </w:p>
        </w:tc>
        <w:tc>
          <w:tcPr>
            <w:tcW w:w="1201" w:type="dxa"/>
          </w:tcPr>
          <w:p w14:paraId="605162C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Estimular o plantio de mudas nativas na IES</w:t>
            </w:r>
          </w:p>
        </w:tc>
        <w:tc>
          <w:tcPr>
            <w:tcW w:w="0" w:type="auto"/>
          </w:tcPr>
          <w:p w14:paraId="2D47280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Mudas plantadas.</w:t>
            </w:r>
            <w:r w:rsidRPr="0018548E">
              <w:rPr>
                <w:rFonts w:cstheme="majorHAnsi"/>
                <w:sz w:val="16"/>
                <w:szCs w:val="16"/>
              </w:rPr>
              <w:tab/>
            </w:r>
          </w:p>
          <w:p w14:paraId="1DD6CC0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45D6F8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Número de mudas plantadas</w:t>
            </w:r>
          </w:p>
        </w:tc>
        <w:tc>
          <w:tcPr>
            <w:tcW w:w="0" w:type="auto"/>
          </w:tcPr>
          <w:p w14:paraId="1F8C38C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16A0C1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C5FCA1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1D8C37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3CFE11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8FBB51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B5EAC2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9FF904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C502AC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A86B6F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404E2A8C" w14:textId="77777777" w:rsidR="001E49FB" w:rsidRPr="0018548E" w:rsidRDefault="001E49FB" w:rsidP="001E49FB">
      <w:pPr>
        <w:spacing w:line="240" w:lineRule="auto"/>
        <w:rPr>
          <w:lang w:val="en-GB"/>
        </w:rPr>
      </w:pPr>
    </w:p>
    <w:p w14:paraId="184B68AC" w14:textId="77777777" w:rsidR="001E49FB" w:rsidRPr="0018548E" w:rsidRDefault="001E49FB" w:rsidP="001E49FB">
      <w:pPr>
        <w:pStyle w:val="Legenda"/>
        <w:keepNext/>
        <w:spacing w:line="240" w:lineRule="auto"/>
        <w:rPr>
          <w:lang w:val="en-GB"/>
        </w:rPr>
      </w:pPr>
      <w:bookmarkStart w:id="12" w:name="_Toc161614519"/>
      <w:r w:rsidRPr="0018548E">
        <w:t xml:space="preserve">Mesa </w:t>
      </w:r>
      <w:r w:rsidRPr="0018548E">
        <w:fldChar w:fldCharType="begin"/>
      </w:r>
      <w:r w:rsidRPr="0018548E">
        <w:instrText xml:space="preserve"> STYLEREF 1 \s </w:instrText>
      </w:r>
      <w:r w:rsidRPr="0018548E">
        <w:fldChar w:fldCharType="separate"/>
      </w:r>
      <w:r>
        <w:rPr>
          <w:noProof/>
        </w:rPr>
        <w:t>9</w:t>
      </w:r>
      <w:r w:rsidRPr="0018548E">
        <w:fldChar w:fldCharType="end"/>
      </w:r>
      <w:r w:rsidRPr="0018548E">
        <w:noBreakHyphen/>
      </w:r>
      <w:r w:rsidRPr="0018548E">
        <w:fldChar w:fldCharType="begin"/>
      </w:r>
      <w:r w:rsidRPr="0018548E">
        <w:instrText xml:space="preserve"> SEQ Table \* ARABIC \s 1 </w:instrText>
      </w:r>
      <w:r w:rsidRPr="0018548E">
        <w:fldChar w:fldCharType="separate"/>
      </w:r>
      <w:r>
        <w:rPr>
          <w:noProof/>
        </w:rPr>
        <w:t>31</w:t>
      </w:r>
      <w:r w:rsidRPr="0018548E">
        <w:fldChar w:fldCharType="end"/>
      </w:r>
      <w:r w:rsidRPr="0018548E">
        <w:t xml:space="preserve"> - Plano de ação para a dimensão 4.1 - Ensino</w:t>
      </w:r>
      <w:bookmarkEnd w:id="12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80"/>
        <w:gridCol w:w="1338"/>
        <w:gridCol w:w="1688"/>
        <w:gridCol w:w="1845"/>
        <w:gridCol w:w="1878"/>
        <w:gridCol w:w="835"/>
        <w:gridCol w:w="813"/>
        <w:gridCol w:w="574"/>
        <w:gridCol w:w="574"/>
        <w:gridCol w:w="574"/>
        <w:gridCol w:w="574"/>
        <w:gridCol w:w="574"/>
        <w:gridCol w:w="517"/>
        <w:gridCol w:w="838"/>
      </w:tblGrid>
      <w:tr w:rsidR="001E49FB" w:rsidRPr="0018548E" w14:paraId="0AF28D3A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0B050"/>
          </w:tcPr>
          <w:p w14:paraId="1FFB4050" w14:textId="77777777" w:rsidR="001E49FB" w:rsidRPr="0018548E" w:rsidRDefault="001E49FB" w:rsidP="001E49FB">
            <w:pPr>
              <w:spacing w:line="240" w:lineRule="auto"/>
              <w:rPr>
                <w:sz w:val="18"/>
                <w:szCs w:val="18"/>
                <w:lang w:val="en-GB"/>
              </w:rPr>
            </w:pPr>
            <w:r w:rsidRPr="0018548E">
              <w:rPr>
                <w:sz w:val="18"/>
                <w:szCs w:val="18"/>
              </w:rPr>
              <w:t>PLANO DE AÇÃO - Ensino</w:t>
            </w:r>
          </w:p>
        </w:tc>
        <w:tc>
          <w:tcPr>
            <w:tcW w:w="0" w:type="auto"/>
            <w:shd w:val="clear" w:color="auto" w:fill="00B050"/>
          </w:tcPr>
          <w:p w14:paraId="04DF0EE3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7C4ADB6D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5ED0D0F1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BECA092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FD8AD8D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686A9A8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772744AE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882BF52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</w:tr>
      <w:tr w:rsidR="001E49FB" w:rsidRPr="001A558F" w14:paraId="1028CE49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162094C8" w14:textId="77777777" w:rsidR="001E49FB" w:rsidRPr="0018548E" w:rsidRDefault="001E49FB" w:rsidP="001E49FB">
            <w:pPr>
              <w:spacing w:line="240" w:lineRule="auto"/>
              <w:rPr>
                <w:rFonts w:cs="Calibri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sz w:val="20"/>
                <w:szCs w:val="20"/>
              </w:rPr>
              <w:t>Objetivo 11 – Estabelecer práticas sustentáveis para o ensino</w:t>
            </w:r>
          </w:p>
        </w:tc>
        <w:tc>
          <w:tcPr>
            <w:tcW w:w="0" w:type="auto"/>
          </w:tcPr>
          <w:p w14:paraId="7AF884A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B06369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869079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6055D3D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7AC0B8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E4458D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F1145E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4B2F33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</w:tr>
      <w:tr w:rsidR="001E49FB" w:rsidRPr="0018548E" w14:paraId="07BBD07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087E8996" w14:textId="77777777" w:rsidR="001E49FB" w:rsidRPr="0018548E" w:rsidRDefault="001E49FB" w:rsidP="001E49FB">
            <w:pPr>
              <w:spacing w:line="240" w:lineRule="auto"/>
              <w:rPr>
                <w:rFonts w:cs="Calibri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sz w:val="20"/>
                <w:szCs w:val="20"/>
              </w:rPr>
              <w:t>Dimensão 1: Quantificar e monitorar o consumo</w:t>
            </w:r>
          </w:p>
        </w:tc>
        <w:tc>
          <w:tcPr>
            <w:tcW w:w="0" w:type="auto"/>
          </w:tcPr>
          <w:p w14:paraId="7970E26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5"/>
          </w:tcPr>
          <w:p w14:paraId="7AAAA258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sz w:val="20"/>
                <w:szCs w:val="20"/>
              </w:rPr>
              <w:t>LINHA DO TEMPO</w:t>
            </w:r>
          </w:p>
        </w:tc>
        <w:tc>
          <w:tcPr>
            <w:tcW w:w="0" w:type="auto"/>
          </w:tcPr>
          <w:p w14:paraId="7F22FFD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CBD5D9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1E49FB" w:rsidRPr="0018548E" w14:paraId="4E28462B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4B38DC50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ID</w:t>
            </w:r>
          </w:p>
        </w:tc>
        <w:tc>
          <w:tcPr>
            <w:tcW w:w="1201" w:type="dxa"/>
          </w:tcPr>
          <w:p w14:paraId="5F68D1A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Ação</w:t>
            </w:r>
          </w:p>
        </w:tc>
        <w:tc>
          <w:tcPr>
            <w:tcW w:w="0" w:type="auto"/>
          </w:tcPr>
          <w:p w14:paraId="5340301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Nome do indicador</w:t>
            </w:r>
          </w:p>
        </w:tc>
        <w:tc>
          <w:tcPr>
            <w:tcW w:w="0" w:type="auto"/>
          </w:tcPr>
          <w:p w14:paraId="60829BB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Métrica</w:t>
            </w:r>
          </w:p>
        </w:tc>
        <w:tc>
          <w:tcPr>
            <w:tcW w:w="0" w:type="auto"/>
          </w:tcPr>
          <w:p w14:paraId="0D9C3A0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Objetivo (Período)</w:t>
            </w:r>
          </w:p>
        </w:tc>
        <w:tc>
          <w:tcPr>
            <w:tcW w:w="0" w:type="auto"/>
          </w:tcPr>
          <w:p w14:paraId="3D6C19F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Começar</w:t>
            </w:r>
          </w:p>
        </w:tc>
        <w:tc>
          <w:tcPr>
            <w:tcW w:w="0" w:type="auto"/>
          </w:tcPr>
          <w:p w14:paraId="772D856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Fim</w:t>
            </w:r>
          </w:p>
        </w:tc>
        <w:tc>
          <w:tcPr>
            <w:tcW w:w="0" w:type="auto"/>
          </w:tcPr>
          <w:p w14:paraId="28649F3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1</w:t>
            </w:r>
          </w:p>
        </w:tc>
        <w:tc>
          <w:tcPr>
            <w:tcW w:w="0" w:type="auto"/>
          </w:tcPr>
          <w:p w14:paraId="373D855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2</w:t>
            </w:r>
          </w:p>
        </w:tc>
        <w:tc>
          <w:tcPr>
            <w:tcW w:w="0" w:type="auto"/>
          </w:tcPr>
          <w:p w14:paraId="4E31D59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3</w:t>
            </w:r>
          </w:p>
        </w:tc>
        <w:tc>
          <w:tcPr>
            <w:tcW w:w="0" w:type="auto"/>
          </w:tcPr>
          <w:p w14:paraId="68DCD4E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4</w:t>
            </w:r>
          </w:p>
        </w:tc>
        <w:tc>
          <w:tcPr>
            <w:tcW w:w="0" w:type="auto"/>
          </w:tcPr>
          <w:p w14:paraId="7AE09F3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5</w:t>
            </w:r>
          </w:p>
        </w:tc>
        <w:tc>
          <w:tcPr>
            <w:tcW w:w="0" w:type="auto"/>
          </w:tcPr>
          <w:p w14:paraId="164835F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</w:tcPr>
          <w:p w14:paraId="6B4B988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SI</w:t>
            </w:r>
          </w:p>
        </w:tc>
      </w:tr>
      <w:tr w:rsidR="001E49FB" w:rsidRPr="0018548E" w14:paraId="2A4F32D1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7A18BDA7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EXT_Obj11_Act1</w:t>
            </w:r>
          </w:p>
        </w:tc>
        <w:tc>
          <w:tcPr>
            <w:tcW w:w="1201" w:type="dxa"/>
          </w:tcPr>
          <w:p w14:paraId="2230AE4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Integrar o desenvolvimento sustentável nos currículos dos cursos</w:t>
            </w:r>
          </w:p>
        </w:tc>
        <w:tc>
          <w:tcPr>
            <w:tcW w:w="0" w:type="auto"/>
          </w:tcPr>
          <w:p w14:paraId="409B728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Cursos comprometidos intensivamente de perifericamente para o SD</w:t>
            </w:r>
          </w:p>
        </w:tc>
        <w:tc>
          <w:tcPr>
            <w:tcW w:w="0" w:type="auto"/>
          </w:tcPr>
          <w:p w14:paraId="2686560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Porcentagem de cursos intensivos ou perifericamente dedicados ao desenvolvimento de habilidades relacionadas à SD.</w:t>
            </w:r>
          </w:p>
        </w:tc>
        <w:tc>
          <w:tcPr>
            <w:tcW w:w="0" w:type="auto"/>
          </w:tcPr>
          <w:p w14:paraId="0A9E227C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</w:rPr>
              <w:t>Ter pelo menos 20% dos cursos intensivos ou perifericamente dedicados ao desenvolvimento de habilidades relacionadas à SD.</w:t>
            </w:r>
          </w:p>
        </w:tc>
        <w:tc>
          <w:tcPr>
            <w:tcW w:w="0" w:type="auto"/>
          </w:tcPr>
          <w:p w14:paraId="6F9D926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0B06BC2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1C6D27A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2979C7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D5B71A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823F26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6163D7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E41E4D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</w:tcPr>
          <w:p w14:paraId="60F4CC5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PROPLAN</w:t>
            </w:r>
          </w:p>
        </w:tc>
      </w:tr>
      <w:tr w:rsidR="001E49FB" w:rsidRPr="0018548E" w14:paraId="7F022042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3B5D4B47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EXT_Obj11_Act2</w:t>
            </w:r>
          </w:p>
        </w:tc>
        <w:tc>
          <w:tcPr>
            <w:tcW w:w="1201" w:type="dxa"/>
          </w:tcPr>
          <w:p w14:paraId="051DA3F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Transformar a universidade em um laboratório de convivência institucional para a promoção de iniciativas de desenvolvimento sustentável</w:t>
            </w:r>
          </w:p>
        </w:tc>
        <w:tc>
          <w:tcPr>
            <w:tcW w:w="0" w:type="auto"/>
          </w:tcPr>
          <w:p w14:paraId="5D28AF1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Programas institucionalizados para promover o campus como um laboratório vivo</w:t>
            </w:r>
          </w:p>
        </w:tc>
        <w:tc>
          <w:tcPr>
            <w:tcW w:w="0" w:type="auto"/>
          </w:tcPr>
          <w:p w14:paraId="7CD12C0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Número de programas institucionalizados dedicados a promover o campus como um laboratório vivo</w:t>
            </w:r>
          </w:p>
        </w:tc>
        <w:tc>
          <w:tcPr>
            <w:tcW w:w="0" w:type="auto"/>
          </w:tcPr>
          <w:p w14:paraId="7F93680D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 xml:space="preserve">Ter pelo menos 20 programas institucionalizados para promover o campus como um laboratório vivo </w:t>
            </w:r>
          </w:p>
        </w:tc>
        <w:tc>
          <w:tcPr>
            <w:tcW w:w="0" w:type="auto"/>
          </w:tcPr>
          <w:p w14:paraId="550BB4A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3D1D72B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2DC66B0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004231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9C2EA6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5A6F1A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0910F5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805A87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C1C916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5266FCA3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0F9C8502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EXT_Obj11_Act3</w:t>
            </w:r>
          </w:p>
        </w:tc>
        <w:tc>
          <w:tcPr>
            <w:tcW w:w="1201" w:type="dxa"/>
          </w:tcPr>
          <w:p w14:paraId="02A7491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Avaliar se a instituição possui mecanismos para medir a sustentabilidade dos currículos universitários</w:t>
            </w:r>
          </w:p>
        </w:tc>
        <w:tc>
          <w:tcPr>
            <w:tcW w:w="0" w:type="auto"/>
          </w:tcPr>
          <w:p w14:paraId="66AC978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Sustentabilidade dos currículos das IES</w:t>
            </w:r>
          </w:p>
        </w:tc>
        <w:tc>
          <w:tcPr>
            <w:tcW w:w="0" w:type="auto"/>
          </w:tcPr>
          <w:p w14:paraId="063E068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A IES possui mecanismos para medir a sustentabilidade dos currículos? (s/n)</w:t>
            </w:r>
          </w:p>
        </w:tc>
        <w:tc>
          <w:tcPr>
            <w:tcW w:w="0" w:type="auto"/>
          </w:tcPr>
          <w:p w14:paraId="148CB2B9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Ter algum mecanismo para monitorar a integração da sustentabilidade nos currículos</w:t>
            </w:r>
          </w:p>
        </w:tc>
        <w:tc>
          <w:tcPr>
            <w:tcW w:w="0" w:type="auto"/>
          </w:tcPr>
          <w:p w14:paraId="74B1229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4A8914A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07EB53F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A01152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6946A2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6B8575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8FB9F4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819B47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D2C2A7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4183F54E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53F6E38A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sz w:val="20"/>
                <w:szCs w:val="20"/>
              </w:rPr>
              <w:t>Dimensão 2: Promover a redução do uso</w:t>
            </w:r>
          </w:p>
        </w:tc>
      </w:tr>
      <w:tr w:rsidR="001E49FB" w:rsidRPr="001A558F" w14:paraId="6EA16499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7E6698C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</w:p>
        </w:tc>
        <w:tc>
          <w:tcPr>
            <w:tcW w:w="1201" w:type="dxa"/>
          </w:tcPr>
          <w:p w14:paraId="4101377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6BA544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541206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E84269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EC96AA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00CCBC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5F16B1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9A6A2E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8C56DD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9133ED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25EAA2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4B2712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CAC074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814BA41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409D2802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sz w:val="20"/>
                <w:szCs w:val="20"/>
              </w:rPr>
              <w:t>Dimensão 3 – Campanhas SD</w:t>
            </w:r>
          </w:p>
        </w:tc>
      </w:tr>
      <w:tr w:rsidR="001E49FB" w:rsidRPr="0018548E" w14:paraId="2D2B7EBD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7E3A2E2B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EXT_Obj11_Act4</w:t>
            </w:r>
          </w:p>
        </w:tc>
        <w:tc>
          <w:tcPr>
            <w:tcW w:w="1201" w:type="dxa"/>
          </w:tcPr>
          <w:p w14:paraId="190A30A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Desenvolver uma campanha de sensibilização para a integração do DS nos currículos</w:t>
            </w:r>
          </w:p>
        </w:tc>
        <w:tc>
          <w:tcPr>
            <w:tcW w:w="0" w:type="auto"/>
          </w:tcPr>
          <w:p w14:paraId="36F9CC2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Campanhas de sensibilização para a integração dos DS nos currículos</w:t>
            </w:r>
          </w:p>
        </w:tc>
        <w:tc>
          <w:tcPr>
            <w:tcW w:w="0" w:type="auto"/>
          </w:tcPr>
          <w:p w14:paraId="2819478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Número de campanhas sobre a integração do DS nos currículos</w:t>
            </w:r>
          </w:p>
        </w:tc>
        <w:tc>
          <w:tcPr>
            <w:tcW w:w="0" w:type="auto"/>
          </w:tcPr>
          <w:p w14:paraId="6CD93C8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Ter pelo menos 4 campanhas criadas por semestre (contínuas)</w:t>
            </w:r>
          </w:p>
        </w:tc>
        <w:tc>
          <w:tcPr>
            <w:tcW w:w="0" w:type="auto"/>
          </w:tcPr>
          <w:p w14:paraId="64F44CB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0B2F75D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36C7F0B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F6AD79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0DD119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BF8E35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636426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A9DE29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</w:tcPr>
          <w:p w14:paraId="460AF37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7BCA0AA3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78A9F651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201" w:type="dxa"/>
          </w:tcPr>
          <w:p w14:paraId="2B5B839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0D38BD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EA9D24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3F61AE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3731A0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1B9B5D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C82B1C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CEB1EF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30FFDB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785255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9F6DFA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EEF3AC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AAF8D3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1107193C" w14:textId="77777777" w:rsidR="001E49FB" w:rsidRPr="0018548E" w:rsidRDefault="001E49FB" w:rsidP="001E49FB">
      <w:pPr>
        <w:spacing w:line="240" w:lineRule="auto"/>
        <w:rPr>
          <w:lang w:val="en-GB"/>
        </w:rPr>
      </w:pPr>
    </w:p>
    <w:p w14:paraId="4F383735" w14:textId="77777777" w:rsidR="001E49FB" w:rsidRDefault="001E49FB" w:rsidP="001E49FB">
      <w:pPr>
        <w:spacing w:line="240" w:lineRule="auto"/>
        <w:rPr>
          <w:lang w:val="pt-PT"/>
        </w:rPr>
      </w:pPr>
    </w:p>
    <w:p w14:paraId="082154C7" w14:textId="77777777" w:rsidR="001E49FB" w:rsidRPr="0018548E" w:rsidRDefault="001E49FB" w:rsidP="001E49FB">
      <w:pPr>
        <w:pStyle w:val="Legenda"/>
        <w:keepNext/>
        <w:spacing w:line="240" w:lineRule="auto"/>
        <w:rPr>
          <w:lang w:val="en-GB"/>
        </w:rPr>
      </w:pPr>
      <w:bookmarkStart w:id="13" w:name="_Toc161614521"/>
      <w:r w:rsidRPr="0018548E">
        <w:t xml:space="preserve">Mesa </w:t>
      </w:r>
      <w:r w:rsidRPr="0018548E">
        <w:fldChar w:fldCharType="begin"/>
      </w:r>
      <w:r w:rsidRPr="0018548E">
        <w:instrText xml:space="preserve"> STYLEREF 1 \s </w:instrText>
      </w:r>
      <w:r w:rsidRPr="0018548E">
        <w:fldChar w:fldCharType="separate"/>
      </w:r>
      <w:r>
        <w:rPr>
          <w:noProof/>
        </w:rPr>
        <w:t>9</w:t>
      </w:r>
      <w:r w:rsidRPr="0018548E">
        <w:fldChar w:fldCharType="end"/>
      </w:r>
      <w:r w:rsidRPr="0018548E">
        <w:noBreakHyphen/>
      </w:r>
      <w:r w:rsidRPr="0018548E">
        <w:fldChar w:fldCharType="begin"/>
      </w:r>
      <w:r w:rsidRPr="0018548E">
        <w:instrText xml:space="preserve"> SEQ Table \* ARABIC \s 1 </w:instrText>
      </w:r>
      <w:r w:rsidRPr="0018548E">
        <w:fldChar w:fldCharType="separate"/>
      </w:r>
      <w:r>
        <w:rPr>
          <w:noProof/>
        </w:rPr>
        <w:t>33</w:t>
      </w:r>
      <w:r w:rsidRPr="0018548E">
        <w:fldChar w:fldCharType="end"/>
      </w:r>
      <w:r w:rsidRPr="0018548E">
        <w:t xml:space="preserve">  - Plano de ação para a dimensão 4.2 - Investigação e Inovação</w:t>
      </w:r>
      <w:bookmarkEnd w:id="13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79"/>
        <w:gridCol w:w="1292"/>
        <w:gridCol w:w="1714"/>
        <w:gridCol w:w="1919"/>
        <w:gridCol w:w="1805"/>
        <w:gridCol w:w="855"/>
        <w:gridCol w:w="813"/>
        <w:gridCol w:w="574"/>
        <w:gridCol w:w="574"/>
        <w:gridCol w:w="574"/>
        <w:gridCol w:w="574"/>
        <w:gridCol w:w="574"/>
        <w:gridCol w:w="517"/>
        <w:gridCol w:w="838"/>
      </w:tblGrid>
      <w:tr w:rsidR="001E49FB" w:rsidRPr="0018548E" w14:paraId="34FA57AD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0B050"/>
          </w:tcPr>
          <w:p w14:paraId="01BE10BE" w14:textId="77777777" w:rsidR="001E49FB" w:rsidRPr="0018548E" w:rsidRDefault="001E49FB" w:rsidP="001E49FB">
            <w:pPr>
              <w:spacing w:line="240" w:lineRule="auto"/>
              <w:rPr>
                <w:color w:val="FFFFFF" w:themeColor="background1"/>
                <w:sz w:val="18"/>
                <w:szCs w:val="18"/>
                <w:lang w:val="en-GB"/>
              </w:rPr>
            </w:pPr>
            <w:r w:rsidRPr="0018548E">
              <w:rPr>
                <w:color w:val="FFFFFF" w:themeColor="background1"/>
                <w:sz w:val="18"/>
                <w:szCs w:val="18"/>
              </w:rPr>
              <w:t>PLANO DE AÇÃO - Pesquisa e Inovação</w:t>
            </w:r>
          </w:p>
        </w:tc>
        <w:tc>
          <w:tcPr>
            <w:tcW w:w="0" w:type="auto"/>
            <w:shd w:val="clear" w:color="auto" w:fill="00B050"/>
          </w:tcPr>
          <w:p w14:paraId="7394F035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3D02162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529D8E62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16C2105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2C3B6102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7D05594C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513FC091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5CB57F7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2D562271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0302637D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Objetivo 12 – Estabelecer práticas sustentáveis para pesquisa e inovação</w:t>
            </w:r>
          </w:p>
        </w:tc>
        <w:tc>
          <w:tcPr>
            <w:tcW w:w="0" w:type="auto"/>
          </w:tcPr>
          <w:p w14:paraId="0DAF6B8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DBC1D7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4C23FE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B1A888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03F4E72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6553C46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9A1FD4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67E7B8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419CE02C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5C742390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1: Quantificar e monitorar o consumo</w:t>
            </w:r>
          </w:p>
        </w:tc>
        <w:tc>
          <w:tcPr>
            <w:tcW w:w="0" w:type="auto"/>
          </w:tcPr>
          <w:p w14:paraId="6E85355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5"/>
          </w:tcPr>
          <w:p w14:paraId="075BFEE9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</w:rPr>
              <w:t>LINHA DO TEMPO</w:t>
            </w:r>
          </w:p>
        </w:tc>
        <w:tc>
          <w:tcPr>
            <w:tcW w:w="0" w:type="auto"/>
          </w:tcPr>
          <w:p w14:paraId="6F4EDC0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F5BD8E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415335AF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3A50D20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01" w:type="dxa"/>
          </w:tcPr>
          <w:p w14:paraId="4996FCF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Ação</w:t>
            </w:r>
          </w:p>
        </w:tc>
        <w:tc>
          <w:tcPr>
            <w:tcW w:w="0" w:type="auto"/>
          </w:tcPr>
          <w:p w14:paraId="4072503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Nome do indicador</w:t>
            </w:r>
          </w:p>
        </w:tc>
        <w:tc>
          <w:tcPr>
            <w:tcW w:w="0" w:type="auto"/>
          </w:tcPr>
          <w:p w14:paraId="7C7C1D5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Métrica</w:t>
            </w:r>
          </w:p>
        </w:tc>
        <w:tc>
          <w:tcPr>
            <w:tcW w:w="0" w:type="auto"/>
          </w:tcPr>
          <w:p w14:paraId="407E071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Objetivo (Período)</w:t>
            </w:r>
          </w:p>
        </w:tc>
        <w:tc>
          <w:tcPr>
            <w:tcW w:w="0" w:type="auto"/>
          </w:tcPr>
          <w:p w14:paraId="3DE1F23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Começar</w:t>
            </w:r>
          </w:p>
        </w:tc>
        <w:tc>
          <w:tcPr>
            <w:tcW w:w="0" w:type="auto"/>
          </w:tcPr>
          <w:p w14:paraId="2015F60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Fim</w:t>
            </w:r>
          </w:p>
        </w:tc>
        <w:tc>
          <w:tcPr>
            <w:tcW w:w="0" w:type="auto"/>
          </w:tcPr>
          <w:p w14:paraId="058D5B4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1</w:t>
            </w:r>
          </w:p>
        </w:tc>
        <w:tc>
          <w:tcPr>
            <w:tcW w:w="0" w:type="auto"/>
          </w:tcPr>
          <w:p w14:paraId="1AF313E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2</w:t>
            </w:r>
          </w:p>
        </w:tc>
        <w:tc>
          <w:tcPr>
            <w:tcW w:w="0" w:type="auto"/>
          </w:tcPr>
          <w:p w14:paraId="7A5024D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3</w:t>
            </w:r>
          </w:p>
        </w:tc>
        <w:tc>
          <w:tcPr>
            <w:tcW w:w="0" w:type="auto"/>
          </w:tcPr>
          <w:p w14:paraId="6FA3343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4</w:t>
            </w:r>
          </w:p>
        </w:tc>
        <w:tc>
          <w:tcPr>
            <w:tcW w:w="0" w:type="auto"/>
          </w:tcPr>
          <w:p w14:paraId="6316D44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5</w:t>
            </w:r>
          </w:p>
        </w:tc>
        <w:tc>
          <w:tcPr>
            <w:tcW w:w="0" w:type="auto"/>
          </w:tcPr>
          <w:p w14:paraId="7DD9BD5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</w:tcPr>
          <w:p w14:paraId="2540C85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SI</w:t>
            </w:r>
          </w:p>
        </w:tc>
      </w:tr>
      <w:tr w:rsidR="001E49FB" w:rsidRPr="0018548E" w14:paraId="69A00EB6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auto"/>
          </w:tcPr>
          <w:p w14:paraId="303F4042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EXT_Obj12_Act1</w:t>
            </w:r>
          </w:p>
        </w:tc>
        <w:tc>
          <w:tcPr>
            <w:tcW w:w="1201" w:type="dxa"/>
          </w:tcPr>
          <w:p w14:paraId="0590FAF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Avaliar se a instituição possui política de financiamento para impulsionar a pesquisa e inovação em DS</w:t>
            </w:r>
          </w:p>
        </w:tc>
        <w:tc>
          <w:tcPr>
            <w:tcW w:w="0" w:type="auto"/>
          </w:tcPr>
          <w:p w14:paraId="25F8D18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Financiamento da investigação e inovação em domínios de DS</w:t>
            </w:r>
          </w:p>
        </w:tc>
        <w:tc>
          <w:tcPr>
            <w:tcW w:w="0" w:type="auto"/>
          </w:tcPr>
          <w:p w14:paraId="558A6B2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A IES financia a política para impulsionar a pesquisa e inovação em DS? (s/n)</w:t>
            </w:r>
          </w:p>
        </w:tc>
        <w:tc>
          <w:tcPr>
            <w:tcW w:w="0" w:type="auto"/>
          </w:tcPr>
          <w:p w14:paraId="3A3C90FA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Ter alguma política de financiamento para impulsionar a pesquisa e inovação em DS</w:t>
            </w:r>
          </w:p>
        </w:tc>
        <w:tc>
          <w:tcPr>
            <w:tcW w:w="0" w:type="auto"/>
          </w:tcPr>
          <w:p w14:paraId="4092A54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4DC7D0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29B61BC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A54D37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341A08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7B901A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F81925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78D7639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</w:tcPr>
          <w:p w14:paraId="7A13EE0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PROPLAN</w:t>
            </w:r>
          </w:p>
        </w:tc>
      </w:tr>
      <w:tr w:rsidR="001E49FB" w:rsidRPr="0018548E" w14:paraId="43A33A63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auto"/>
          </w:tcPr>
          <w:p w14:paraId="3C61398E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EXT_Obj12_Act2</w:t>
            </w:r>
          </w:p>
        </w:tc>
        <w:tc>
          <w:tcPr>
            <w:tcW w:w="1201" w:type="dxa"/>
          </w:tcPr>
          <w:p w14:paraId="78E9C37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Avaliar se a instituição dispõe de mecanismos para medir a sustentabilidade das ações dedicadas à investigação e inovação</w:t>
            </w:r>
          </w:p>
        </w:tc>
        <w:tc>
          <w:tcPr>
            <w:tcW w:w="0" w:type="auto"/>
          </w:tcPr>
          <w:p w14:paraId="3AFCA5F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Sustentabilidade da investigação e inovação das instituições de ensino superior</w:t>
            </w:r>
          </w:p>
        </w:tc>
        <w:tc>
          <w:tcPr>
            <w:tcW w:w="0" w:type="auto"/>
          </w:tcPr>
          <w:p w14:paraId="0978BB3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A IES dispõe de mecanismos para medir a sustentabilidade das ações dedicadas à investigação e inovação? (s/n)</w:t>
            </w:r>
          </w:p>
        </w:tc>
        <w:tc>
          <w:tcPr>
            <w:tcW w:w="0" w:type="auto"/>
          </w:tcPr>
          <w:p w14:paraId="77B2304C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Ter algum mecanismo para monitorar a integração da sustentabilidade na pesquisa e inovação</w:t>
            </w:r>
          </w:p>
        </w:tc>
        <w:tc>
          <w:tcPr>
            <w:tcW w:w="0" w:type="auto"/>
          </w:tcPr>
          <w:p w14:paraId="09F3CA3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8A1B4D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1EA4590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21F92E9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F7D8C7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E832FE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9D1E6C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48EE75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94DAAE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72A4D3B6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6803BE35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2: Promover a redução do uso</w:t>
            </w:r>
          </w:p>
        </w:tc>
      </w:tr>
      <w:tr w:rsidR="001E49FB" w:rsidRPr="001A558F" w14:paraId="68547C9D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auto"/>
          </w:tcPr>
          <w:p w14:paraId="385AF2D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</w:p>
        </w:tc>
        <w:tc>
          <w:tcPr>
            <w:tcW w:w="1201" w:type="dxa"/>
          </w:tcPr>
          <w:p w14:paraId="1423EAF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0F9E80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E47871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9169E2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3BE105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D86A39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13EAF9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CE34EF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758E6B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89709D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5623CE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4C726B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723ED5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30BF42E9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0C3D8FB8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3 – Campanhas SD</w:t>
            </w:r>
          </w:p>
        </w:tc>
      </w:tr>
      <w:tr w:rsidR="001E49FB" w:rsidRPr="0018548E" w14:paraId="21E170FA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auto"/>
          </w:tcPr>
          <w:p w14:paraId="3476BFE9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EXT_Obj12_Act3</w:t>
            </w:r>
          </w:p>
        </w:tc>
        <w:tc>
          <w:tcPr>
            <w:tcW w:w="1201" w:type="dxa"/>
          </w:tcPr>
          <w:p w14:paraId="4AAD0A4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Desenvolver uma campanha de divulgação do compromisso da investigação e inovação com o DS</w:t>
            </w:r>
          </w:p>
        </w:tc>
        <w:tc>
          <w:tcPr>
            <w:tcW w:w="0" w:type="auto"/>
          </w:tcPr>
          <w:p w14:paraId="6B6F842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Campanhas de sensibilização para a aposta em investigação e inovação no DS</w:t>
            </w:r>
            <w:r w:rsidRPr="0018548E">
              <w:rPr>
                <w:rFonts w:cstheme="majorHAnsi"/>
                <w:sz w:val="16"/>
                <w:szCs w:val="16"/>
              </w:rPr>
              <w:tab/>
            </w:r>
          </w:p>
        </w:tc>
        <w:tc>
          <w:tcPr>
            <w:tcW w:w="0" w:type="auto"/>
          </w:tcPr>
          <w:p w14:paraId="302DC7E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Número de campanhas sobre o compromisso da investigação e inovação com o DS criadas por semestre</w:t>
            </w:r>
          </w:p>
        </w:tc>
        <w:tc>
          <w:tcPr>
            <w:tcW w:w="0" w:type="auto"/>
          </w:tcPr>
          <w:p w14:paraId="6759B20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Ter pelo menos 4 campanhas criadas por semestre (contínuas)</w:t>
            </w:r>
          </w:p>
        </w:tc>
        <w:tc>
          <w:tcPr>
            <w:tcW w:w="0" w:type="auto"/>
          </w:tcPr>
          <w:p w14:paraId="770F34E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1D6D0F2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7BEC376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015F5C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5583D10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CF7CB2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093A1C9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567C33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</w:tcPr>
          <w:p w14:paraId="48B9FB1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044EF49F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60B7EA54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201" w:type="dxa"/>
          </w:tcPr>
          <w:p w14:paraId="0AA58B9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BE9932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ABEEA7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93623B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D04CB5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BF9BAB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67D173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7EF46F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181F98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24E5F5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3ABBE3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EADB76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96289D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640B205F" w14:textId="77777777" w:rsidR="001E49FB" w:rsidRPr="0018548E" w:rsidRDefault="001E49FB" w:rsidP="001E49FB">
      <w:pPr>
        <w:pStyle w:val="TeseCorpo"/>
        <w:spacing w:line="240" w:lineRule="auto"/>
        <w:rPr>
          <w:lang w:val="en-GB" w:eastAsia="pt-PT"/>
        </w:rPr>
      </w:pPr>
    </w:p>
    <w:p w14:paraId="7E97FEA6" w14:textId="77777777" w:rsidR="001E49FB" w:rsidRPr="0018548E" w:rsidRDefault="001E49FB" w:rsidP="001E49FB">
      <w:pPr>
        <w:pStyle w:val="Legenda"/>
        <w:keepNext/>
        <w:spacing w:line="240" w:lineRule="auto"/>
        <w:rPr>
          <w:lang w:val="en-GB"/>
        </w:rPr>
      </w:pPr>
      <w:bookmarkStart w:id="14" w:name="_Toc161614524"/>
      <w:r w:rsidRPr="0018548E">
        <w:lastRenderedPageBreak/>
        <w:t xml:space="preserve">Mesa </w:t>
      </w:r>
      <w:r w:rsidRPr="0018548E">
        <w:fldChar w:fldCharType="begin"/>
      </w:r>
      <w:r w:rsidRPr="0018548E">
        <w:instrText xml:space="preserve"> STYLEREF 1 \s </w:instrText>
      </w:r>
      <w:r w:rsidRPr="0018548E">
        <w:fldChar w:fldCharType="separate"/>
      </w:r>
      <w:r>
        <w:rPr>
          <w:noProof/>
        </w:rPr>
        <w:t>9</w:t>
      </w:r>
      <w:r w:rsidRPr="0018548E">
        <w:fldChar w:fldCharType="end"/>
      </w:r>
      <w:r w:rsidRPr="0018548E">
        <w:noBreakHyphen/>
      </w:r>
      <w:r w:rsidRPr="0018548E">
        <w:fldChar w:fldCharType="begin"/>
      </w:r>
      <w:r w:rsidRPr="0018548E">
        <w:instrText xml:space="preserve"> SEQ Table \* ARABIC \s 1 </w:instrText>
      </w:r>
      <w:r w:rsidRPr="0018548E">
        <w:fldChar w:fldCharType="separate"/>
      </w:r>
      <w:r>
        <w:rPr>
          <w:noProof/>
        </w:rPr>
        <w:t>36</w:t>
      </w:r>
      <w:r w:rsidRPr="0018548E">
        <w:fldChar w:fldCharType="end"/>
      </w:r>
      <w:r w:rsidRPr="0018548E">
        <w:t xml:space="preserve">  - Plano de ação para a dimensão 5.1 - Protocolo de avaliação</w:t>
      </w:r>
      <w:bookmarkEnd w:id="14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66"/>
        <w:gridCol w:w="1987"/>
        <w:gridCol w:w="2713"/>
        <w:gridCol w:w="2197"/>
        <w:gridCol w:w="1612"/>
        <w:gridCol w:w="813"/>
        <w:gridCol w:w="459"/>
        <w:gridCol w:w="300"/>
        <w:gridCol w:w="300"/>
        <w:gridCol w:w="300"/>
        <w:gridCol w:w="300"/>
        <w:gridCol w:w="300"/>
        <w:gridCol w:w="517"/>
        <w:gridCol w:w="838"/>
      </w:tblGrid>
      <w:tr w:rsidR="001E49FB" w:rsidRPr="0018548E" w14:paraId="78700054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0B050"/>
          </w:tcPr>
          <w:p w14:paraId="28112B28" w14:textId="77777777" w:rsidR="001E49FB" w:rsidRPr="0018548E" w:rsidRDefault="001E49FB" w:rsidP="001E49FB">
            <w:pPr>
              <w:spacing w:line="240" w:lineRule="auto"/>
              <w:rPr>
                <w:color w:val="FFFFFF" w:themeColor="background1"/>
                <w:sz w:val="18"/>
                <w:szCs w:val="18"/>
                <w:lang w:val="en-GB"/>
              </w:rPr>
            </w:pPr>
            <w:r w:rsidRPr="0018548E">
              <w:rPr>
                <w:color w:val="FFFFFF" w:themeColor="background1"/>
                <w:sz w:val="18"/>
                <w:szCs w:val="18"/>
              </w:rPr>
              <w:t>PLANO DE AÇÃO - Protocolo de Avaliação</w:t>
            </w:r>
          </w:p>
        </w:tc>
        <w:tc>
          <w:tcPr>
            <w:tcW w:w="0" w:type="auto"/>
            <w:shd w:val="clear" w:color="auto" w:fill="00B050"/>
          </w:tcPr>
          <w:p w14:paraId="35B152F5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6EC84809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480629B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C5385FD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4B47FECB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2406A151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2D6765A9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72B3D7F0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4A51E333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7BC99750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Objetivo 13 – Estabelecer práticas sustentáveis para avaliação</w:t>
            </w:r>
          </w:p>
        </w:tc>
        <w:tc>
          <w:tcPr>
            <w:tcW w:w="0" w:type="auto"/>
          </w:tcPr>
          <w:p w14:paraId="7FBEE18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8DFEA6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130B8A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6528B7D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6621460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589ABE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D95945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E67AC8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6B23C827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4285EB8D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1: Quantificar e monitorar o consumo</w:t>
            </w:r>
          </w:p>
        </w:tc>
        <w:tc>
          <w:tcPr>
            <w:tcW w:w="0" w:type="auto"/>
          </w:tcPr>
          <w:p w14:paraId="26AA59C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5"/>
          </w:tcPr>
          <w:p w14:paraId="70426A00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</w:rPr>
              <w:t>LINHA DO TEMPO</w:t>
            </w:r>
          </w:p>
        </w:tc>
        <w:tc>
          <w:tcPr>
            <w:tcW w:w="0" w:type="auto"/>
          </w:tcPr>
          <w:p w14:paraId="3EE96BE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BDC3D2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1B8AD08B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56C27415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041" w:type="dxa"/>
          </w:tcPr>
          <w:p w14:paraId="7CEC237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Ação</w:t>
            </w:r>
          </w:p>
        </w:tc>
        <w:tc>
          <w:tcPr>
            <w:tcW w:w="2824" w:type="dxa"/>
          </w:tcPr>
          <w:p w14:paraId="0A19844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Nome do indicador</w:t>
            </w:r>
          </w:p>
        </w:tc>
        <w:tc>
          <w:tcPr>
            <w:tcW w:w="2268" w:type="dxa"/>
          </w:tcPr>
          <w:p w14:paraId="0FF3FE3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Métrica</w:t>
            </w:r>
          </w:p>
        </w:tc>
        <w:tc>
          <w:tcPr>
            <w:tcW w:w="1637" w:type="dxa"/>
          </w:tcPr>
          <w:p w14:paraId="1E6D6CB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Objetivo (Período)</w:t>
            </w:r>
          </w:p>
        </w:tc>
        <w:tc>
          <w:tcPr>
            <w:tcW w:w="0" w:type="auto"/>
          </w:tcPr>
          <w:p w14:paraId="66EF5F7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Começar</w:t>
            </w:r>
          </w:p>
        </w:tc>
        <w:tc>
          <w:tcPr>
            <w:tcW w:w="0" w:type="auto"/>
          </w:tcPr>
          <w:p w14:paraId="082D8B8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Fim</w:t>
            </w:r>
          </w:p>
        </w:tc>
        <w:tc>
          <w:tcPr>
            <w:tcW w:w="0" w:type="auto"/>
          </w:tcPr>
          <w:p w14:paraId="564DADB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1</w:t>
            </w:r>
          </w:p>
        </w:tc>
        <w:tc>
          <w:tcPr>
            <w:tcW w:w="0" w:type="auto"/>
          </w:tcPr>
          <w:p w14:paraId="7D0DA40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2</w:t>
            </w:r>
          </w:p>
        </w:tc>
        <w:tc>
          <w:tcPr>
            <w:tcW w:w="0" w:type="auto"/>
          </w:tcPr>
          <w:p w14:paraId="0F5BD33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3</w:t>
            </w:r>
          </w:p>
        </w:tc>
        <w:tc>
          <w:tcPr>
            <w:tcW w:w="0" w:type="auto"/>
          </w:tcPr>
          <w:p w14:paraId="50C2403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4</w:t>
            </w:r>
          </w:p>
        </w:tc>
        <w:tc>
          <w:tcPr>
            <w:tcW w:w="0" w:type="auto"/>
          </w:tcPr>
          <w:p w14:paraId="47256A8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5</w:t>
            </w:r>
          </w:p>
        </w:tc>
        <w:tc>
          <w:tcPr>
            <w:tcW w:w="0" w:type="auto"/>
          </w:tcPr>
          <w:p w14:paraId="01745E8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</w:tcPr>
          <w:p w14:paraId="685B8F0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SI</w:t>
            </w:r>
          </w:p>
        </w:tc>
      </w:tr>
      <w:tr w:rsidR="001E49FB" w:rsidRPr="0018548E" w14:paraId="78E44CEB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shd w:val="clear" w:color="auto" w:fill="auto"/>
          </w:tcPr>
          <w:p w14:paraId="376F3100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EXT_Obj13_Act1</w:t>
            </w:r>
          </w:p>
        </w:tc>
        <w:tc>
          <w:tcPr>
            <w:tcW w:w="2041" w:type="dxa"/>
          </w:tcPr>
          <w:p w14:paraId="3FB791E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Avaliar se a IES possui estrutura formal de monitoramento do desempenho ambiental</w:t>
            </w:r>
          </w:p>
        </w:tc>
        <w:tc>
          <w:tcPr>
            <w:tcW w:w="2824" w:type="dxa"/>
          </w:tcPr>
          <w:p w14:paraId="00665BD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Existência de estrutura formal para monitorização do desempenho ambiental das IES</w:t>
            </w:r>
          </w:p>
        </w:tc>
        <w:tc>
          <w:tcPr>
            <w:tcW w:w="2268" w:type="dxa"/>
          </w:tcPr>
          <w:p w14:paraId="71DEDF2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A IES tem estrutura formal para monitorar o desempenho ambiental? (s/n)</w:t>
            </w:r>
          </w:p>
        </w:tc>
        <w:tc>
          <w:tcPr>
            <w:tcW w:w="1637" w:type="dxa"/>
          </w:tcPr>
          <w:p w14:paraId="0E250D3B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Ter estrutura formal para monitorar o desempenho ambiental</w:t>
            </w:r>
          </w:p>
        </w:tc>
        <w:tc>
          <w:tcPr>
            <w:tcW w:w="0" w:type="auto"/>
          </w:tcPr>
          <w:p w14:paraId="3E795BB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50C12A3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D7C6D0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97037A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113064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1E40BF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4ABAB1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8D0741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</w:tcPr>
          <w:p w14:paraId="20019CA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PROPLAN</w:t>
            </w:r>
          </w:p>
        </w:tc>
      </w:tr>
      <w:tr w:rsidR="001E49FB" w:rsidRPr="0018548E" w14:paraId="6A51D256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shd w:val="clear" w:color="auto" w:fill="auto"/>
          </w:tcPr>
          <w:p w14:paraId="6967DCCA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EXT_Obj13_Act2</w:t>
            </w:r>
          </w:p>
        </w:tc>
        <w:tc>
          <w:tcPr>
            <w:tcW w:w="2041" w:type="dxa"/>
          </w:tcPr>
          <w:p w14:paraId="508E105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Avaliar se a IES possui um sistema abrangente de indicadores formalmente estabelecidos para os principais aspectos de sustentabilidade da IES</w:t>
            </w:r>
          </w:p>
        </w:tc>
        <w:tc>
          <w:tcPr>
            <w:tcW w:w="2824" w:type="dxa"/>
          </w:tcPr>
          <w:p w14:paraId="7514D29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Sistema abrangente de indicadores formalmente estabelecidos para os principais aspectos de sustentabilidade da IES (incluindo, pelo menos, energia, água, currículo, pesquisa e resíduos)</w:t>
            </w:r>
          </w:p>
        </w:tc>
        <w:tc>
          <w:tcPr>
            <w:tcW w:w="2268" w:type="dxa"/>
          </w:tcPr>
          <w:p w14:paraId="3ADF923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O sistema abrangente de IES estabeleceu formalmente indicadores para os principais aspectos de sustentabilidade da IES? (s/n)</w:t>
            </w:r>
          </w:p>
        </w:tc>
        <w:tc>
          <w:tcPr>
            <w:tcW w:w="1637" w:type="dxa"/>
          </w:tcPr>
          <w:p w14:paraId="2DF84994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Ter um sistema abrangente de indicadores formalmente estabelecidos para os principais aspectos de sustentabilidade da IES</w:t>
            </w:r>
          </w:p>
        </w:tc>
        <w:tc>
          <w:tcPr>
            <w:tcW w:w="0" w:type="auto"/>
          </w:tcPr>
          <w:p w14:paraId="292B7C3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0448644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83CCB8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F58763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FBC386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2CDB7F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91851A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5007CE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EC4ADF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58ADC08C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5FFF1AA3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2: Promover a redução do uso</w:t>
            </w:r>
          </w:p>
        </w:tc>
      </w:tr>
      <w:tr w:rsidR="001E49FB" w:rsidRPr="001A558F" w14:paraId="585472A5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shd w:val="clear" w:color="auto" w:fill="auto"/>
          </w:tcPr>
          <w:p w14:paraId="1CC092D4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</w:p>
        </w:tc>
        <w:tc>
          <w:tcPr>
            <w:tcW w:w="2041" w:type="dxa"/>
          </w:tcPr>
          <w:p w14:paraId="22CD8BE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824" w:type="dxa"/>
          </w:tcPr>
          <w:p w14:paraId="427E1D2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268" w:type="dxa"/>
          </w:tcPr>
          <w:p w14:paraId="7B31260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637" w:type="dxa"/>
          </w:tcPr>
          <w:p w14:paraId="278CB19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B868A3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370F99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0248DC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560807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22CEEE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0D705E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40AB99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A7F097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69AB66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4E623913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3ABF0CFE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3 – Campanhas SD</w:t>
            </w:r>
          </w:p>
        </w:tc>
      </w:tr>
      <w:tr w:rsidR="001E49FB" w:rsidRPr="0018548E" w14:paraId="32DBE657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shd w:val="clear" w:color="auto" w:fill="auto"/>
          </w:tcPr>
          <w:p w14:paraId="29346EB6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2041" w:type="dxa"/>
          </w:tcPr>
          <w:p w14:paraId="5B8809A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824" w:type="dxa"/>
          </w:tcPr>
          <w:p w14:paraId="0CE7BEE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ab/>
            </w:r>
          </w:p>
        </w:tc>
        <w:tc>
          <w:tcPr>
            <w:tcW w:w="2268" w:type="dxa"/>
          </w:tcPr>
          <w:p w14:paraId="3192D52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637" w:type="dxa"/>
          </w:tcPr>
          <w:p w14:paraId="6908B02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D59D63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A7B582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8F223D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C55CE1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2D114A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A12876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3E1B63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51747A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</w:tcPr>
          <w:p w14:paraId="0923861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2506A01C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3920641C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2041" w:type="dxa"/>
          </w:tcPr>
          <w:p w14:paraId="2AAD4B1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824" w:type="dxa"/>
          </w:tcPr>
          <w:p w14:paraId="552728D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268" w:type="dxa"/>
          </w:tcPr>
          <w:p w14:paraId="5A56BEB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637" w:type="dxa"/>
          </w:tcPr>
          <w:p w14:paraId="4CE00B1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A162E3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FF720E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6B56D7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934851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EE33CB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E9D258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DB4845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1465D4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374DB1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0A390AF9" w14:textId="77777777" w:rsidR="001E49FB" w:rsidRPr="0018548E" w:rsidRDefault="001E49FB" w:rsidP="001E49FB">
      <w:pPr>
        <w:pStyle w:val="TeseCorpo"/>
        <w:spacing w:line="240" w:lineRule="auto"/>
        <w:rPr>
          <w:lang w:val="en-GB" w:eastAsia="pt-PT"/>
        </w:rPr>
      </w:pPr>
    </w:p>
    <w:p w14:paraId="229DA8A0" w14:textId="77777777" w:rsidR="001E49FB" w:rsidRPr="0018548E" w:rsidRDefault="001E49FB" w:rsidP="001E49FB">
      <w:pPr>
        <w:pStyle w:val="Legenda"/>
        <w:keepNext/>
        <w:spacing w:line="240" w:lineRule="auto"/>
        <w:rPr>
          <w:lang w:val="en-GB"/>
        </w:rPr>
      </w:pPr>
      <w:bookmarkStart w:id="15" w:name="_Toc161614527"/>
      <w:r w:rsidRPr="0018548E">
        <w:t xml:space="preserve">Mesa </w:t>
      </w:r>
      <w:r w:rsidRPr="0018548E">
        <w:fldChar w:fldCharType="begin"/>
      </w:r>
      <w:r w:rsidRPr="0018548E">
        <w:instrText xml:space="preserve"> STYLEREF 1 \s </w:instrText>
      </w:r>
      <w:r w:rsidRPr="0018548E">
        <w:fldChar w:fldCharType="separate"/>
      </w:r>
      <w:r>
        <w:rPr>
          <w:noProof/>
        </w:rPr>
        <w:t>9</w:t>
      </w:r>
      <w:r w:rsidRPr="0018548E">
        <w:fldChar w:fldCharType="end"/>
      </w:r>
      <w:r w:rsidRPr="0018548E">
        <w:noBreakHyphen/>
      </w:r>
      <w:r w:rsidRPr="0018548E">
        <w:fldChar w:fldCharType="begin"/>
      </w:r>
      <w:r w:rsidRPr="0018548E">
        <w:instrText xml:space="preserve"> SEQ Table \* ARABIC \s 1 </w:instrText>
      </w:r>
      <w:r w:rsidRPr="0018548E">
        <w:fldChar w:fldCharType="separate"/>
      </w:r>
      <w:r>
        <w:rPr>
          <w:noProof/>
        </w:rPr>
        <w:t>39</w:t>
      </w:r>
      <w:r w:rsidRPr="0018548E">
        <w:fldChar w:fldCharType="end"/>
      </w:r>
      <w:r w:rsidRPr="0018548E">
        <w:t xml:space="preserve"> - Plano de ação para a dimensão 5.2 - Comunicação de DS</w:t>
      </w:r>
      <w:bookmarkEnd w:id="15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77"/>
        <w:gridCol w:w="1734"/>
        <w:gridCol w:w="2394"/>
        <w:gridCol w:w="1366"/>
        <w:gridCol w:w="1292"/>
        <w:gridCol w:w="801"/>
        <w:gridCol w:w="813"/>
        <w:gridCol w:w="574"/>
        <w:gridCol w:w="574"/>
        <w:gridCol w:w="574"/>
        <w:gridCol w:w="574"/>
        <w:gridCol w:w="574"/>
        <w:gridCol w:w="517"/>
        <w:gridCol w:w="838"/>
      </w:tblGrid>
      <w:tr w:rsidR="001E49FB" w:rsidRPr="0018548E" w14:paraId="3B4E6CA5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0B050"/>
          </w:tcPr>
          <w:p w14:paraId="155AD706" w14:textId="77777777" w:rsidR="001E49FB" w:rsidRPr="0018548E" w:rsidRDefault="001E49FB" w:rsidP="001E49FB">
            <w:pPr>
              <w:spacing w:line="240" w:lineRule="auto"/>
              <w:rPr>
                <w:sz w:val="18"/>
                <w:szCs w:val="18"/>
                <w:lang w:val="en-GB"/>
              </w:rPr>
            </w:pPr>
            <w:bookmarkStart w:id="16" w:name="_Hlk130567658"/>
            <w:r w:rsidRPr="0018548E">
              <w:rPr>
                <w:color w:val="FFFFFF" w:themeColor="background1"/>
                <w:sz w:val="18"/>
                <w:szCs w:val="18"/>
              </w:rPr>
              <w:t>PLANO DE AÇÃO - Reporting DS</w:t>
            </w:r>
          </w:p>
        </w:tc>
        <w:tc>
          <w:tcPr>
            <w:tcW w:w="0" w:type="auto"/>
            <w:shd w:val="clear" w:color="auto" w:fill="00B050"/>
          </w:tcPr>
          <w:p w14:paraId="58F7ACF0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0B25006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43B4D20B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AEABE00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6A87BCD8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7464A92B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54BADCBE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FB34442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A558F" w14:paraId="20E6E4F3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4AAAD985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Objetivo 14 – Estabelecer práticas sustentáveis para a comunicação de DS</w:t>
            </w:r>
          </w:p>
        </w:tc>
        <w:tc>
          <w:tcPr>
            <w:tcW w:w="0" w:type="auto"/>
          </w:tcPr>
          <w:p w14:paraId="1767AC8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F521EB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0C7044D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4A0EC71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3F8EAB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6F523AA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40A0613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63BE91A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65726E31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54EA0EF9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1: Quantificar e monitorar o consumo</w:t>
            </w:r>
          </w:p>
        </w:tc>
        <w:tc>
          <w:tcPr>
            <w:tcW w:w="0" w:type="auto"/>
          </w:tcPr>
          <w:p w14:paraId="324D585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5"/>
          </w:tcPr>
          <w:p w14:paraId="5C432BC4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</w:rPr>
              <w:t>LINHA DO TEMPO</w:t>
            </w:r>
          </w:p>
        </w:tc>
        <w:tc>
          <w:tcPr>
            <w:tcW w:w="0" w:type="auto"/>
          </w:tcPr>
          <w:p w14:paraId="17F2EB7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D3F6E2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4198F0C7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1FA3054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741" w:type="dxa"/>
          </w:tcPr>
          <w:p w14:paraId="261D014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Ação</w:t>
            </w:r>
          </w:p>
        </w:tc>
        <w:tc>
          <w:tcPr>
            <w:tcW w:w="2410" w:type="dxa"/>
          </w:tcPr>
          <w:p w14:paraId="41C5BC1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Nome do indicador</w:t>
            </w:r>
          </w:p>
        </w:tc>
        <w:tc>
          <w:tcPr>
            <w:tcW w:w="1277" w:type="dxa"/>
          </w:tcPr>
          <w:p w14:paraId="59CE391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</w:rPr>
              <w:t>Métrica</w:t>
            </w:r>
          </w:p>
        </w:tc>
        <w:tc>
          <w:tcPr>
            <w:tcW w:w="0" w:type="auto"/>
          </w:tcPr>
          <w:p w14:paraId="5770122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Objetivo (Período)</w:t>
            </w:r>
          </w:p>
        </w:tc>
        <w:tc>
          <w:tcPr>
            <w:tcW w:w="0" w:type="auto"/>
          </w:tcPr>
          <w:p w14:paraId="0176096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Começar</w:t>
            </w:r>
          </w:p>
        </w:tc>
        <w:tc>
          <w:tcPr>
            <w:tcW w:w="0" w:type="auto"/>
          </w:tcPr>
          <w:p w14:paraId="2852E7E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Fim</w:t>
            </w:r>
          </w:p>
        </w:tc>
        <w:tc>
          <w:tcPr>
            <w:tcW w:w="0" w:type="auto"/>
          </w:tcPr>
          <w:p w14:paraId="0F97EAC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1</w:t>
            </w:r>
          </w:p>
        </w:tc>
        <w:tc>
          <w:tcPr>
            <w:tcW w:w="0" w:type="auto"/>
          </w:tcPr>
          <w:p w14:paraId="5215BEE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2</w:t>
            </w:r>
          </w:p>
        </w:tc>
        <w:tc>
          <w:tcPr>
            <w:tcW w:w="0" w:type="auto"/>
          </w:tcPr>
          <w:p w14:paraId="274A4CE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3</w:t>
            </w:r>
          </w:p>
        </w:tc>
        <w:tc>
          <w:tcPr>
            <w:tcW w:w="0" w:type="auto"/>
          </w:tcPr>
          <w:p w14:paraId="6874D79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4</w:t>
            </w:r>
          </w:p>
        </w:tc>
        <w:tc>
          <w:tcPr>
            <w:tcW w:w="0" w:type="auto"/>
          </w:tcPr>
          <w:p w14:paraId="657F92F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Y 5</w:t>
            </w:r>
          </w:p>
        </w:tc>
        <w:tc>
          <w:tcPr>
            <w:tcW w:w="0" w:type="auto"/>
          </w:tcPr>
          <w:p w14:paraId="6A3723F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</w:tcPr>
          <w:p w14:paraId="606C9B9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</w:rPr>
              <w:t>SI</w:t>
            </w:r>
          </w:p>
        </w:tc>
      </w:tr>
      <w:tr w:rsidR="001E49FB" w:rsidRPr="0018548E" w14:paraId="44B272A2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2359D9B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EXT_Obj14_Act1</w:t>
            </w:r>
          </w:p>
        </w:tc>
        <w:tc>
          <w:tcPr>
            <w:tcW w:w="1741" w:type="dxa"/>
          </w:tcPr>
          <w:p w14:paraId="4902DA2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Avaliar se a IES dispõe de uma cobertura exaustiva de dados sobre os relatórios de avaliação da sustentabilidade</w:t>
            </w:r>
          </w:p>
        </w:tc>
        <w:tc>
          <w:tcPr>
            <w:tcW w:w="2410" w:type="dxa"/>
          </w:tcPr>
          <w:p w14:paraId="0D78411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Cobertura abrangente de dados sobre os relatórios de avaliação da sustentabilidade (setoriais da IES como um todo)</w:t>
            </w:r>
          </w:p>
        </w:tc>
        <w:tc>
          <w:tcPr>
            <w:tcW w:w="1277" w:type="dxa"/>
          </w:tcPr>
          <w:p w14:paraId="596511C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 xml:space="preserve">A IES tem cobertura abrangente de dados de relatórios de avaliação de </w:t>
            </w:r>
            <w:r w:rsidRPr="0018548E">
              <w:rPr>
                <w:rFonts w:cstheme="majorHAnsi"/>
                <w:sz w:val="16"/>
                <w:szCs w:val="16"/>
              </w:rPr>
              <w:lastRenderedPageBreak/>
              <w:t>sustentabilidade? (s/n)</w:t>
            </w:r>
          </w:p>
        </w:tc>
        <w:tc>
          <w:tcPr>
            <w:tcW w:w="0" w:type="auto"/>
          </w:tcPr>
          <w:p w14:paraId="1567C8A7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lastRenderedPageBreak/>
              <w:t xml:space="preserve">Ter uma cobertura abrangente de dados dos relatórios de </w:t>
            </w:r>
            <w:r w:rsidRPr="0018548E">
              <w:rPr>
                <w:rFonts w:cstheme="majorHAnsi"/>
                <w:sz w:val="16"/>
                <w:szCs w:val="16"/>
                <w:lang w:eastAsia="en-US"/>
              </w:rPr>
              <w:lastRenderedPageBreak/>
              <w:t>avaliação de sustentabilidade</w:t>
            </w:r>
          </w:p>
        </w:tc>
        <w:tc>
          <w:tcPr>
            <w:tcW w:w="0" w:type="auto"/>
          </w:tcPr>
          <w:p w14:paraId="49895B7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58722A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1C481CA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5802C4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12F721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437BA9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8FDE03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!00%</w:t>
            </w:r>
          </w:p>
        </w:tc>
        <w:tc>
          <w:tcPr>
            <w:tcW w:w="0" w:type="auto"/>
          </w:tcPr>
          <w:p w14:paraId="2E8E672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</w:tcPr>
          <w:p w14:paraId="28183B9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PROPLAN</w:t>
            </w:r>
          </w:p>
        </w:tc>
      </w:tr>
      <w:tr w:rsidR="001E49FB" w:rsidRPr="0018548E" w14:paraId="36D2DC51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0CE490D7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EXT_Obj14_Act2</w:t>
            </w:r>
          </w:p>
        </w:tc>
        <w:tc>
          <w:tcPr>
            <w:tcW w:w="1741" w:type="dxa"/>
          </w:tcPr>
          <w:p w14:paraId="37952F5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Avaliar se as IES publicam relatórios no site institucional</w:t>
            </w:r>
          </w:p>
        </w:tc>
        <w:tc>
          <w:tcPr>
            <w:tcW w:w="2410" w:type="dxa"/>
          </w:tcPr>
          <w:p w14:paraId="714709E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Disponibilização de relatórios no site institucional</w:t>
            </w:r>
          </w:p>
        </w:tc>
        <w:tc>
          <w:tcPr>
            <w:tcW w:w="1277" w:type="dxa"/>
          </w:tcPr>
          <w:p w14:paraId="4D52E9A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A Hei publica relatórios de sustentabilidade em instituições de ensino? (s/n)</w:t>
            </w:r>
          </w:p>
        </w:tc>
        <w:tc>
          <w:tcPr>
            <w:tcW w:w="0" w:type="auto"/>
          </w:tcPr>
          <w:p w14:paraId="00DBBC9D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eastAsia="en-US"/>
              </w:rPr>
              <w:t>Ter publicado relatórios de sustentabilidade sobre instituições</w:t>
            </w:r>
          </w:p>
        </w:tc>
        <w:tc>
          <w:tcPr>
            <w:tcW w:w="0" w:type="auto"/>
          </w:tcPr>
          <w:p w14:paraId="08DF84F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1FBC3F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329A3C8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210DC0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BD6BF1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86EC2B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C30674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7F7F51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E82B12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02E7BC12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525ADD47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2: Promover a redução do uso</w:t>
            </w:r>
          </w:p>
        </w:tc>
      </w:tr>
      <w:tr w:rsidR="001E49FB" w:rsidRPr="001A558F" w14:paraId="6D56B3B7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0F26B8C3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</w:p>
        </w:tc>
        <w:tc>
          <w:tcPr>
            <w:tcW w:w="1741" w:type="dxa"/>
          </w:tcPr>
          <w:p w14:paraId="5B8AC97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410" w:type="dxa"/>
          </w:tcPr>
          <w:p w14:paraId="7660972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277" w:type="dxa"/>
          </w:tcPr>
          <w:p w14:paraId="7294803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607F3A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A1C467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9C8C89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6C3C52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F7079B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8FAFD1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FCBFC0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F90538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EE0A08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A7C4B0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5CB6C4C2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32395676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</w:rPr>
              <w:t>Dimensão 3 – Campanhas SD</w:t>
            </w:r>
          </w:p>
        </w:tc>
      </w:tr>
      <w:tr w:rsidR="001E49FB" w:rsidRPr="0018548E" w14:paraId="1B72AC27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6AA722C9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</w:rPr>
              <w:t>EXT_Obj14_Act3</w:t>
            </w:r>
          </w:p>
        </w:tc>
        <w:tc>
          <w:tcPr>
            <w:tcW w:w="1741" w:type="dxa"/>
          </w:tcPr>
          <w:p w14:paraId="28EE70D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Desenvolver uma campanha de divulgação do compromisso institucional com o DS</w:t>
            </w:r>
          </w:p>
        </w:tc>
        <w:tc>
          <w:tcPr>
            <w:tcW w:w="2410" w:type="dxa"/>
          </w:tcPr>
          <w:p w14:paraId="5E6B5FD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Campanhas de divulgação do desempenho ambiental das IES</w:t>
            </w:r>
          </w:p>
        </w:tc>
        <w:tc>
          <w:tcPr>
            <w:tcW w:w="1277" w:type="dxa"/>
          </w:tcPr>
          <w:p w14:paraId="58497BD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Número de campanhas de divulgação do desempenho ambiental das IES criadas por semestre</w:t>
            </w:r>
          </w:p>
        </w:tc>
        <w:tc>
          <w:tcPr>
            <w:tcW w:w="0" w:type="auto"/>
          </w:tcPr>
          <w:p w14:paraId="16220B0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Ter pelo menos 4 campanhas criadas por semestre (contínuas)</w:t>
            </w:r>
          </w:p>
        </w:tc>
        <w:tc>
          <w:tcPr>
            <w:tcW w:w="0" w:type="auto"/>
          </w:tcPr>
          <w:p w14:paraId="330CFBE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Entrada em vigor</w:t>
            </w:r>
          </w:p>
        </w:tc>
        <w:tc>
          <w:tcPr>
            <w:tcW w:w="0" w:type="auto"/>
          </w:tcPr>
          <w:p w14:paraId="1428C54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Contínuo</w:t>
            </w:r>
          </w:p>
        </w:tc>
        <w:tc>
          <w:tcPr>
            <w:tcW w:w="0" w:type="auto"/>
          </w:tcPr>
          <w:p w14:paraId="7B241D8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338D0EB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45798FE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6392E84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5E52D8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100%</w:t>
            </w:r>
          </w:p>
        </w:tc>
        <w:tc>
          <w:tcPr>
            <w:tcW w:w="0" w:type="auto"/>
          </w:tcPr>
          <w:p w14:paraId="1410700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</w:rPr>
              <w:t>EMC</w:t>
            </w:r>
          </w:p>
        </w:tc>
        <w:tc>
          <w:tcPr>
            <w:tcW w:w="0" w:type="auto"/>
          </w:tcPr>
          <w:p w14:paraId="55A7A50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736E28FF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94306E6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741" w:type="dxa"/>
          </w:tcPr>
          <w:p w14:paraId="3B6C57E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410" w:type="dxa"/>
          </w:tcPr>
          <w:p w14:paraId="46753B8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277" w:type="dxa"/>
          </w:tcPr>
          <w:p w14:paraId="1A7927C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4F885B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D2E97B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F7E55D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CAEF7B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F61D13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6A40B9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E5C725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B9A99E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50F95F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1F8735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bookmarkEnd w:id="16"/>
    </w:tbl>
    <w:p w14:paraId="6427AEA7" w14:textId="77777777" w:rsidR="001E49FB" w:rsidRPr="0018548E" w:rsidRDefault="001E49FB" w:rsidP="001E49FB">
      <w:pPr>
        <w:pStyle w:val="TeseCorpo"/>
        <w:spacing w:line="240" w:lineRule="auto"/>
        <w:rPr>
          <w:lang w:val="en-GB" w:eastAsia="pt-PT"/>
        </w:rPr>
      </w:pPr>
    </w:p>
    <w:p w14:paraId="70A4964D" w14:textId="77777777" w:rsidR="001E49FB" w:rsidRDefault="001E49FB" w:rsidP="001E49FB">
      <w:pPr>
        <w:spacing w:line="240" w:lineRule="auto"/>
        <w:rPr>
          <w:lang w:val="pt-PT"/>
        </w:rPr>
      </w:pPr>
    </w:p>
    <w:p w14:paraId="4EA7CFDC" w14:textId="77777777" w:rsidR="002E2EEA" w:rsidRDefault="002E2EEA" w:rsidP="001E49FB">
      <w:pPr>
        <w:spacing w:line="240" w:lineRule="auto"/>
        <w:rPr>
          <w:lang w:val="pt-PT"/>
        </w:rPr>
      </w:pPr>
    </w:p>
    <w:p w14:paraId="5E949C92" w14:textId="77777777" w:rsidR="002E2EEA" w:rsidRDefault="002E2EEA" w:rsidP="001E49FB">
      <w:pPr>
        <w:spacing w:line="240" w:lineRule="auto"/>
        <w:rPr>
          <w:lang w:val="pt-PT"/>
        </w:rPr>
      </w:pPr>
    </w:p>
    <w:p w14:paraId="7E6D5E72" w14:textId="77777777" w:rsidR="002E2EEA" w:rsidRDefault="002E2EEA" w:rsidP="001E49FB">
      <w:pPr>
        <w:spacing w:line="240" w:lineRule="auto"/>
        <w:rPr>
          <w:lang w:val="pt-PT"/>
        </w:rPr>
      </w:pPr>
    </w:p>
    <w:p w14:paraId="11ED7D48" w14:textId="77777777" w:rsidR="002E2EEA" w:rsidRDefault="002E2EEA" w:rsidP="001E49FB">
      <w:pPr>
        <w:spacing w:line="240" w:lineRule="auto"/>
        <w:rPr>
          <w:lang w:val="pt-PT"/>
        </w:rPr>
      </w:pPr>
    </w:p>
    <w:p w14:paraId="505AD09A" w14:textId="6D0D0108" w:rsidR="002E2EEA" w:rsidRPr="001E49FB" w:rsidRDefault="002E2EEA" w:rsidP="002E2EEA">
      <w:pPr>
        <w:spacing w:line="240" w:lineRule="auto"/>
        <w:rPr>
          <w:lang w:val="pt-PT"/>
        </w:rPr>
      </w:pPr>
    </w:p>
    <w:sectPr w:rsidR="002E2EEA" w:rsidRPr="001E49FB" w:rsidSect="001E49FB">
      <w:pgSz w:w="16838" w:h="11906" w:orient="landscape"/>
      <w:pgMar w:top="1418" w:right="1418" w:bottom="1418" w:left="1418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  <w:sig w:usb0="800000AF" w:usb1="000078F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FB"/>
    <w:rsid w:val="000B2081"/>
    <w:rsid w:val="00123139"/>
    <w:rsid w:val="00123585"/>
    <w:rsid w:val="0019309C"/>
    <w:rsid w:val="001E49FB"/>
    <w:rsid w:val="00267BF0"/>
    <w:rsid w:val="002E2EEA"/>
    <w:rsid w:val="004437C5"/>
    <w:rsid w:val="0047089D"/>
    <w:rsid w:val="004F2E41"/>
    <w:rsid w:val="0050055A"/>
    <w:rsid w:val="005843C2"/>
    <w:rsid w:val="005C351E"/>
    <w:rsid w:val="0064743F"/>
    <w:rsid w:val="007251B7"/>
    <w:rsid w:val="00857F5C"/>
    <w:rsid w:val="0087399D"/>
    <w:rsid w:val="00931322"/>
    <w:rsid w:val="00945D4B"/>
    <w:rsid w:val="009F48CE"/>
    <w:rsid w:val="009F5E5E"/>
    <w:rsid w:val="00B00626"/>
    <w:rsid w:val="00B92E6C"/>
    <w:rsid w:val="00BB5462"/>
    <w:rsid w:val="00C56C92"/>
    <w:rsid w:val="00D7008B"/>
    <w:rsid w:val="00E57283"/>
    <w:rsid w:val="00E72BD8"/>
    <w:rsid w:val="00F13C8C"/>
    <w:rsid w:val="00F6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4A40"/>
  <w15:chartTrackingRefBased/>
  <w15:docId w15:val="{A1C665EA-07C1-473F-A5CC-50262BD6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9FB"/>
    <w:pPr>
      <w:spacing w:after="0" w:line="360" w:lineRule="auto"/>
    </w:pPr>
    <w:rPr>
      <w:rFonts w:ascii="NewsGotT" w:hAnsi="NewsGotT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E49F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49F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49F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49F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lang w:val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49F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lang w:val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49FB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val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49FB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val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49FB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val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49FB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4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4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4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49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49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49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49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49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49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4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1E4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49F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tuloChar">
    <w:name w:val="Subtítulo Char"/>
    <w:basedOn w:val="Fontepargpadro"/>
    <w:link w:val="Subttulo"/>
    <w:uiPriority w:val="11"/>
    <w:rsid w:val="001E4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49FB"/>
    <w:pPr>
      <w:spacing w:before="160" w:after="160" w:line="259" w:lineRule="auto"/>
      <w:jc w:val="center"/>
    </w:pPr>
    <w:rPr>
      <w:rFonts w:asciiTheme="minorHAnsi" w:hAnsiTheme="minorHAnsi"/>
      <w:i/>
      <w:iCs/>
      <w:color w:val="404040" w:themeColor="text1" w:themeTint="BF"/>
      <w:sz w:val="22"/>
      <w:lang w:val="en-US"/>
    </w:rPr>
  </w:style>
  <w:style w:type="character" w:customStyle="1" w:styleId="CitaoChar">
    <w:name w:val="Citação Char"/>
    <w:basedOn w:val="Fontepargpadro"/>
    <w:link w:val="Citao"/>
    <w:uiPriority w:val="29"/>
    <w:rsid w:val="001E49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49FB"/>
    <w:pPr>
      <w:spacing w:after="160" w:line="259" w:lineRule="auto"/>
      <w:ind w:left="720"/>
      <w:contextualSpacing/>
    </w:pPr>
    <w:rPr>
      <w:rFonts w:asciiTheme="minorHAnsi" w:hAnsiTheme="minorHAnsi"/>
      <w:sz w:val="22"/>
      <w:lang w:val="en-US"/>
    </w:rPr>
  </w:style>
  <w:style w:type="character" w:styleId="nfaseIntensa">
    <w:name w:val="Intense Emphasis"/>
    <w:basedOn w:val="Fontepargpadro"/>
    <w:uiPriority w:val="21"/>
    <w:qFormat/>
    <w:rsid w:val="001E49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4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2"/>
      <w:lang w:val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49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49FB"/>
    <w:rPr>
      <w:b/>
      <w:bCs/>
      <w:smallCaps/>
      <w:color w:val="0F4761" w:themeColor="accent1" w:themeShade="BF"/>
      <w:spacing w:val="5"/>
    </w:rPr>
  </w:style>
  <w:style w:type="table" w:styleId="SimplesTabela2">
    <w:name w:val="Plain Table 2"/>
    <w:basedOn w:val="Tabelanormal"/>
    <w:uiPriority w:val="42"/>
    <w:rsid w:val="001E49FB"/>
    <w:pPr>
      <w:spacing w:after="0" w:line="240" w:lineRule="auto"/>
    </w:pPr>
    <w:rPr>
      <w:rFonts w:ascii="NewsGotT" w:hAnsi="NewsGotT"/>
      <w:sz w:val="24"/>
      <w:lang w:val="pt-B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unhideWhenUsed/>
    <w:rsid w:val="001E49FB"/>
    <w:pPr>
      <w:spacing w:before="100" w:beforeAutospacing="1" w:after="100" w:afterAutospacing="1"/>
    </w:pPr>
    <w:rPr>
      <w:lang w:eastAsia="pt-BR"/>
    </w:rPr>
  </w:style>
  <w:style w:type="paragraph" w:customStyle="1" w:styleId="TeseCorpo">
    <w:name w:val="Tese Corpo"/>
    <w:basedOn w:val="Normal"/>
    <w:link w:val="TeseCorpoChar"/>
    <w:qFormat/>
    <w:rsid w:val="001E49FB"/>
    <w:pPr>
      <w:spacing w:before="120" w:after="120"/>
      <w:jc w:val="both"/>
    </w:pPr>
  </w:style>
  <w:style w:type="character" w:customStyle="1" w:styleId="TeseCorpoChar">
    <w:name w:val="Tese Corpo Char"/>
    <w:basedOn w:val="Fontepargpadro"/>
    <w:link w:val="TeseCorpo"/>
    <w:rsid w:val="001E49FB"/>
    <w:rPr>
      <w:rFonts w:ascii="NewsGotT" w:hAnsi="NewsGotT"/>
      <w:sz w:val="24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1E49FB"/>
    <w:pPr>
      <w:spacing w:after="200"/>
      <w:jc w:val="center"/>
    </w:pPr>
    <w:rPr>
      <w:i/>
      <w:iCs/>
      <w:color w:val="0E2841" w:themeColor="text2"/>
      <w:sz w:val="20"/>
      <w:szCs w:val="18"/>
    </w:rPr>
  </w:style>
  <w:style w:type="character" w:styleId="TextodoEspaoReservado">
    <w:name w:val="Placeholder Text"/>
    <w:basedOn w:val="Fontepargpadro"/>
    <w:uiPriority w:val="99"/>
    <w:semiHidden/>
    <w:rsid w:val="005843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7489</TotalTime>
  <Pages>15</Pages>
  <Words>5305</Words>
  <Characters>28652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a623</dc:creator>
  <cp:keywords/>
  <dc:description/>
  <cp:lastModifiedBy>Augusto Miguel</cp:lastModifiedBy>
  <cp:revision>1</cp:revision>
  <dcterms:created xsi:type="dcterms:W3CDTF">2024-04-18T11:59:00Z</dcterms:created>
  <dcterms:modified xsi:type="dcterms:W3CDTF">2025-06-04T17:16:00Z</dcterms:modified>
</cp:coreProperties>
</file>