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Funcional — Campo NCM</w:t>
      </w:r>
    </w:p>
    <w:p>
      <w:r>
        <w:rPr>
          <w:b/>
        </w:rPr>
        <w:t>Projeto SIPAL · Fluxo de Cadastro de Materiais (SAP MDM) — Etapa 1: Componente NCM</w:t>
      </w:r>
    </w:p>
    <w:p>
      <w:r>
        <w:rPr>
          <w:b w:val="0"/>
        </w:rPr>
        <w:t>Autor: Time de Cadastro de Materiais · Data: 28/07/2026 · Versão: 1.0</w:t>
      </w:r>
    </w:p>
    <w:p>
      <w:r>
        <w:rPr>
          <w:b w:val="0"/>
        </w:rPr>
        <w:t>Observação: As bases de conhecimento "Projetos MDM" e "Melhorias 4MDG" não retornaram conteúdo indexado no momento desta elaboração; a especificação baseia-se em boas práticas SAP MDM e no contexto consolidado do SIPAL. Deve ser validada em DEV/QAS antes de transporte para PRD.</w:t>
      </w:r>
    </w:p>
    <w:p>
      <w:pPr>
        <w:pStyle w:val="Heading1"/>
      </w:pPr>
      <w:r>
        <w:t>1. Objetivo e Escopo</w:t>
      </w:r>
    </w:p>
    <w:p>
      <w:r>
        <w:rPr>
          <w:b w:val="0"/>
        </w:rPr>
        <w:t>Especificar de forma completa o campo NCM (Nomenclatura Comum do Mercosul) e todas as funcionalidades associadas dentro do formulário de cadastro/ampliação de materiais do SIPAL, cobrindo estrutura do campo, busca e sugestão automática, integração com IA (Gemini gemini-2.5-flash), impactos e integrações no SAP MDM, regras de governança e experiência do usuário. Esta etapa contempla exclusivamente o campo NCM; demais campos serão tratados em etapas posteriores.</w:t>
      </w:r>
    </w:p>
    <w:p>
      <w:pPr>
        <w:pStyle w:val="Heading1"/>
      </w:pPr>
      <w:r>
        <w:t>2. Estrutura do Campo NCM</w:t>
      </w:r>
    </w:p>
    <w:p>
      <w:pPr>
        <w:pStyle w:val="Heading2"/>
      </w:pPr>
      <w:r>
        <w:t>2.1 Definição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320"/>
          </w:tcPr>
          <w:p>
            <w:r>
              <w:t>Rótulo</w:t>
            </w:r>
          </w:p>
        </w:tc>
        <w:tc>
          <w:tcPr>
            <w:tcW w:type="dxa" w:w="4320"/>
          </w:tcPr>
          <w:p>
            <w:r>
              <w:t>NCM / Classificação Fiscal (NCM)</w:t>
            </w:r>
          </w:p>
        </w:tc>
      </w:tr>
      <w:tr>
        <w:tc>
          <w:tcPr>
            <w:tcW w:type="dxa" w:w="4320"/>
          </w:tcPr>
          <w:p>
            <w:r>
              <w:t>Tipo de campo</w:t>
            </w:r>
          </w:p>
        </w:tc>
        <w:tc>
          <w:tcPr>
            <w:tcW w:type="dxa" w:w="4320"/>
          </w:tcPr>
          <w:p>
            <w:r>
              <w:t>Texto com máscara numérica (input controlado)</w:t>
            </w:r>
          </w:p>
        </w:tc>
      </w:tr>
      <w:tr>
        <w:tc>
          <w:tcPr>
            <w:tcW w:type="dxa" w:w="4320"/>
          </w:tcPr>
          <w:p>
            <w:r>
              <w:t>Formato de exibição</w:t>
            </w:r>
          </w:p>
        </w:tc>
        <w:tc>
          <w:tcPr>
            <w:tcW w:type="dxa" w:w="4320"/>
          </w:tcPr>
          <w:p>
            <w:r>
              <w:t>0000.00.00 (8 dígitos, 2 pontos)</w:t>
            </w:r>
          </w:p>
        </w:tc>
      </w:tr>
      <w:tr>
        <w:tc>
          <w:tcPr>
            <w:tcW w:type="dxa" w:w="4320"/>
          </w:tcPr>
          <w:p>
            <w:r>
              <w:t>Armazenamento</w:t>
            </w:r>
          </w:p>
        </w:tc>
        <w:tc>
          <w:tcPr>
            <w:tcW w:type="dxa" w:w="4320"/>
          </w:tcPr>
          <w:p>
            <w:r>
              <w:t>8 dígitos numéricos, sem pontuação (normalizado)</w:t>
            </w:r>
          </w:p>
        </w:tc>
      </w:tr>
      <w:tr>
        <w:tc>
          <w:tcPr>
            <w:tcW w:type="dxa" w:w="4320"/>
          </w:tcPr>
          <w:p>
            <w:r>
              <w:t>Tamanho</w:t>
            </w:r>
          </w:p>
        </w:tc>
        <w:tc>
          <w:tcPr>
            <w:tcW w:type="dxa" w:w="4320"/>
          </w:tcPr>
          <w:p>
            <w:r>
              <w:t>Exatamente 8 dígitos após normalização</w:t>
            </w:r>
          </w:p>
        </w:tc>
      </w:tr>
      <w:tr>
        <w:tc>
          <w:tcPr>
            <w:tcW w:type="dxa" w:w="4320"/>
          </w:tcPr>
          <w:p>
            <w:r>
              <w:t>Campo SAP correlato</w:t>
            </w:r>
          </w:p>
        </w:tc>
        <w:tc>
          <w:tcPr>
            <w:tcW w:type="dxa" w:w="4320"/>
          </w:tcPr>
          <w:p>
            <w:r>
              <w:t>MARC-STEUC (Código de controle / classificação fiscal) por centro</w:t>
            </w:r>
          </w:p>
        </w:tc>
      </w:tr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Não aplicável (numérico)</w:t>
            </w:r>
          </w:p>
        </w:tc>
      </w:tr>
    </w:tbl>
    <w:p>
      <w:pPr>
        <w:pStyle w:val="Heading2"/>
      </w:pPr>
      <w:r>
        <w:t>2.2 Máscara e normalização</w:t>
      </w:r>
    </w:p>
    <w:p>
      <w:pPr>
        <w:pStyle w:val="ListBullet"/>
      </w:pPr>
      <w:r>
        <w:t>Entrada aceita com ou sem pontuação: "3926.90.90" ou "39269090" são equivalentes.</w:t>
      </w:r>
    </w:p>
    <w:p>
      <w:pPr>
        <w:pStyle w:val="ListBullet"/>
      </w:pPr>
      <w:r>
        <w:t>Normalização: remoção de todos os caracteres não numéricos (regex \D) antes de comparar/persistir.</w:t>
      </w:r>
    </w:p>
    <w:p>
      <w:pPr>
        <w:pStyle w:val="ListBullet"/>
      </w:pPr>
      <w:r>
        <w:t>Formatação de exibição: aplicada somente quando houver exatamente 8 dígitos → 0000.00.00.</w:t>
      </w:r>
    </w:p>
    <w:p>
      <w:pPr>
        <w:pStyle w:val="ListBullet"/>
      </w:pPr>
      <w:r>
        <w:t>Digitação livre é permitida; a máscara não bloqueia a entrada, apenas normaliza e formata na saída, preservando o funcionamento offline e evitando travas de UX.</w:t>
      </w:r>
    </w:p>
    <w:p>
      <w:pPr>
        <w:pStyle w:val="Heading2"/>
      </w:pPr>
      <w:r>
        <w:t>2.3 Validação de formato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Regra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Comportamento</w:t>
            </w:r>
          </w:p>
        </w:tc>
      </w:tr>
      <w:tr>
        <w:tc>
          <w:tcPr>
            <w:tcW w:type="dxa" w:w="4320"/>
          </w:tcPr>
          <w:p>
            <w:r>
              <w:t>Somente dígitos</w:t>
            </w:r>
          </w:p>
        </w:tc>
        <w:tc>
          <w:tcPr>
            <w:tcW w:type="dxa" w:w="4320"/>
          </w:tcPr>
          <w:p>
            <w:r>
              <w:t>Após normalização, o valor deve conter apenas números</w:t>
            </w:r>
          </w:p>
        </w:tc>
      </w:tr>
      <w:tr>
        <w:tc>
          <w:tcPr>
            <w:tcW w:type="dxa" w:w="4320"/>
          </w:tcPr>
          <w:p>
            <w:r>
              <w:t>Comprimento = 8</w:t>
            </w:r>
          </w:p>
        </w:tc>
        <w:tc>
          <w:tcPr>
            <w:tcW w:type="dxa" w:w="4320"/>
          </w:tcPr>
          <w:p>
            <w:r>
              <w:t>NCM válido possui 8 dígitos; ≠ 8 → alerta de "NCM incompleto/ inválido"</w:t>
            </w:r>
          </w:p>
        </w:tc>
      </w:tr>
      <w:tr>
        <w:tc>
          <w:tcPr>
            <w:tcW w:type="dxa" w:w="4320"/>
          </w:tcPr>
          <w:p>
            <w:r>
              <w:t>Existência na base</w:t>
            </w:r>
          </w:p>
        </w:tc>
        <w:tc>
          <w:tcPr>
            <w:tcW w:type="dxa" w:w="4320"/>
          </w:tcPr>
          <w:p>
            <w:r>
              <w:t>Opcional: verificar se o NCM consta na tabela de NCM vigente (base local/XML/CSV)</w:t>
            </w:r>
          </w:p>
        </w:tc>
      </w:tr>
      <w:tr>
        <w:tc>
          <w:tcPr>
            <w:tcW w:type="dxa" w:w="4320"/>
          </w:tcPr>
          <w:p>
            <w:r>
              <w:t>NCM desatualizado</w:t>
            </w:r>
          </w:p>
        </w:tc>
        <w:tc>
          <w:tcPr>
            <w:tcW w:type="dxa" w:w="4320"/>
          </w:tcPr>
          <w:p>
            <w:r>
              <w:t>Se a base tiver marcação de vigência, sinalizar NCM extinto/substituído</w:t>
            </w:r>
          </w:p>
        </w:tc>
      </w:tr>
    </w:tbl>
    <w:p>
      <w:pPr>
        <w:pStyle w:val="Heading2"/>
      </w:pPr>
      <w:r>
        <w:t>2.4 Obrigatoriedade por fluxo/tipo de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Fluxo / Tipo de material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NCM obrigatório?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Cadastro Novo — Materiais comercializáveis / com movimentação fiscal (ROH, HALB, FERT, HAWA)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Requisito fiscal para NF-e</w:t>
            </w:r>
          </w:p>
        </w:tc>
      </w:tr>
      <w:tr>
        <w:tc>
          <w:tcPr>
            <w:tcW w:type="dxa" w:w="2880"/>
          </w:tcPr>
          <w:p>
            <w:r>
              <w:t>Cadastro Novo — Materiais sem relevância fiscal (serviços, DIEN, UNBW)</w:t>
            </w:r>
          </w:p>
        </w:tc>
        <w:tc>
          <w:tcPr>
            <w:tcW w:type="dxa" w:w="2880"/>
          </w:tcPr>
          <w:p>
            <w:r>
              <w:t>Opcional/Não</w:t>
            </w:r>
          </w:p>
        </w:tc>
        <w:tc>
          <w:tcPr>
            <w:tcW w:type="dxa" w:w="2880"/>
          </w:tcPr>
          <w:p>
            <w:r>
              <w:t>Conforme política fiscal</w:t>
            </w:r>
          </w:p>
        </w:tc>
      </w:tr>
      <w:tr>
        <w:tc>
          <w:tcPr>
            <w:tcW w:type="dxa" w:w="2880"/>
          </w:tcPr>
          <w:p>
            <w:r>
              <w:t>Ampliação — Novo centro para material existente</w:t>
            </w:r>
          </w:p>
        </w:tc>
        <w:tc>
          <w:tcPr>
            <w:tcW w:type="dxa" w:w="2880"/>
          </w:tcPr>
          <w:p>
            <w:r>
              <w:t>Herdado</w:t>
            </w:r>
          </w:p>
        </w:tc>
        <w:tc>
          <w:tcPr>
            <w:tcW w:type="dxa" w:w="2880"/>
          </w:tcPr>
          <w:p>
            <w:r>
              <w:t>Reaproveita NCM do material; valida por centro (MARC-STEUC)</w:t>
            </w:r>
          </w:p>
        </w:tc>
      </w:tr>
      <w:tr>
        <w:tc>
          <w:tcPr>
            <w:tcW w:type="dxa" w:w="2880"/>
          </w:tcPr>
          <w:p>
            <w:r>
              <w:t>Ampliação — Nova visão sem alteração fiscal</w:t>
            </w:r>
          </w:p>
        </w:tc>
        <w:tc>
          <w:tcPr>
            <w:tcW w:type="dxa" w:w="2880"/>
          </w:tcPr>
          <w:p>
            <w:r>
              <w:t>Somente leitura</w:t>
            </w:r>
          </w:p>
        </w:tc>
        <w:tc>
          <w:tcPr>
            <w:tcW w:type="dxa" w:w="2880"/>
          </w:tcPr>
          <w:p>
            <w:r>
              <w:t>NCM exibido, não editável pelo solicitante</w:t>
            </w:r>
          </w:p>
        </w:tc>
      </w:tr>
    </w:tbl>
    <w:p>
      <w:pPr>
        <w:pStyle w:val="Heading1"/>
      </w:pPr>
      <w:r>
        <w:t>3. Busca e Sugestão Automática de NCM</w:t>
      </w:r>
    </w:p>
    <w:p>
      <w:pPr>
        <w:pStyle w:val="Heading2"/>
      </w:pPr>
      <w:r>
        <w:t>3.1 Mecanismos de busca</w:t>
      </w:r>
    </w:p>
    <w:p>
      <w:pPr>
        <w:pStyle w:val="ListBullet"/>
      </w:pPr>
      <w:r>
        <w:t>Busca por código: usuário informa o NCM (com/sem ponto); retorno exato após normalização.</w:t>
      </w:r>
    </w:p>
    <w:p>
      <w:pPr>
        <w:pStyle w:val="ListBullet"/>
      </w:pPr>
      <w:r>
        <w:t>Busca por descrição (lookup/autocomplete): usuário digita termo do material e recebe NCMs candidatos a partir das camadas de dados disponíveis.</w:t>
      </w:r>
    </w:p>
    <w:p>
      <w:pPr>
        <w:pStyle w:val="ListBullet"/>
      </w:pPr>
      <w:r>
        <w:t>Autocomplete: sugestões exibidas a partir de 3+ caracteres, com debounce (~250 ms), lista navegável, exibindo código formatado + descrição do NCM.</w:t>
      </w:r>
    </w:p>
    <w:p>
      <w:pPr>
        <w:pStyle w:val="Heading2"/>
      </w:pPr>
      <w:r>
        <w:t>3.2 Camadas de busca (ordem de prioridade — offline/client-side primeiro)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Ordem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Base local (localStorage)</w:t>
            </w:r>
          </w:p>
        </w:tc>
        <w:tc>
          <w:tcPr>
            <w:tcW w:type="dxa" w:w="2880"/>
          </w:tcPr>
          <w:p>
            <w:r>
              <w:t>Base de materiais/NCM previamente carregada; busca exata por código e por similaridade textual — 100% offline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Arquivo XML (NF-e/ dados estruturados)</w:t>
            </w:r>
          </w:p>
        </w:tc>
        <w:tc>
          <w:tcPr>
            <w:tcW w:type="dxa" w:w="2880"/>
          </w:tcPr>
          <w:p>
            <w:r>
              <w:t>Extração do NCM de XML de nota fiscal carregado pelo usuário — offline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Arquivo CSV</w:t>
            </w:r>
          </w:p>
        </w:tc>
        <w:tc>
          <w:tcPr>
            <w:tcW w:type="dxa" w:w="2880"/>
          </w:tcPr>
          <w:p>
            <w:r>
              <w:t>Planilha de materiais/NCM importada no painel administrativo — offline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Descrição digitada (texto)</w:t>
            </w:r>
          </w:p>
        </w:tc>
        <w:tc>
          <w:tcPr>
            <w:tcW w:type="dxa" w:w="2880"/>
          </w:tcPr>
          <w:p>
            <w:r>
              <w:t>Correspondência textual sobre a base carregada, sem rede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IA (Gemini gemini-2.5-flash)</w:t>
            </w:r>
          </w:p>
        </w:tc>
        <w:tc>
          <w:tcPr>
            <w:tcW w:type="dxa" w:w="2880"/>
          </w:tcPr>
          <w:p>
            <w:r>
              <w:t>Sugestão/validação por IA a partir da descrição — somente se configurada e disponível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Consulta externa (opcional)</w:t>
            </w:r>
          </w:p>
        </w:tc>
        <w:tc>
          <w:tcPr>
            <w:tcW w:type="dxa" w:w="2880"/>
          </w:tcPr>
          <w:p>
            <w:r>
              <w:t>Tabela oficial de NCM online — apenas se rede permitir; nunca bloqueante</w:t>
            </w:r>
          </w:p>
        </w:tc>
      </w:tr>
    </w:tbl>
    <w:p>
      <w:r>
        <w:rPr>
          <w:b w:val="0"/>
        </w:rPr>
        <w:t>Princípio de resiliência: as camadas 1–4 operam sem IA e sem rede externa, garantindo funcionamento em ambiente corporativo com firewall restritivo. A IA é sempre um enriquecimento, nunca um pré-requisito.</w:t>
      </w:r>
    </w:p>
    <w:p>
      <w:pPr>
        <w:pStyle w:val="Heading2"/>
      </w:pPr>
      <w:r>
        <w:t>3.3 Fallback quando não há correspondência</w:t>
      </w:r>
    </w:p>
    <w:p>
      <w:pPr>
        <w:pStyle w:val="ListBullet"/>
      </w:pPr>
      <w:r>
        <w:t>Exibir mensagem clara: "Nenhum material/NCM correspondente encontrado".</w:t>
      </w:r>
    </w:p>
    <w:p>
      <w:pPr>
        <w:pStyle w:val="ListBullet"/>
      </w:pPr>
      <w:r>
        <w:t>Permitir entrada manual do NCM pelo solicitante, com alerta de validação de formato.</w:t>
      </w:r>
    </w:p>
    <w:p>
      <w:pPr>
        <w:pStyle w:val="ListBullet"/>
      </w:pPr>
      <w:r>
        <w:t>Registrar a busca sem resultado no Log de Buscas (termo, tipo NCM, data/hora, resultado "não encontrado").</w:t>
      </w:r>
    </w:p>
    <w:p>
      <w:pPr>
        <w:pStyle w:val="ListBullet"/>
      </w:pPr>
      <w:r>
        <w:t>Oferecer acionamento da IA (se configurada) como tentativa complementar de sugestão.</w:t>
      </w:r>
    </w:p>
    <w:p>
      <w:pPr>
        <w:pStyle w:val="Heading1"/>
      </w:pPr>
      <w:r>
        <w:t>4. Integração com a API de IA (Gemini gemini-2.5-flash)</w:t>
      </w:r>
    </w:p>
    <w:p>
      <w:pPr>
        <w:pStyle w:val="ListBullet"/>
      </w:pPr>
      <w:r>
        <w:t>Sugestão de NCM: a IA recebe a descrição do material e propõe um ou mais NCMs candidatos com justificativa curta.</w:t>
      </w:r>
    </w:p>
    <w:p>
      <w:pPr>
        <w:pStyle w:val="ListBullet"/>
      </w:pPr>
      <w:r>
        <w:t>Validação de NCM: dado um NCM informado + descrição, a IA avalia coerência e sinaliza possível divergência.</w:t>
      </w:r>
    </w:p>
    <w:p>
      <w:pPr>
        <w:pStyle w:val="ListBullet"/>
      </w:pPr>
      <w:r>
        <w:t>Configuração: chave de API definida via painel administrativo (localStorage), sem alterar o código-fonte; modelo padrão gemini-2.5-flash (gratuito, sem cartão).</w:t>
      </w:r>
    </w:p>
    <w:p>
      <w:pPr>
        <w:pStyle w:val="ListBullet"/>
      </w:pPr>
      <w:r>
        <w:t>Processamento de URLs: quando aplicável, priorizar o processamento nativo de URLs pela API Gemini antes de proxies.</w:t>
      </w:r>
    </w:p>
    <w:p>
      <w:pPr>
        <w:pStyle w:val="Heading2"/>
      </w:pPr>
      <w:r>
        <w:t>4.1 Comportamento quando a IA não está configurada/disponível</w:t>
      </w:r>
    </w:p>
    <w:p>
      <w:pPr>
        <w:pStyle w:val="ListBullet"/>
      </w:pPr>
      <w:r>
        <w:t>O campo NCM permanece plenamente funcional via camadas offline (1–4).</w:t>
      </w:r>
    </w:p>
    <w:p>
      <w:pPr>
        <w:pStyle w:val="ListBullet"/>
      </w:pPr>
      <w:r>
        <w:t>Nenhuma funcionalidade é bloqueada pela ausência de IA ou de rede.</w:t>
      </w:r>
    </w:p>
    <w:p>
      <w:pPr>
        <w:pStyle w:val="ListBullet"/>
      </w:pPr>
      <w:r>
        <w:t>Falhas de chamada à IA são capturadas e registradas no Log de Erros (mensagem + contexto + data/hora), via window.onerror e unhandledrejection, sem interromper o fluxo.</w:t>
      </w:r>
    </w:p>
    <w:p>
      <w:pPr>
        <w:pStyle w:val="ListBullet"/>
      </w:pPr>
      <w:r>
        <w:t>A sugestão por IA é sempre marcada como "sugestão" e exige confirmação humana antes de gravar.</w:t>
      </w:r>
    </w:p>
    <w:p>
      <w:pPr>
        <w:pStyle w:val="Heading1"/>
      </w:pPr>
      <w:r>
        <w:t>5. Impactos e Integrações no SAP MDM</w:t>
      </w:r>
    </w:p>
    <w:p>
      <w:pPr>
        <w:pStyle w:val="Heading2"/>
      </w:pPr>
      <w:r>
        <w:t>5.1 Visões/módulos afetados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Módulo/Visão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Impacto do NCM</w:t>
            </w:r>
          </w:p>
        </w:tc>
      </w:tr>
      <w:tr>
        <w:tc>
          <w:tcPr>
            <w:tcW w:type="dxa" w:w="4320"/>
          </w:tcPr>
          <w:p>
            <w:r>
              <w:t>MM — Dados Básicos / Compras</w:t>
            </w:r>
          </w:p>
        </w:tc>
        <w:tc>
          <w:tcPr>
            <w:tcW w:type="dxa" w:w="4320"/>
          </w:tcPr>
          <w:p>
            <w:r>
              <w:t>NCM compõe a classificação fiscal do material; base para determinação tributária</w:t>
            </w:r>
          </w:p>
        </w:tc>
      </w:tr>
      <w:tr>
        <w:tc>
          <w:tcPr>
            <w:tcW w:type="dxa" w:w="4320"/>
          </w:tcPr>
          <w:p>
            <w:r>
              <w:t>FI / Fiscal (TAXBRA/ TAXBRJ)</w:t>
            </w:r>
          </w:p>
        </w:tc>
        <w:tc>
          <w:tcPr>
            <w:tcW w:type="dxa" w:w="4320"/>
          </w:tcPr>
          <w:p>
            <w:r>
              <w:t>NCM direciona regras de IPI/ICMS/PIS/COFINS e a classificação fiscal</w:t>
            </w:r>
          </w:p>
        </w:tc>
      </w:tr>
      <w:tr>
        <w:tc>
          <w:tcPr>
            <w:tcW w:type="dxa" w:w="4320"/>
          </w:tcPr>
          <w:p>
            <w:r>
              <w:t>SD — Vendas</w:t>
            </w:r>
          </w:p>
        </w:tc>
        <w:tc>
          <w:tcPr>
            <w:tcW w:type="dxa" w:w="4320"/>
          </w:tcPr>
          <w:p>
            <w:r>
              <w:t>Determinação de imposto na saída; NCM referenciado na NF-e de venda</w:t>
            </w:r>
          </w:p>
        </w:tc>
      </w:tr>
      <w:tr>
        <w:tc>
          <w:tcPr>
            <w:tcW w:type="dxa" w:w="4320"/>
          </w:tcPr>
          <w:p>
            <w:r>
              <w:t>Visão Contábil</w:t>
            </w:r>
          </w:p>
        </w:tc>
        <w:tc>
          <w:tcPr>
            <w:tcW w:type="dxa" w:w="4320"/>
          </w:tcPr>
          <w:p>
            <w:r>
              <w:t>Classificação de mercadoria para efeitos fiscais e de valoração</w:t>
            </w:r>
          </w:p>
        </w:tc>
      </w:tr>
      <w:tr>
        <w:tc>
          <w:tcPr>
            <w:tcW w:type="dxa" w:w="4320"/>
          </w:tcPr>
          <w:p>
            <w:r>
              <w:t>Nota Fiscal Eletrônica (NF-e)</w:t>
            </w:r>
          </w:p>
        </w:tc>
        <w:tc>
          <w:tcPr>
            <w:tcW w:type="dxa" w:w="4320"/>
          </w:tcPr>
          <w:p>
            <w:r>
              <w:t>NCM é campo obrigatório no XML da NF-e (Localização Brasil)</w:t>
            </w:r>
          </w:p>
        </w:tc>
      </w:tr>
    </w:tbl>
    <w:p>
      <w:pPr>
        <w:pStyle w:val="Heading2"/>
      </w:pPr>
      <w:r>
        <w:t>5.2 Campos dependentes / derivados do NCM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 dependente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Relação com o NCM</w:t>
            </w:r>
          </w:p>
        </w:tc>
      </w:tr>
      <w:tr>
        <w:tc>
          <w:tcPr>
            <w:tcW w:type="dxa" w:w="4320"/>
          </w:tcPr>
          <w:p>
            <w:r>
              <w:t>Classificação fiscal (MARC-STEUC)</w:t>
            </w:r>
          </w:p>
        </w:tc>
        <w:tc>
          <w:tcPr>
            <w:tcW w:type="dxa" w:w="4320"/>
          </w:tcPr>
          <w:p>
            <w:r>
              <w:t>Preenchida com o NCM por centro</w:t>
            </w:r>
          </w:p>
        </w:tc>
      </w:tr>
      <w:tr>
        <w:tc>
          <w:tcPr>
            <w:tcW w:type="dxa" w:w="4320"/>
          </w:tcPr>
          <w:p>
            <w:r>
              <w:t>CFOP (sugerido)</w:t>
            </w:r>
          </w:p>
        </w:tc>
        <w:tc>
          <w:tcPr>
            <w:tcW w:type="dxa" w:w="4320"/>
          </w:tcPr>
          <w:p>
            <w:r>
              <w:t>Determinado em conjunto com NCM, origem/destino e finalidade</w:t>
            </w:r>
          </w:p>
        </w:tc>
      </w:tr>
      <w:tr>
        <w:tc>
          <w:tcPr>
            <w:tcW w:type="dxa" w:w="4320"/>
          </w:tcPr>
          <w:p>
            <w:r>
              <w:t>Alíquotas (IPI/ICMS/PIS/COFINS)</w:t>
            </w:r>
          </w:p>
        </w:tc>
        <w:tc>
          <w:tcPr>
            <w:tcW w:type="dxa" w:w="4320"/>
          </w:tcPr>
          <w:p>
            <w:r>
              <w:t>Derivadas da classificação fiscal associada ao NCM</w:t>
            </w:r>
          </w:p>
        </w:tc>
      </w:tr>
      <w:tr>
        <w:tc>
          <w:tcPr>
            <w:tcW w:type="dxa" w:w="4320"/>
          </w:tcPr>
          <w:p>
            <w:r>
              <w:t>Origem da mercadoria</w:t>
            </w:r>
          </w:p>
        </w:tc>
        <w:tc>
          <w:tcPr>
            <w:tcW w:type="dxa" w:w="4320"/>
          </w:tcPr>
          <w:p>
            <w:r>
              <w:t>Combinada ao NCM na composição da tributação</w:t>
            </w:r>
          </w:p>
        </w:tc>
      </w:tr>
      <w:tr>
        <w:tc>
          <w:tcPr>
            <w:tcW w:type="dxa" w:w="4320"/>
          </w:tcPr>
          <w:p>
            <w:r>
              <w:t>Grupo de mercadorias</w:t>
            </w:r>
          </w:p>
        </w:tc>
        <w:tc>
          <w:tcPr>
            <w:tcW w:type="dxa" w:w="4320"/>
          </w:tcPr>
          <w:p>
            <w:r>
              <w:t>Correlação de negócio, útil para consistência com o NCM</w:t>
            </w:r>
          </w:p>
        </w:tc>
      </w:tr>
    </w:tbl>
    <w:p>
      <w:r>
        <w:rPr>
          <w:b w:val="0"/>
        </w:rPr>
        <w:t>Ressalva: derivações de CFOP e alíquotas ocorrem na determinação tributária do SAP (ex.: TAXBRA). O SIPAL atua na captura e validação do NCM na origem, reduzindo retrabalho fiscal; a definição final permanece no ERP.</w:t>
      </w:r>
    </w:p>
    <w:p>
      <w:pPr>
        <w:pStyle w:val="Heading2"/>
      </w:pPr>
      <w:r>
        <w:t>5.3 Governança do NCM no workflow multi-etapa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Permissão sobre o NCM</w:t>
            </w:r>
          </w:p>
        </w:tc>
      </w:tr>
      <w:tr>
        <w:tc>
          <w:tcPr>
            <w:tcW w:type="dxa" w:w="4320"/>
          </w:tcPr>
          <w:p>
            <w:r>
              <w:t>Solicitante (Etapa 1)</w:t>
            </w:r>
          </w:p>
        </w:tc>
        <w:tc>
          <w:tcPr>
            <w:tcW w:type="dxa" w:w="4320"/>
          </w:tcPr>
          <w:p>
            <w:r>
              <w:t>Informa NCM e/ou aceita sugestão; sujeito à validação posterior</w:t>
            </w:r>
          </w:p>
        </w:tc>
      </w:tr>
      <w:tr>
        <w:tc>
          <w:tcPr>
            <w:tcW w:type="dxa" w:w="4320"/>
          </w:tcPr>
          <w:p>
            <w:r>
              <w:t>Cadastro / Data Steward</w:t>
            </w:r>
          </w:p>
        </w:tc>
        <w:tc>
          <w:tcPr>
            <w:tcW w:type="dxa" w:w="4320"/>
          </w:tcPr>
          <w:p>
            <w:r>
              <w:t>Confere consistência e completude do dado</w:t>
            </w:r>
          </w:p>
        </w:tc>
      </w:tr>
      <w:tr>
        <w:tc>
          <w:tcPr>
            <w:tcW w:type="dxa" w:w="4320"/>
          </w:tcPr>
          <w:p>
            <w:r>
              <w:t>Equipe Fiscal</w:t>
            </w:r>
          </w:p>
        </w:tc>
        <w:tc>
          <w:tcPr>
            <w:tcW w:type="dxa" w:w="4320"/>
          </w:tcPr>
          <w:p>
            <w:r>
              <w:t>Valida/aprova o NCM (autoridade fiscal); pode corrigir</w:t>
            </w:r>
          </w:p>
        </w:tc>
      </w:tr>
      <w:tr>
        <w:tc>
          <w:tcPr>
            <w:tcW w:type="dxa" w:w="4320"/>
          </w:tcPr>
          <w:p>
            <w:r>
              <w:t>Compras / Planejamento / Qualidade</w:t>
            </w:r>
          </w:p>
        </w:tc>
        <w:tc>
          <w:tcPr>
            <w:tcW w:type="dxa" w:w="4320"/>
          </w:tcPr>
          <w:p>
            <w:r>
              <w:t>Consomem o NCM; sem alçada de aprovação fiscal</w:t>
            </w:r>
          </w:p>
        </w:tc>
      </w:tr>
      <w:tr>
        <w:tc>
          <w:tcPr>
            <w:tcW w:type="dxa" w:w="4320"/>
          </w:tcPr>
          <w:p>
            <w:r>
              <w:t>Contabilidade</w:t>
            </w:r>
          </w:p>
        </w:tc>
        <w:tc>
          <w:tcPr>
            <w:tcW w:type="dxa" w:w="4320"/>
          </w:tcPr>
          <w:p>
            <w:r>
              <w:t>Verifica reflexos de valoração/classificação</w:t>
            </w:r>
          </w:p>
        </w:tc>
      </w:tr>
    </w:tbl>
    <w:p>
      <w:r>
        <w:rPr>
          <w:b w:val="0"/>
        </w:rPr>
        <w:t>Regra de ouro: o NCM só é considerado "aprovado" após validação da Equipe Fiscal na etapa competente. Alterações de NCM após aprovação exigem reprocesso fiscal e devem ser registradas no histórico.</w:t>
      </w:r>
    </w:p>
    <w:p>
      <w:pPr>
        <w:pStyle w:val="Heading1"/>
      </w:pPr>
      <w:r>
        <w:t>6. Experiência do Usuário no Formulário</w:t>
      </w:r>
    </w:p>
    <w:p>
      <w:pPr>
        <w:pStyle w:val="Heading2"/>
      </w:pPr>
      <w:r>
        <w:t>6.1 Exibição por etapa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Contexto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Comportamento do campo</w:t>
            </w:r>
          </w:p>
        </w:tc>
      </w:tr>
      <w:tr>
        <w:tc>
          <w:tcPr>
            <w:tcW w:type="dxa" w:w="4320"/>
          </w:tcPr>
          <w:p>
            <w:r>
              <w:t>Etapa 1 — Solicitante</w:t>
            </w:r>
          </w:p>
        </w:tc>
        <w:tc>
          <w:tcPr>
            <w:tcW w:type="dxa" w:w="4320"/>
          </w:tcPr>
          <w:p>
            <w:r>
              <w:t>Editável, com máscara, autocomplete por descrição e botão "Sugerir NCM (IA)" quando configurada</w:t>
            </w:r>
          </w:p>
        </w:tc>
      </w:tr>
      <w:tr>
        <w:tc>
          <w:tcPr>
            <w:tcW w:type="dxa" w:w="4320"/>
          </w:tcPr>
          <w:p>
            <w:r>
              <w:t>Etapa Fiscal</w:t>
            </w:r>
          </w:p>
        </w:tc>
        <w:tc>
          <w:tcPr>
            <w:tcW w:type="dxa" w:w="4320"/>
          </w:tcPr>
          <w:p>
            <w:r>
              <w:t>Editável/validável pela Equipe Fiscal, com indicação de status (Pendente/Validado)</w:t>
            </w:r>
          </w:p>
        </w:tc>
      </w:tr>
      <w:tr>
        <w:tc>
          <w:tcPr>
            <w:tcW w:type="dxa" w:w="4320"/>
          </w:tcPr>
          <w:p>
            <w:r>
              <w:t>Demais equipes</w:t>
            </w:r>
          </w:p>
        </w:tc>
        <w:tc>
          <w:tcPr>
            <w:tcW w:type="dxa" w:w="4320"/>
          </w:tcPr>
          <w:p>
            <w:r>
              <w:t>Somente leitura, com NCM formatado e status visível</w:t>
            </w:r>
          </w:p>
        </w:tc>
      </w:tr>
    </w:tbl>
    <w:p>
      <w:pPr>
        <w:pStyle w:val="Heading2"/>
      </w:pPr>
      <w:r>
        <w:t>6.2 Mensagens e alertas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Situação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Mensagem</w:t>
            </w:r>
          </w:p>
        </w:tc>
      </w:tr>
      <w:tr>
        <w:tc>
          <w:tcPr>
            <w:tcW w:type="dxa" w:w="4320"/>
          </w:tcPr>
          <w:p>
            <w:r>
              <w:t>NCM incompleto (≠ 8 dígitos)</w:t>
            </w:r>
          </w:p>
        </w:tc>
        <w:tc>
          <w:tcPr>
            <w:tcW w:type="dxa" w:w="4320"/>
          </w:tcPr>
          <w:p>
            <w:r>
              <w:t>"NCM inválido: informe os 8 dígitos (formato 0000.00.00)."</w:t>
            </w:r>
          </w:p>
        </w:tc>
      </w:tr>
      <w:tr>
        <w:tc>
          <w:tcPr>
            <w:tcW w:type="dxa" w:w="4320"/>
          </w:tcPr>
          <w:p>
            <w:r>
              <w:t>NCM não encontrado na base</w:t>
            </w:r>
          </w:p>
        </w:tc>
        <w:tc>
          <w:tcPr>
            <w:tcW w:type="dxa" w:w="4320"/>
          </w:tcPr>
          <w:p>
            <w:r>
              <w:t>"Nenhum material cadastrado com o NCM informado."</w:t>
            </w:r>
          </w:p>
        </w:tc>
      </w:tr>
      <w:tr>
        <w:tc>
          <w:tcPr>
            <w:tcW w:type="dxa" w:w="4320"/>
          </w:tcPr>
          <w:p>
            <w:r>
              <w:t>NCM possivelmente desatualizado</w:t>
            </w:r>
          </w:p>
        </w:tc>
        <w:tc>
          <w:tcPr>
            <w:tcW w:type="dxa" w:w="4320"/>
          </w:tcPr>
          <w:p>
            <w:r>
              <w:t>"Atenção: este NCM pode estar desatualizado/substituído — validar com a Equipe Fiscal."</w:t>
            </w:r>
          </w:p>
        </w:tc>
      </w:tr>
      <w:tr>
        <w:tc>
          <w:tcPr>
            <w:tcW w:type="dxa" w:w="4320"/>
          </w:tcPr>
          <w:p>
            <w:r>
              <w:t>Divergência sugerida pela IA</w:t>
            </w:r>
          </w:p>
        </w:tc>
        <w:tc>
          <w:tcPr>
            <w:tcW w:type="dxa" w:w="4320"/>
          </w:tcPr>
          <w:p>
            <w:r>
              <w:t>"A IA sugere revisar o NCM: possível divergência com a descrição."</w:t>
            </w:r>
          </w:p>
        </w:tc>
      </w:tr>
      <w:tr>
        <w:tc>
          <w:tcPr>
            <w:tcW w:type="dxa" w:w="4320"/>
          </w:tcPr>
          <w:p>
            <w:r>
              <w:t>Uso em Regularização</w:t>
            </w:r>
          </w:p>
        </w:tc>
        <w:tc>
          <w:tcPr>
            <w:tcW w:type="dxa" w:w="4320"/>
          </w:tcPr>
          <w:p>
            <w:r>
              <w:t>"A busca por NCM é exclusivamente para fins de Regularização."</w:t>
            </w:r>
          </w:p>
        </w:tc>
      </w:tr>
    </w:tbl>
    <w:p>
      <w:pPr>
        <w:pStyle w:val="Heading2"/>
      </w:pPr>
      <w:r>
        <w:t>6.3 Histórico de modificações do campo NCM</w:t>
      </w:r>
    </w:p>
    <w:p>
      <w:pPr>
        <w:pStyle w:val="ListBullet"/>
      </w:pPr>
      <w:r>
        <w:t>Toda alteração de NCM é registrada na aba dedicada de histórico (separada), com data/hora, valor anterior, valor novo, etapa e identificação do responsável pela modificação.</w:t>
      </w:r>
    </w:p>
    <w:p>
      <w:pPr>
        <w:pStyle w:val="ListBullet"/>
      </w:pPr>
      <w:r>
        <w:t>As buscas por NCM são registradas no Log de Buscas (termo, tipo "NCM", data/hora, resultado).</w:t>
      </w:r>
    </w:p>
    <w:p>
      <w:pPr>
        <w:pStyle w:val="ListBullet"/>
      </w:pPr>
      <w:r>
        <w:t>Erros associados (ex.: falha de IA, leitura de XML) são registrados no Log de Erros, em aba própria, com exportação CSV/XLSX e tabela paginável.</w:t>
      </w:r>
    </w:p>
    <w:p>
      <w:pPr>
        <w:pStyle w:val="Heading1"/>
      </w:pPr>
      <w:r>
        <w:t>7. Componente HTML/JS Entregue</w:t>
      </w:r>
    </w:p>
    <w:p>
      <w:pPr>
        <w:pStyle w:val="ListBullet"/>
      </w:pPr>
      <w:r>
        <w:t>Campo de busca por NCM independente do campo de descrição, com aviso de uso exclusivo para Regularização.</w:t>
      </w:r>
    </w:p>
    <w:p>
      <w:pPr>
        <w:pStyle w:val="ListBullet"/>
      </w:pPr>
      <w:r>
        <w:t>Normalização (com/sem ponto) e formatação 0000.00.00; correspondência exata na base carregada.</w:t>
      </w:r>
    </w:p>
    <w:p>
      <w:pPr>
        <w:pStyle w:val="ListBullet"/>
      </w:pPr>
      <w:r>
        <w:t>Resultados clicáveis abrindo modal de detalhes: Descrição Curta, Descrição Longa (texto pedido compra), NCM formatado e Tipo de Material.</w:t>
      </w:r>
    </w:p>
    <w:p>
      <w:pPr>
        <w:pStyle w:val="ListBullet"/>
      </w:pPr>
      <w:r>
        <w:t>Integração com as camadas offline (localStorage/XML/CSV/texto) e com o log de buscas.</w:t>
      </w:r>
    </w:p>
    <w:p>
      <w:pPr>
        <w:pStyle w:val="ListBullet"/>
      </w:pPr>
      <w:r>
        <w:t>Log de erros com captura global (window.onerror / unhandledrejection) e exportação CSV/XLSX.</w:t>
      </w:r>
    </w:p>
    <w:p>
      <w:pPr>
        <w:pStyle w:val="ListBullet"/>
      </w:pPr>
      <w:r>
        <w:t>Arquivo entregue: index.html (editável).</w:t>
      </w:r>
    </w:p>
    <w:p>
      <w:r>
        <w:rPr>
          <w:b w:val="0"/>
        </w:rPr>
        <w:t>Recomendação: validar em DEV/QAS todas as interações (busca com/sem ponto, modal, logs e exportações) antes de qualquer transporte para PRD.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