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Inclusão Ordinário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Passo a passo para inclusão de um empenho do tipo ordinário.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