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Empenho - Inclusão Global</w:t>
      </w:r>
    </w:p>
    <w:p>
      <w:pPr>
        <w:pStyle w:val="Heading1"/>
      </w:pPr>
      <w:r>
        <w:t>Módulo: Empenho</w:t>
      </w:r>
    </w:p>
    <w:p>
      <w:r>
        <w:rPr>
          <w:b/>
        </w:rPr>
        <w:t xml:space="preserve">Resumo do Procedimento: </w:t>
      </w:r>
      <w:r>
        <w:t>Procedimento para gerar um empenho global com múltiplas parcelas.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