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Empenho - Reforço</w:t>
      </w:r>
    </w:p>
    <w:p>
      <w:pPr>
        <w:pStyle w:val="Heading1"/>
      </w:pPr>
      <w:r>
        <w:t>Módulo: Empenho</w:t>
      </w:r>
    </w:p>
    <w:p>
      <w:r>
        <w:rPr>
          <w:b/>
        </w:rPr>
        <w:t xml:space="preserve">Resumo do Procedimento: </w:t>
      </w:r>
      <w:r>
        <w:t>Instruções para realizar o reforço de saldo de um empenho existente.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