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Empenho - Consulta de Saldo</w:t>
      </w:r>
    </w:p>
    <w:p>
      <w:pPr>
        <w:pStyle w:val="Heading1"/>
      </w:pPr>
      <w:r>
        <w:t>Módulo: Empenho</w:t>
      </w:r>
    </w:p>
    <w:p>
      <w:r>
        <w:rPr>
          <w:b/>
        </w:rPr>
        <w:t xml:space="preserve">Resumo do Procedimento: </w:t>
      </w:r>
      <w:r>
        <w:t>Passo a passo para consultar os saldos e o histórico de execuções do empenho.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