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Liquidação - Inclusão Material de Consumo</w:t>
      </w:r>
    </w:p>
    <w:p>
      <w:pPr>
        <w:pStyle w:val="Heading1"/>
      </w:pPr>
      <w:r>
        <w:t>Módulo: Liquidação</w:t>
      </w:r>
    </w:p>
    <w:p>
      <w:r>
        <w:rPr>
          <w:b/>
        </w:rPr>
        <w:t xml:space="preserve">Resumo do Procedimento: </w:t>
      </w:r>
      <w:r>
        <w:t>Procedimento para liquidar notas fiscais de material de consumo.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