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Liquidação - Estorno Total</w:t>
      </w:r>
    </w:p>
    <w:p>
      <w:pPr>
        <w:pStyle w:val="Heading1"/>
      </w:pPr>
      <w:r>
        <w:t>Módulo: Liquidação</w:t>
      </w:r>
    </w:p>
    <w:p>
      <w:r>
        <w:rPr>
          <w:b/>
        </w:rPr>
        <w:t xml:space="preserve">Resumo do Procedimento: </w:t>
      </w:r>
      <w:r>
        <w:t>Passo a passo para estornar uma nota de liquidação lançada indevidamente.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