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Liquidação - Inclusão Adiantamento</w:t>
      </w:r>
    </w:p>
    <w:p>
      <w:pPr>
        <w:pStyle w:val="Heading1"/>
      </w:pPr>
      <w:r>
        <w:t>Módulo: Liquidação</w:t>
      </w:r>
    </w:p>
    <w:p>
      <w:r>
        <w:rPr>
          <w:b/>
        </w:rPr>
        <w:t xml:space="preserve">Resumo do Procedimento: </w:t>
      </w:r>
      <w:r>
        <w:t>Regras para liquidação de empenhos de suprimento de fundos/adiantamento.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