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Pagamento - Ordem Bancária (OB)</w:t>
      </w:r>
    </w:p>
    <w:p>
      <w:pPr>
        <w:pStyle w:val="Heading1"/>
      </w:pPr>
      <w:r>
        <w:t>Módulo: Pagamento</w:t>
      </w:r>
    </w:p>
    <w:p>
      <w:r>
        <w:rPr>
          <w:b/>
        </w:rPr>
        <w:t xml:space="preserve">Resumo do Procedimento: </w:t>
      </w:r>
      <w:r>
        <w:t>Geração de Ordem Bancária para pagamento de fornecedores.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