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Pagamento - Programação de Desembolso (PD)</w:t>
      </w:r>
    </w:p>
    <w:p>
      <w:pPr>
        <w:pStyle w:val="Heading1"/>
      </w:pPr>
      <w:r>
        <w:t>Módulo: Pagamento</w:t>
      </w:r>
    </w:p>
    <w:p>
      <w:r>
        <w:rPr>
          <w:b/>
        </w:rPr>
        <w:t xml:space="preserve">Resumo do Procedimento: </w:t>
      </w:r>
      <w:r>
        <w:t>Como incluir a Programação de Desembolso antes do pagamento efetivo.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