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Pagamento - Retenção de ISS</w:t>
      </w:r>
    </w:p>
    <w:p>
      <w:pPr>
        <w:pStyle w:val="Heading1"/>
      </w:pPr>
      <w:r>
        <w:t>Módulo: Pagamento</w:t>
      </w:r>
    </w:p>
    <w:p>
      <w:r>
        <w:rPr>
          <w:b/>
        </w:rPr>
        <w:t xml:space="preserve">Resumo do Procedimento: </w:t>
      </w:r>
      <w:r>
        <w:t>Como destacar a retenção do Imposto Sobre Serviços (ISS).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