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Pagamento - Pagamento de Pessoal</w:t>
      </w:r>
    </w:p>
    <w:p>
      <w:pPr>
        <w:pStyle w:val="Heading1"/>
      </w:pPr>
      <w:r>
        <w:t>Módulo: Pagamento</w:t>
      </w:r>
    </w:p>
    <w:p>
      <w:r>
        <w:rPr>
          <w:b/>
        </w:rPr>
        <w:t xml:space="preserve">Resumo do Procedimento: </w:t>
      </w:r>
      <w:r>
        <w:t>Rotina para a efetivação do pagamento em lote de servidores.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