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Pagamento - Relatório de Empenhos a Pagar</w:t>
      </w:r>
    </w:p>
    <w:p>
      <w:pPr>
        <w:pStyle w:val="Heading1"/>
      </w:pPr>
      <w:r>
        <w:t>Módulo: Pagamento</w:t>
      </w:r>
    </w:p>
    <w:p>
      <w:r>
        <w:rPr>
          <w:b/>
        </w:rPr>
        <w:t xml:space="preserve">Resumo do Procedimento: </w:t>
      </w:r>
      <w:r>
        <w:t>Emissão do relatório de restos a pagar e empenhos liquidados não pagos.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