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sz w:val="40"/>
          <w:szCs w:val="4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sz w:val="40"/>
          <w:szCs w:val="4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sz w:val="40"/>
          <w:szCs w:val="4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sz w:val="40"/>
          <w:szCs w:val="4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Arial" w:cs="Arial" w:eastAsia="Arial" w:hAnsi="Arial"/>
          <w:b w:val="0"/>
          <w:bCs w:val="0"/>
          <w:sz w:val="44"/>
          <w:szCs w:val="4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44"/>
          <w:szCs w:val="44"/>
          <w:vertAlign w:val="baseline"/>
          <w:rtl w:val="0"/>
        </w:rPr>
        <w:t xml:space="preserve">Plataforma de Streaming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Arial" w:cs="Arial" w:eastAsia="Arial" w:hAnsi="Arial"/>
          <w:b w:val="0"/>
          <w:bCs w:val="0"/>
          <w:sz w:val="44"/>
          <w:szCs w:val="4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44"/>
          <w:szCs w:val="44"/>
          <w:vertAlign w:val="baseline"/>
          <w:rtl w:val="0"/>
        </w:rPr>
        <w:t xml:space="preserve">DDD Estratégico</w:t>
      </w:r>
      <w:r w:rsidDel="00000000" w:rsidR="00000000" w:rsidRPr="00000000">
        <w:rPr>
          <w:rtl w:val="0"/>
        </w:rPr>
      </w:r>
    </w:p>
    <w:tbl>
      <w:tblPr>
        <w:tblStyle w:val="Table1"/>
        <w:tblpPr w:leftFromText="181" w:rightFromText="181" w:topFromText="0" w:bottomFromText="0" w:vertAnchor="text" w:horzAnchor="text" w:tblpX="7.000000000000455" w:tblpY="0"/>
        <w:tblW w:w="9057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57"/>
        <w:gridCol w:w="3300"/>
        <w:tblGridChange w:id="0">
          <w:tblGrid>
            <w:gridCol w:w="5757"/>
            <w:gridCol w:w="3300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Autores: </w:t>
            </w:r>
          </w:p>
          <w:p w:rsidR="00000000" w:rsidDel="00000000" w:rsidP="00000000" w:rsidRDefault="00000000" w:rsidRPr="00000000" w14:paraId="0000000F">
            <w:pPr>
              <w:jc w:val="center"/>
              <w:rPr>
                <w:rFonts w:ascii="Arial" w:cs="Arial" w:eastAsia="Arial" w:hAnsi="Arial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vertAlign w:val="baseline"/>
                <w:rtl w:val="0"/>
              </w:rPr>
              <w:t xml:space="preserve">Juan Manuel Citta 24.123.022-6</w:t>
            </w:r>
          </w:p>
          <w:p w:rsidR="00000000" w:rsidDel="00000000" w:rsidP="00000000" w:rsidRDefault="00000000" w:rsidRPr="00000000" w14:paraId="00000010">
            <w:pPr>
              <w:jc w:val="center"/>
              <w:rPr>
                <w:rFonts w:ascii="Arial" w:cs="Arial" w:eastAsia="Arial" w:hAnsi="Arial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vertAlign w:val="baseline"/>
                <w:rtl w:val="0"/>
              </w:rPr>
              <w:t xml:space="preserve">Sebastian Citta 24.123.068-9</w:t>
            </w:r>
          </w:p>
          <w:p w:rsidR="00000000" w:rsidDel="00000000" w:rsidP="00000000" w:rsidRDefault="00000000" w:rsidRPr="00000000" w14:paraId="00000011">
            <w:pPr>
              <w:jc w:val="center"/>
              <w:rPr>
                <w:rFonts w:ascii="Arial" w:cs="Arial" w:eastAsia="Arial" w:hAnsi="Arial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vertAlign w:val="baseline"/>
                <w:rtl w:val="0"/>
              </w:rPr>
              <w:t xml:space="preserve">Luana Bortko Rodrigues 24.123.006-9</w:t>
            </w:r>
          </w:p>
          <w:p w:rsidR="00000000" w:rsidDel="00000000" w:rsidP="00000000" w:rsidRDefault="00000000" w:rsidRPr="00000000" w14:paraId="00000012">
            <w:pPr>
              <w:jc w:val="center"/>
              <w:rPr>
                <w:rFonts w:ascii="Arial" w:cs="Arial" w:eastAsia="Arial" w:hAnsi="Arial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vertAlign w:val="baseline"/>
                <w:rtl w:val="0"/>
              </w:rPr>
              <w:t xml:space="preserve">João Pedro Bazoli Palma 24.123.041-6</w:t>
            </w:r>
          </w:p>
          <w:p w:rsidR="00000000" w:rsidDel="00000000" w:rsidP="00000000" w:rsidRDefault="00000000" w:rsidRPr="00000000" w14:paraId="00000013">
            <w:pPr>
              <w:jc w:val="center"/>
              <w:rPr>
                <w:rFonts w:ascii="Arial" w:cs="Arial" w:eastAsia="Arial" w:hAnsi="Arial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vertAlign w:val="baseline"/>
                <w:rtl w:val="0"/>
              </w:rPr>
              <w:t xml:space="preserve">Augusto Pereira Teixeira 24.123.008-5</w:t>
            </w:r>
          </w:p>
          <w:p w:rsidR="00000000" w:rsidDel="00000000" w:rsidP="00000000" w:rsidRDefault="00000000" w:rsidRPr="00000000" w14:paraId="00000014">
            <w:pPr>
              <w:jc w:val="center"/>
              <w:rPr>
                <w:rFonts w:ascii="Arial" w:cs="Arial" w:eastAsia="Arial" w:hAnsi="Arial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Data de emissão:</w:t>
            </w:r>
          </w:p>
          <w:p w:rsidR="00000000" w:rsidDel="00000000" w:rsidP="00000000" w:rsidRDefault="00000000" w:rsidRPr="00000000" w14:paraId="00000016">
            <w:pPr>
              <w:jc w:val="right"/>
              <w:rPr>
                <w:rFonts w:ascii="Arial" w:cs="Arial" w:eastAsia="Arial" w:hAnsi="Arial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Revisor:</w:t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Data de revisão</w:t>
            </w:r>
          </w:p>
          <w:p w:rsidR="00000000" w:rsidDel="00000000" w:rsidP="00000000" w:rsidRDefault="00000000" w:rsidRPr="00000000" w14:paraId="00000019">
            <w:pPr>
              <w:jc w:val="right"/>
              <w:rPr>
                <w:rFonts w:ascii="Arial" w:cs="Arial" w:eastAsia="Arial" w:hAnsi="Arial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160" w:line="278.00000000000006" w:lineRule="auto"/>
        <w:ind w:left="720" w:hanging="360"/>
        <w:rPr>
          <w:rFonts w:ascii="Arial" w:cs="Arial" w:eastAsia="Arial" w:hAnsi="Arial"/>
          <w:b w:val="0"/>
          <w:bCs w:val="0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vertAlign w:val="baseline"/>
          <w:rtl w:val="0"/>
        </w:rPr>
        <w:t xml:space="preserve">Visão do Domínio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60" w:line="278.00000000000006" w:lineRule="auto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Liste os subdomínios do Domínio do sistema e classifique-os (core, suporte, genérico).</w:t>
      </w:r>
    </w:p>
    <w:p w:rsidR="00000000" w:rsidDel="00000000" w:rsidP="00000000" w:rsidRDefault="00000000" w:rsidRPr="00000000" w14:paraId="0000001C">
      <w:pPr>
        <w:spacing w:after="160" w:line="278.00000000000006" w:lineRule="auto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6141.0" w:type="dxa"/>
        <w:jc w:val="left"/>
        <w:tblInd w:w="-70.00000000000001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70"/>
        <w:gridCol w:w="3071"/>
        <w:tblGridChange w:id="0">
          <w:tblGrid>
            <w:gridCol w:w="3070"/>
            <w:gridCol w:w="3071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D">
            <w:pPr>
              <w:spacing w:after="160" w:line="278.00000000000006" w:lineRule="auto"/>
              <w:jc w:val="center"/>
              <w:rPr>
                <w:rFonts w:ascii="Arial" w:cs="Arial" w:eastAsia="Arial" w:hAnsi="Arial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Subdomínio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E">
            <w:pPr>
              <w:spacing w:after="160" w:line="278.00000000000006" w:lineRule="auto"/>
              <w:jc w:val="center"/>
              <w:rPr>
                <w:rFonts w:ascii="Arial" w:cs="Arial" w:eastAsia="Arial" w:hAnsi="Arial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F">
            <w:pPr>
              <w:spacing w:after="160" w:line="278.00000000000006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Gestão de conteúdo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0">
            <w:pPr>
              <w:spacing w:after="160" w:line="278.00000000000006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Core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1">
            <w:pPr>
              <w:spacing w:after="160" w:line="278.00000000000006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Catálogo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2">
            <w:pPr>
              <w:spacing w:after="160" w:line="278.00000000000006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Core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3">
            <w:pPr>
              <w:spacing w:after="160" w:line="278.00000000000006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Assinatura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4">
            <w:pPr>
              <w:spacing w:after="160" w:line="278.00000000000006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Suporte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5">
            <w:pPr>
              <w:spacing w:after="160" w:line="278.00000000000006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Pagamento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6">
            <w:pPr>
              <w:spacing w:after="160" w:line="278.00000000000006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Genérico</w:t>
            </w:r>
          </w:p>
        </w:tc>
      </w:tr>
    </w:tbl>
    <w:p w:rsidR="00000000" w:rsidDel="00000000" w:rsidP="00000000" w:rsidRDefault="00000000" w:rsidRPr="00000000" w14:paraId="00000027">
      <w:pPr>
        <w:spacing w:after="160" w:line="278.00000000000006" w:lineRule="auto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160" w:line="278.00000000000006" w:lineRule="auto"/>
        <w:ind w:left="720" w:hanging="360"/>
        <w:rPr>
          <w:rFonts w:ascii="Arial" w:cs="Arial" w:eastAsia="Arial" w:hAnsi="Arial"/>
          <w:b w:val="0"/>
          <w:bC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vertAlign w:val="baseline"/>
          <w:rtl w:val="0"/>
        </w:rPr>
        <w:t xml:space="preserve">Bounded Contexts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60" w:line="278.00000000000006" w:lineRule="auto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Defina os contextos identificados e suas responsabilidades.</w:t>
      </w:r>
    </w:p>
    <w:p w:rsidR="00000000" w:rsidDel="00000000" w:rsidP="00000000" w:rsidRDefault="00000000" w:rsidRPr="00000000" w14:paraId="0000002A">
      <w:pPr>
        <w:spacing w:after="160" w:line="278.00000000000006" w:lineRule="auto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284.0" w:type="dxa"/>
        <w:jc w:val="left"/>
        <w:tblInd w:w="-70.00000000000001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70"/>
        <w:gridCol w:w="6214"/>
        <w:tblGridChange w:id="0">
          <w:tblGrid>
            <w:gridCol w:w="3070"/>
            <w:gridCol w:w="6214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B">
            <w:pPr>
              <w:spacing w:after="160" w:line="278.00000000000006" w:lineRule="auto"/>
              <w:jc w:val="center"/>
              <w:rPr>
                <w:rFonts w:ascii="Arial" w:cs="Arial" w:eastAsia="Arial" w:hAnsi="Arial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Contexto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C">
            <w:pPr>
              <w:spacing w:after="160" w:line="278.00000000000006" w:lineRule="auto"/>
              <w:jc w:val="center"/>
              <w:rPr>
                <w:rFonts w:ascii="Arial" w:cs="Arial" w:eastAsia="Arial" w:hAnsi="Arial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Responsabilidade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D">
            <w:pPr>
              <w:spacing w:after="160" w:line="278.00000000000006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Baixar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E">
            <w:pPr>
              <w:spacing w:after="160" w:line="278.00000000000006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Permite o ouvinte logado com a conta de ouvinte e com a assinatura em dia, a baixar os áudios dispostos no catálogo.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F">
            <w:pPr>
              <w:spacing w:after="160" w:line="278.00000000000006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Postar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0">
            <w:pPr>
              <w:spacing w:after="160" w:line="278.00000000000006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Permite o artista logado com a conta verificada a fazer o upload de arquivos para o catálogo.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1">
            <w:pPr>
              <w:spacing w:after="160" w:line="278.00000000000006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Tocar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2">
            <w:pPr>
              <w:spacing w:after="160" w:line="278.00000000000006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Permite o ouvinte logado com a conta de ouvinte a tocar os áudios dispostos no catálogo.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3">
            <w:pPr>
              <w:spacing w:after="160" w:line="278.00000000000006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Interface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4">
            <w:pPr>
              <w:spacing w:after="160" w:line="278.00000000000006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Telas simples.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5">
            <w:pPr>
              <w:spacing w:after="160" w:line="278.00000000000006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Assinatura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6">
            <w:pPr>
              <w:spacing w:after="160" w:line="278.00000000000006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Cadastra o ouvinte no nível de conta pago.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7">
            <w:pPr>
              <w:spacing w:after="160" w:line="278.00000000000006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Pagamento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8">
            <w:pPr>
              <w:spacing w:after="160" w:line="278.00000000000006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Efetua o pagamento para os artistas da plataforma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9">
            <w:pPr>
              <w:spacing w:after="160" w:line="278.00000000000006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Cobrança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A">
            <w:pPr>
              <w:spacing w:after="160" w:line="278.00000000000006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Efetua a cobrança dos ouvintes com assinatura paga.</w:t>
            </w:r>
          </w:p>
        </w:tc>
      </w:tr>
    </w:tbl>
    <w:p w:rsidR="00000000" w:rsidDel="00000000" w:rsidP="00000000" w:rsidRDefault="00000000" w:rsidRPr="00000000" w14:paraId="0000003B">
      <w:pPr>
        <w:spacing w:after="160" w:line="278.00000000000006" w:lineRule="auto"/>
        <w:rPr>
          <w:rFonts w:ascii="Arial" w:cs="Arial" w:eastAsia="Arial" w:hAnsi="Arial"/>
          <w:b w:val="0"/>
          <w:bCs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160" w:line="278.00000000000006" w:lineRule="auto"/>
        <w:ind w:left="720" w:hanging="360"/>
        <w:rPr>
          <w:rFonts w:ascii="Arial" w:cs="Arial" w:eastAsia="Arial" w:hAnsi="Arial"/>
          <w:b w:val="0"/>
          <w:bC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vertAlign w:val="baseline"/>
          <w:rtl w:val="0"/>
        </w:rPr>
        <w:t xml:space="preserve">Linguagem Ubíqua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60" w:line="278.00000000000006" w:lineRule="auto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Escolha um termo relevante e descreva seu significado em diferentes contextos.</w:t>
      </w:r>
    </w:p>
    <w:p w:rsidR="00000000" w:rsidDel="00000000" w:rsidP="00000000" w:rsidRDefault="00000000" w:rsidRPr="00000000" w14:paraId="0000003E">
      <w:pPr>
        <w:spacing w:after="160" w:line="278.00000000000006" w:lineRule="auto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vertAlign w:val="baseline"/>
          <w:rtl w:val="0"/>
        </w:rPr>
        <w:t xml:space="preserve">Termo escolhido:</w:t>
      </w: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 Áudio</w:t>
      </w:r>
    </w:p>
    <w:p w:rsidR="00000000" w:rsidDel="00000000" w:rsidP="00000000" w:rsidRDefault="00000000" w:rsidRPr="00000000" w14:paraId="0000003F">
      <w:pPr>
        <w:spacing w:after="160" w:line="278.00000000000006" w:lineRule="auto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284.0" w:type="dxa"/>
        <w:jc w:val="left"/>
        <w:tblInd w:w="-70.00000000000001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70"/>
        <w:gridCol w:w="6214"/>
        <w:tblGridChange w:id="0">
          <w:tblGrid>
            <w:gridCol w:w="3070"/>
            <w:gridCol w:w="6214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0">
            <w:pPr>
              <w:spacing w:after="160" w:line="278.00000000000006" w:lineRule="auto"/>
              <w:jc w:val="center"/>
              <w:rPr>
                <w:rFonts w:ascii="Arial" w:cs="Arial" w:eastAsia="Arial" w:hAnsi="Arial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Contexto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1">
            <w:pPr>
              <w:spacing w:after="160" w:line="278.00000000000006" w:lineRule="auto"/>
              <w:jc w:val="center"/>
              <w:rPr>
                <w:rFonts w:ascii="Arial" w:cs="Arial" w:eastAsia="Arial" w:hAnsi="Arial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Significado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2">
            <w:pPr>
              <w:spacing w:after="160" w:line="278.00000000000006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Baixar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3">
            <w:pPr>
              <w:spacing w:after="160" w:line="278.00000000000006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Significa o arquivo de áudio com seus meta-dados e seu formato especificado.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4">
            <w:pPr>
              <w:spacing w:after="160" w:line="278.00000000000006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Postar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5">
            <w:pPr>
              <w:spacing w:after="160" w:line="278.00000000000006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Significa o arquivo de áudio a ser subido com os seus dados autorais.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6">
            <w:pPr>
              <w:spacing w:after="160" w:line="278.00000000000006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Tocar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7">
            <w:pPr>
              <w:spacing w:after="160" w:line="278.00000000000006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Significa o arquivo de áudio com seus meta-dados e seu formato especificado.</w:t>
            </w:r>
          </w:p>
        </w:tc>
      </w:tr>
    </w:tbl>
    <w:p w:rsidR="00000000" w:rsidDel="00000000" w:rsidP="00000000" w:rsidRDefault="00000000" w:rsidRPr="00000000" w14:paraId="00000048">
      <w:pPr>
        <w:spacing w:after="160" w:line="278.00000000000006" w:lineRule="auto"/>
        <w:rPr>
          <w:rFonts w:ascii="Arial" w:cs="Arial" w:eastAsia="Arial" w:hAnsi="Arial"/>
          <w:b w:val="0"/>
          <w:bCs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160" w:line="278.00000000000006" w:lineRule="auto"/>
        <w:ind w:left="720" w:hanging="360"/>
        <w:rPr>
          <w:rFonts w:ascii="Arial" w:cs="Arial" w:eastAsia="Arial" w:hAnsi="Arial"/>
          <w:b w:val="0"/>
          <w:bC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vertAlign w:val="baseline"/>
          <w:rtl w:val="0"/>
        </w:rPr>
        <w:t xml:space="preserve">Context 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60" w:line="278.00000000000006" w:lineRule="auto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Descreva as relações entre os contextos.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160" w:line="278.00000000000006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Baixar → Assinatura: (Cliente/Fornecedor)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160" w:line="278.00000000000006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Cobrança → Assinatura: (Cliente/Fornecedor)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160" w:line="278.00000000000006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Pagamento → Postar: (Cliente/Fornecedor)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160" w:line="278.00000000000006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Interface → Baixar (Conformista)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160" w:line="278.00000000000006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Interface → Postar (Conformista)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160" w:line="278.00000000000006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Interface → Tocar(Conformista)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160" w:line="278.00000000000006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Interface → Assinatura(Conformista)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160" w:line="278.00000000000006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Interface → Pagamento(Conformista)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160" w:line="278.00000000000006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Interface → Cobrança(Conformista)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160" w:line="278.00000000000006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Pagamento → Tocar(Cliente/Fornecedor)</w:t>
      </w:r>
    </w:p>
    <w:p w:rsidR="00000000" w:rsidDel="00000000" w:rsidP="00000000" w:rsidRDefault="00000000" w:rsidRPr="00000000" w14:paraId="00000055">
      <w:pPr>
        <w:spacing w:after="160" w:line="278.00000000000006" w:lineRule="auto"/>
        <w:ind w:left="72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60" w:line="278.00000000000006" w:lineRule="auto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vertAlign w:val="baseline"/>
          <w:rtl w:val="0"/>
        </w:rPr>
        <w:t xml:space="preserve">Diagrama:</w:t>
      </w: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7">
      <w:pPr>
        <w:spacing w:after="160" w:line="278.00000000000006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</w:rPr>
        <w:drawing>
          <wp:inline distB="114300" distT="114300" distL="114300" distR="114300">
            <wp:extent cx="4942617" cy="3128963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42617" cy="31289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60" w:line="278.00000000000006" w:lineRule="auto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160" w:line="278.00000000000006" w:lineRule="auto"/>
        <w:ind w:left="720" w:hanging="360"/>
        <w:rPr>
          <w:rFonts w:ascii="Arial" w:cs="Arial" w:eastAsia="Arial" w:hAnsi="Arial"/>
          <w:b w:val="0"/>
          <w:bC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vertAlign w:val="baseline"/>
          <w:rtl w:val="0"/>
        </w:rPr>
        <w:t xml:space="preserve">Proposta de Microserviços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60" w:line="278.00000000000006" w:lineRule="auto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Mapeie os Bounded Contexts para microserviços e descreva suas responsabilidades.</w:t>
      </w:r>
    </w:p>
    <w:p w:rsidR="00000000" w:rsidDel="00000000" w:rsidP="00000000" w:rsidRDefault="00000000" w:rsidRPr="00000000" w14:paraId="0000005B">
      <w:pPr>
        <w:spacing w:after="160" w:line="278.00000000000006" w:lineRule="auto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211.0" w:type="dxa"/>
        <w:jc w:val="left"/>
        <w:tblInd w:w="-70.00000000000001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70"/>
        <w:gridCol w:w="3070"/>
        <w:gridCol w:w="3071"/>
        <w:tblGridChange w:id="0">
          <w:tblGrid>
            <w:gridCol w:w="3070"/>
            <w:gridCol w:w="3070"/>
            <w:gridCol w:w="3071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C">
            <w:pPr>
              <w:spacing w:after="160" w:line="278.00000000000006" w:lineRule="auto"/>
              <w:jc w:val="center"/>
              <w:rPr>
                <w:rFonts w:ascii="Arial" w:cs="Arial" w:eastAsia="Arial" w:hAnsi="Arial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Microserviço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D">
            <w:pPr>
              <w:spacing w:after="160" w:line="278.00000000000006" w:lineRule="auto"/>
              <w:jc w:val="center"/>
              <w:rPr>
                <w:rFonts w:ascii="Arial" w:cs="Arial" w:eastAsia="Arial" w:hAnsi="Arial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Contexto de Origem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E">
            <w:pPr>
              <w:spacing w:after="160" w:line="278.00000000000006" w:lineRule="auto"/>
              <w:jc w:val="center"/>
              <w:rPr>
                <w:rFonts w:ascii="Arial" w:cs="Arial" w:eastAsia="Arial" w:hAnsi="Arial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Responsabilidade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F">
            <w:pPr>
              <w:spacing w:after="160" w:line="278.00000000000006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ms-baixar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0">
            <w:pPr>
              <w:spacing w:after="160" w:line="278.00000000000006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Baixar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1">
            <w:pPr>
              <w:spacing w:after="160" w:line="278.00000000000006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Gerenciar download de áudios, verificar assinatura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2">
            <w:pPr>
              <w:spacing w:after="160" w:line="278.00000000000006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ms-postar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3">
            <w:pPr>
              <w:spacing w:after="160" w:line="278.00000000000006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Postar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4">
            <w:pPr>
              <w:spacing w:after="160" w:line="278.00000000000006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Gerenciar postagem de áudios, verificar estado de artista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5">
            <w:pPr>
              <w:spacing w:after="160" w:line="278.00000000000006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ms-tocar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6">
            <w:pPr>
              <w:spacing w:after="160" w:line="278.00000000000006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Tocar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7">
            <w:pPr>
              <w:spacing w:after="160" w:line="278.00000000000006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Gerenciar streaming de áudio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8">
            <w:pPr>
              <w:spacing w:after="160" w:line="278.00000000000006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ms-assinatura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9">
            <w:pPr>
              <w:spacing w:after="160" w:line="278.00000000000006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Assinatura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A">
            <w:pPr>
              <w:spacing w:after="160" w:line="278.00000000000006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Gerenciar assinatura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B">
            <w:pPr>
              <w:spacing w:after="160" w:line="278.00000000000006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ms-pagamento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C">
            <w:pPr>
              <w:spacing w:after="160" w:line="278.00000000000006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Pagamento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D">
            <w:pPr>
              <w:spacing w:after="160" w:line="278.00000000000006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Gerenciar pagamento, gerar recibos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E">
            <w:pPr>
              <w:spacing w:after="160" w:line="278.00000000000006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ms-cobrança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F">
            <w:pPr>
              <w:spacing w:after="160" w:line="278.00000000000006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Cobrança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0">
            <w:pPr>
              <w:spacing w:after="160" w:line="278.00000000000006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Gerenciar cobranças, gerar recibos</w:t>
            </w:r>
          </w:p>
        </w:tc>
      </w:tr>
    </w:tbl>
    <w:p w:rsidR="00000000" w:rsidDel="00000000" w:rsidP="00000000" w:rsidRDefault="00000000" w:rsidRPr="00000000" w14:paraId="00000071">
      <w:pPr>
        <w:spacing w:after="160" w:line="278.00000000000006" w:lineRule="auto"/>
        <w:rPr>
          <w:rFonts w:ascii="Arial" w:cs="Arial" w:eastAsia="Arial" w:hAnsi="Arial"/>
          <w:b w:val="0"/>
          <w:bCs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160" w:line="278.00000000000006" w:lineRule="auto"/>
        <w:ind w:left="720" w:hanging="360"/>
        <w:rPr>
          <w:rFonts w:ascii="Arial" w:cs="Arial" w:eastAsia="Arial" w:hAnsi="Arial"/>
          <w:b w:val="0"/>
          <w:bC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vertAlign w:val="baseline"/>
          <w:rtl w:val="0"/>
        </w:rPr>
        <w:t xml:space="preserve">Transformação do modelo SOA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60" w:line="278.00000000000006" w:lineRule="auto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Selecione um serviço implementado anteriormente e descreva sua evolução.</w:t>
      </w:r>
    </w:p>
    <w:p w:rsidR="00000000" w:rsidDel="00000000" w:rsidP="00000000" w:rsidRDefault="00000000" w:rsidRPr="00000000" w14:paraId="00000074">
      <w:pPr>
        <w:spacing w:after="160" w:line="278.00000000000006" w:lineRule="auto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Serviço SOA original: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Validação 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spacing w:after="160" w:line="278.0000000000000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Problemas identificados</w:t>
      </w:r>
    </w:p>
    <w:p w:rsidR="00000000" w:rsidDel="00000000" w:rsidP="00000000" w:rsidRDefault="00000000" w:rsidRPr="00000000" w14:paraId="00000076">
      <w:pPr>
        <w:spacing w:after="160" w:line="278.00000000000006" w:lineRule="auto"/>
        <w:ind w:left="72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Serviço grande demais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spacing w:after="160" w:line="278.0000000000000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Microserviço(s) resultante(s)</w:t>
      </w:r>
    </w:p>
    <w:p w:rsidR="00000000" w:rsidDel="00000000" w:rsidP="00000000" w:rsidRDefault="00000000" w:rsidRPr="00000000" w14:paraId="00000078">
      <w:pPr>
        <w:spacing w:after="160" w:line="278.00000000000006" w:lineRule="auto"/>
        <w:ind w:left="72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ms - validarFormato</w:t>
      </w:r>
    </w:p>
    <w:p w:rsidR="00000000" w:rsidDel="00000000" w:rsidP="00000000" w:rsidRDefault="00000000" w:rsidRPr="00000000" w14:paraId="00000079">
      <w:pPr>
        <w:spacing w:after="160" w:line="278.00000000000006" w:lineRule="auto"/>
        <w:ind w:left="72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ms - validarMetadados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spacing w:after="160" w:line="278.0000000000000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O que mudou (antes vs depois)</w:t>
      </w:r>
    </w:p>
    <w:p w:rsidR="00000000" w:rsidDel="00000000" w:rsidP="00000000" w:rsidRDefault="00000000" w:rsidRPr="00000000" w14:paraId="0000007B">
      <w:pPr>
        <w:spacing w:after="160" w:line="278.00000000000006" w:lineRule="auto"/>
        <w:ind w:left="72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Maior separação de responsabilidades</w:t>
      </w:r>
    </w:p>
    <w:sectPr>
      <w:headerReference r:id="rId7" w:type="default"/>
      <w:footerReference r:id="rId8" w:type="default"/>
      <w:pgSz w:h="16840" w:w="11907" w:orient="portrait"/>
      <w:pgMar w:bottom="1418" w:top="1418" w:left="1418" w:right="1418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Arial"/>
  <w:font w:name="Arial Unicode MS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4">
    <w:pPr>
      <w:pBdr>
        <w:top w:color="000000" w:space="1" w:sz="4" w:val="single"/>
      </w:pBdr>
      <w:rPr>
        <w:rFonts w:ascii="Arial" w:cs="Arial" w:eastAsia="Arial" w:hAnsi="Arial"/>
        <w:vertAlign w:val="baseline"/>
      </w:rPr>
    </w:pPr>
    <w:r w:rsidDel="00000000" w:rsidR="00000000" w:rsidRPr="00000000">
      <w:rPr>
        <w:rFonts w:ascii="Arial" w:cs="Arial" w:eastAsia="Arial" w:hAnsi="Arial"/>
        <w:vertAlign w:val="baseline"/>
        <w:rtl w:val="0"/>
      </w:rPr>
      <w:t xml:space="preserve">TPM_DDD Estratégico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sz w:val="22"/>
        <w:szCs w:val="22"/>
        <w:vertAlign w:val="baseline"/>
      </w:rPr>
    </w:pPr>
    <w:r w:rsidDel="00000000" w:rsidR="00000000" w:rsidRPr="00000000">
      <w:rPr>
        <w:rtl w:val="0"/>
      </w:rPr>
    </w:r>
  </w:p>
  <w:tbl>
    <w:tblPr>
      <w:tblStyle w:val="Table6"/>
      <w:tblW w:w="9940.0" w:type="dxa"/>
      <w:jc w:val="center"/>
      <w:tblLayout w:type="fixed"/>
      <w:tblLook w:val="0000"/>
    </w:tblPr>
    <w:tblGrid>
      <w:gridCol w:w="1533"/>
      <w:gridCol w:w="8407"/>
      <w:tblGridChange w:id="0">
        <w:tblGrid>
          <w:gridCol w:w="1533"/>
          <w:gridCol w:w="8407"/>
        </w:tblGrid>
      </w:tblGridChange>
    </w:tblGrid>
    <w:tr>
      <w:trPr>
        <w:cantSplit w:val="0"/>
        <w:trHeight w:val="1651" w:hRule="atLeast"/>
        <w:tblHeader w:val="0"/>
      </w:trPr>
      <w:tc>
        <w:tcPr>
          <w:vAlign w:val="top"/>
        </w:tcPr>
        <w:p w:rsidR="00000000" w:rsidDel="00000000" w:rsidP="00000000" w:rsidRDefault="00000000" w:rsidRPr="00000000" w14:paraId="0000007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-70" w:right="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885190" cy="542290"/>
                <wp:effectExtent b="0" l="0" r="0" t="0"/>
                <wp:docPr id="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5190" cy="54229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Align w:val="top"/>
        </w:tcPr>
        <w:p w:rsidR="00000000" w:rsidDel="00000000" w:rsidP="00000000" w:rsidRDefault="00000000" w:rsidRPr="00000000" w14:paraId="0000007E">
          <w:pPr>
            <w:spacing w:line="360" w:lineRule="auto"/>
            <w:ind w:right="-376"/>
            <w:jc w:val="center"/>
            <w:rPr>
              <w:b w:val="0"/>
              <w:bCs w:val="0"/>
              <w:sz w:val="32"/>
              <w:szCs w:val="32"/>
              <w:vertAlign w:val="baseline"/>
            </w:rPr>
          </w:pPr>
          <w:r w:rsidDel="00000000" w:rsidR="00000000" w:rsidRPr="00000000">
            <w:rPr>
              <w:b w:val="1"/>
              <w:bCs w:val="1"/>
              <w:sz w:val="32"/>
              <w:szCs w:val="32"/>
              <w:vertAlign w:val="baseline"/>
              <w:rtl w:val="0"/>
            </w:rPr>
            <w:t xml:space="preserve">CENTRO UNIVERSITÁRIO FEI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F">
          <w:pPr>
            <w:ind w:right="-516"/>
            <w:jc w:val="center"/>
            <w:rPr>
              <w:sz w:val="20"/>
              <w:szCs w:val="20"/>
              <w:vertAlign w:val="baseline"/>
            </w:rPr>
          </w:pPr>
          <w:r w:rsidDel="00000000" w:rsidR="00000000" w:rsidRPr="00000000">
            <w:rPr>
              <w:sz w:val="16"/>
              <w:szCs w:val="16"/>
              <w:vertAlign w:val="baseline"/>
              <w:rtl w:val="0"/>
            </w:rPr>
            <w:t xml:space="preserve">A</w:t>
          </w:r>
          <w:r w:rsidDel="00000000" w:rsidR="00000000" w:rsidRPr="00000000">
            <w:rPr>
              <w:sz w:val="20"/>
              <w:szCs w:val="20"/>
              <w:vertAlign w:val="baseline"/>
              <w:rtl w:val="0"/>
            </w:rPr>
            <w:t xml:space="preserve">venida Humberto de Alencar Castelo Branco, 3972, CEP: 09850-901 São Bernardo do Campo</w:t>
          </w:r>
        </w:p>
        <w:p w:rsidR="00000000" w:rsidDel="00000000" w:rsidP="00000000" w:rsidRDefault="00000000" w:rsidRPr="00000000" w14:paraId="00000080">
          <w:pPr>
            <w:ind w:right="-516"/>
            <w:jc w:val="center"/>
            <w:rPr>
              <w:sz w:val="20"/>
              <w:szCs w:val="20"/>
              <w:vertAlign w:val="baseline"/>
            </w:rPr>
          </w:pPr>
          <w:r w:rsidDel="00000000" w:rsidR="00000000" w:rsidRPr="00000000">
            <w:rPr>
              <w:sz w:val="20"/>
              <w:szCs w:val="20"/>
              <w:vertAlign w:val="baseline"/>
              <w:rtl w:val="0"/>
            </w:rPr>
            <w:t xml:space="preserve">Telefone: (011) 4353-2900     Fax (011) 4109-5994</w:t>
          </w:r>
        </w:p>
        <w:p w:rsidR="00000000" w:rsidDel="00000000" w:rsidP="00000000" w:rsidRDefault="00000000" w:rsidRPr="00000000" w14:paraId="00000081">
          <w:pPr>
            <w:pBdr>
              <w:top w:color="000000" w:space="1" w:sz="4" w:val="single"/>
            </w:pBdr>
            <w:jc w:val="center"/>
            <w:rPr>
              <w:vertAlign w:val="baseline"/>
            </w:rPr>
          </w:pPr>
          <w:r w:rsidDel="00000000" w:rsidR="00000000" w:rsidRPr="00000000">
            <w:rPr>
              <w:vertAlign w:val="baseline"/>
              <w:rtl w:val="0"/>
            </w:rPr>
            <w:t xml:space="preserve">Curso de Ciências da Computação</w:t>
          </w:r>
        </w:p>
      </w:tc>
    </w:tr>
  </w:tbl>
  <w:p w:rsidR="00000000" w:rsidDel="00000000" w:rsidP="00000000" w:rsidRDefault="00000000" w:rsidRPr="00000000" w14:paraId="0000008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3">
    <w:pPr>
      <w:rPr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3">
    <w:lvl w:ilvl="0">
      <w:start w:val="1"/>
      <w:numFmt w:val="lowerLetter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PT"/>
      </w:rPr>
    </w:rPrDefault>
    <w:pPrDefault>
      <w:pPr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lpwstr>300.000000000000</vt:lpwstr>
  </property>
  <property fmtid="{D5CDD505-2E9C-101B-9397-08002B2CF9AE}" pid="3" name="GUID">
    <vt:lpwstr>{20050711-1425-1430-A2C0-C59CC90507D7}</vt:lpwstr>
  </property>
  <property fmtid="{D5CDD505-2E9C-101B-9397-08002B2CF9AE}" pid="4" name="SPSDescription">
    <vt:lpwstr>Documento de Especificação de Requisitos</vt:lpwstr>
  </property>
  <property fmtid="{D5CDD505-2E9C-101B-9397-08002B2CF9AE}" pid="5" name="Owner">
    <vt:lpwstr>Nathalia Sautchuk</vt:lpwstr>
  </property>
  <property fmtid="{D5CDD505-2E9C-101B-9397-08002B2CF9AE}" pid="6" name="Status">
    <vt:lpwstr>Final</vt:lpwstr>
  </property>
</Properties>
</file>