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AADB" w:themeFill="accent1" w:themeFillTint="99"/>
        <w:tblLook w:val="04A0" w:firstRow="1" w:lastRow="0" w:firstColumn="1" w:lastColumn="0" w:noHBand="0" w:noVBand="1"/>
      </w:tblPr>
      <w:tblGrid>
        <w:gridCol w:w="3142"/>
        <w:gridCol w:w="3143"/>
        <w:gridCol w:w="3143"/>
      </w:tblGrid>
      <w:tr w:rsidR="00F94D50" w14:paraId="62D082DA" w14:textId="77777777" w:rsidTr="00F94D50">
        <w:trPr>
          <w:trHeight w:val="268"/>
        </w:trPr>
        <w:tc>
          <w:tcPr>
            <w:tcW w:w="3142" w:type="dxa"/>
            <w:shd w:val="clear" w:color="auto" w:fill="3B3838" w:themeFill="background2" w:themeFillShade="40"/>
          </w:tcPr>
          <w:p w14:paraId="78F579B9" w14:textId="77777777" w:rsidR="00F94D50" w:rsidRPr="00F94D50" w:rsidRDefault="00F94D50" w:rsidP="00F94D50">
            <w:pPr>
              <w:pStyle w:val="NoSpacing"/>
              <w:rPr>
                <w:rFonts w:ascii="Times New Roman" w:hAnsi="Times New Roman" w:cs="Times New Roman"/>
                <w:b/>
                <w:bCs/>
              </w:rPr>
            </w:pPr>
            <w:r w:rsidRPr="00F94D50">
              <w:rPr>
                <w:rFonts w:ascii="Times New Roman" w:hAnsi="Times New Roman" w:cs="Times New Roman"/>
                <w:b/>
                <w:bCs/>
              </w:rPr>
              <w:t>August Peterson</w:t>
            </w:r>
          </w:p>
        </w:tc>
        <w:tc>
          <w:tcPr>
            <w:tcW w:w="3143" w:type="dxa"/>
            <w:shd w:val="clear" w:color="auto" w:fill="3B3838" w:themeFill="background2" w:themeFillShade="40"/>
          </w:tcPr>
          <w:p w14:paraId="7C4BAB42" w14:textId="7FD20E84" w:rsidR="00F94D50" w:rsidRPr="00F94D50" w:rsidRDefault="00AD3C0A" w:rsidP="00F94D50">
            <w:pPr>
              <w:pStyle w:val="NoSpacing"/>
              <w:jc w:val="center"/>
              <w:rPr>
                <w:rFonts w:ascii="Times New Roman" w:hAnsi="Times New Roman" w:cs="Times New Roman"/>
                <w:b/>
                <w:bCs/>
              </w:rPr>
            </w:pPr>
            <w:r>
              <w:rPr>
                <w:rFonts w:ascii="Times New Roman" w:hAnsi="Times New Roman" w:cs="Times New Roman"/>
                <w:b/>
                <w:bCs/>
              </w:rPr>
              <w:t xml:space="preserve">Colony </w:t>
            </w:r>
            <w:proofErr w:type="spellStart"/>
            <w:r>
              <w:rPr>
                <w:rFonts w:ascii="Times New Roman" w:hAnsi="Times New Roman" w:cs="Times New Roman"/>
                <w:b/>
                <w:bCs/>
              </w:rPr>
              <w:t>Bankcorp</w:t>
            </w:r>
            <w:proofErr w:type="spellEnd"/>
            <w:r>
              <w:rPr>
                <w:rFonts w:ascii="Times New Roman" w:hAnsi="Times New Roman" w:cs="Times New Roman"/>
                <w:b/>
                <w:bCs/>
              </w:rPr>
              <w:t xml:space="preserve"> (CBAN)</w:t>
            </w:r>
          </w:p>
        </w:tc>
        <w:tc>
          <w:tcPr>
            <w:tcW w:w="3143" w:type="dxa"/>
            <w:shd w:val="clear" w:color="auto" w:fill="3B3838" w:themeFill="background2" w:themeFillShade="40"/>
          </w:tcPr>
          <w:p w14:paraId="7DF60952" w14:textId="77777777" w:rsidR="00F94D50" w:rsidRPr="00F94D50" w:rsidRDefault="00F94D50" w:rsidP="00F94D50">
            <w:pPr>
              <w:pStyle w:val="NoSpacing"/>
              <w:jc w:val="right"/>
              <w:rPr>
                <w:rFonts w:ascii="Times New Roman" w:hAnsi="Times New Roman" w:cs="Times New Roman"/>
                <w:b/>
                <w:bCs/>
              </w:rPr>
            </w:pPr>
            <w:r w:rsidRPr="00F94D50">
              <w:rPr>
                <w:rFonts w:ascii="Times New Roman" w:hAnsi="Times New Roman" w:cs="Times New Roman"/>
                <w:b/>
                <w:bCs/>
              </w:rPr>
              <w:t>Domestic Financials</w:t>
            </w:r>
          </w:p>
        </w:tc>
      </w:tr>
    </w:tbl>
    <w:p w14:paraId="0794CDB4" w14:textId="77777777" w:rsidR="009752EC" w:rsidRPr="009752EC" w:rsidRDefault="009752EC" w:rsidP="009752EC">
      <w:pPr>
        <w:pStyle w:val="NoSpacing"/>
        <w:rPr>
          <w:rFonts w:ascii="Times New Roman" w:hAnsi="Times New Roman" w:cs="Times New Roman"/>
        </w:rPr>
      </w:pPr>
    </w:p>
    <w:p w14:paraId="017F858F" w14:textId="6A852150" w:rsidR="005E227A" w:rsidRPr="009752EC" w:rsidRDefault="005E227A" w:rsidP="00271C17">
      <w:pPr>
        <w:jc w:val="center"/>
        <w:rPr>
          <w:rFonts w:ascii="Times New Roman" w:hAnsi="Times New Roman" w:cs="Times New Roman"/>
          <w:b/>
          <w:bCs/>
        </w:rPr>
      </w:pPr>
      <w:r w:rsidRPr="009752EC">
        <w:rPr>
          <w:rFonts w:ascii="Times New Roman" w:hAnsi="Times New Roman" w:cs="Times New Roman"/>
          <w:b/>
          <w:bCs/>
        </w:rPr>
        <w:t xml:space="preserve">Raising Recommendation for CBAN Based on Unforeseen </w:t>
      </w:r>
      <w:r w:rsidR="00271C17">
        <w:rPr>
          <w:rFonts w:ascii="Times New Roman" w:hAnsi="Times New Roman" w:cs="Times New Roman"/>
          <w:b/>
          <w:bCs/>
        </w:rPr>
        <w:t>Commercial Loan</w:t>
      </w:r>
      <w:r w:rsidRPr="009752EC">
        <w:rPr>
          <w:rFonts w:ascii="Times New Roman" w:hAnsi="Times New Roman" w:cs="Times New Roman"/>
          <w:b/>
          <w:bCs/>
        </w:rPr>
        <w:t xml:space="preserve"> Growth</w:t>
      </w:r>
    </w:p>
    <w:p w14:paraId="6E50F02D" w14:textId="3CF39D4C" w:rsidR="002F5E38" w:rsidRPr="009752EC" w:rsidRDefault="0001476A">
      <w:pPr>
        <w:rPr>
          <w:rFonts w:ascii="Times New Roman" w:hAnsi="Times New Roman" w:cs="Times New Roman"/>
        </w:rPr>
      </w:pPr>
      <w:r w:rsidRPr="0001476A">
        <w:rPr>
          <w:rFonts w:ascii="Times New Roman" w:hAnsi="Times New Roman" w:cs="Times New Roman"/>
          <w:noProof/>
        </w:rPr>
        <w:drawing>
          <wp:inline distT="0" distB="0" distL="0" distR="0" wp14:anchorId="68E64F5D" wp14:editId="4F50347F">
            <wp:extent cx="5943600" cy="11353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1135380"/>
                    </a:xfrm>
                    <a:prstGeom prst="rect">
                      <a:avLst/>
                    </a:prstGeom>
                  </pic:spPr>
                </pic:pic>
              </a:graphicData>
            </a:graphic>
          </wp:inline>
        </w:drawing>
      </w:r>
    </w:p>
    <w:p w14:paraId="4F6417B6" w14:textId="07EB9EEE" w:rsidR="005E227A" w:rsidRPr="009752EC" w:rsidRDefault="005E227A" w:rsidP="00F94D50">
      <w:pPr>
        <w:jc w:val="both"/>
        <w:rPr>
          <w:rFonts w:ascii="Times New Roman" w:hAnsi="Times New Roman" w:cs="Times New Roman"/>
        </w:rPr>
      </w:pPr>
      <w:r w:rsidRPr="009752EC">
        <w:rPr>
          <w:rFonts w:ascii="Times New Roman" w:hAnsi="Times New Roman" w:cs="Times New Roman"/>
          <w:b/>
          <w:bCs/>
        </w:rPr>
        <w:t>Conclusion:</w:t>
      </w:r>
      <w:r w:rsidRPr="009752EC">
        <w:rPr>
          <w:rFonts w:ascii="Times New Roman" w:hAnsi="Times New Roman" w:cs="Times New Roman"/>
        </w:rPr>
        <w:t xml:space="preserve"> I am recommending the purchase of Colony </w:t>
      </w:r>
      <w:proofErr w:type="spellStart"/>
      <w:r w:rsidRPr="009752EC">
        <w:rPr>
          <w:rFonts w:ascii="Times New Roman" w:hAnsi="Times New Roman" w:cs="Times New Roman"/>
        </w:rPr>
        <w:t>Bankcorp</w:t>
      </w:r>
      <w:proofErr w:type="spellEnd"/>
      <w:r w:rsidRPr="009752EC">
        <w:rPr>
          <w:rFonts w:ascii="Times New Roman" w:hAnsi="Times New Roman" w:cs="Times New Roman"/>
        </w:rPr>
        <w:t xml:space="preserve"> (CBAN) because my work suggests </w:t>
      </w:r>
      <w:r w:rsidR="00C055E4" w:rsidRPr="009752EC">
        <w:rPr>
          <w:rFonts w:ascii="Times New Roman" w:hAnsi="Times New Roman" w:cs="Times New Roman"/>
        </w:rPr>
        <w:t xml:space="preserve">there will be a greater origination of commercial </w:t>
      </w:r>
      <w:r w:rsidR="00F032B5">
        <w:rPr>
          <w:rFonts w:ascii="Times New Roman" w:hAnsi="Times New Roman" w:cs="Times New Roman"/>
        </w:rPr>
        <w:t xml:space="preserve">purpose and </w:t>
      </w:r>
      <w:r w:rsidR="007743C2">
        <w:rPr>
          <w:rFonts w:ascii="Times New Roman" w:hAnsi="Times New Roman" w:cs="Times New Roman"/>
        </w:rPr>
        <w:t xml:space="preserve">commercial </w:t>
      </w:r>
      <w:r w:rsidR="00F032B5">
        <w:rPr>
          <w:rFonts w:ascii="Times New Roman" w:hAnsi="Times New Roman" w:cs="Times New Roman"/>
        </w:rPr>
        <w:t xml:space="preserve">real estate </w:t>
      </w:r>
      <w:r w:rsidR="00C055E4" w:rsidRPr="009752EC">
        <w:rPr>
          <w:rFonts w:ascii="Times New Roman" w:hAnsi="Times New Roman" w:cs="Times New Roman"/>
        </w:rPr>
        <w:t xml:space="preserve">loans </w:t>
      </w:r>
      <w:r w:rsidR="00F54FCA" w:rsidRPr="009752EC">
        <w:rPr>
          <w:rFonts w:ascii="Times New Roman" w:hAnsi="Times New Roman" w:cs="Times New Roman"/>
        </w:rPr>
        <w:t xml:space="preserve">among Georgian banks than what </w:t>
      </w:r>
      <w:r w:rsidR="00F032B5">
        <w:rPr>
          <w:rFonts w:ascii="Times New Roman" w:hAnsi="Times New Roman" w:cs="Times New Roman"/>
        </w:rPr>
        <w:t>consensus</w:t>
      </w:r>
      <w:r w:rsidR="00F54FCA" w:rsidRPr="009752EC">
        <w:rPr>
          <w:rFonts w:ascii="Times New Roman" w:hAnsi="Times New Roman" w:cs="Times New Roman"/>
        </w:rPr>
        <w:t xml:space="preserve"> anticipates. My view compels me to raise</w:t>
      </w:r>
      <w:r w:rsidR="00F032B5">
        <w:rPr>
          <w:rFonts w:ascii="Times New Roman" w:hAnsi="Times New Roman" w:cs="Times New Roman"/>
        </w:rPr>
        <w:t xml:space="preserve"> </w:t>
      </w:r>
      <w:r w:rsidR="00271C17">
        <w:rPr>
          <w:rFonts w:ascii="Times New Roman" w:hAnsi="Times New Roman" w:cs="Times New Roman"/>
        </w:rPr>
        <w:t>earnings</w:t>
      </w:r>
      <w:r w:rsidR="00F54FCA" w:rsidRPr="009752EC">
        <w:rPr>
          <w:rFonts w:ascii="Times New Roman" w:hAnsi="Times New Roman" w:cs="Times New Roman"/>
        </w:rPr>
        <w:t xml:space="preserve"> forecast</w:t>
      </w:r>
      <w:r w:rsidR="00376F4E" w:rsidRPr="009752EC">
        <w:rPr>
          <w:rFonts w:ascii="Times New Roman" w:hAnsi="Times New Roman" w:cs="Times New Roman"/>
        </w:rPr>
        <w:t xml:space="preserve">s </w:t>
      </w:r>
      <w:r w:rsidR="00271C17">
        <w:rPr>
          <w:rFonts w:ascii="Times New Roman" w:hAnsi="Times New Roman" w:cs="Times New Roman"/>
        </w:rPr>
        <w:t xml:space="preserve">for next year </w:t>
      </w:r>
      <w:r w:rsidR="0047569E">
        <w:rPr>
          <w:rFonts w:ascii="Times New Roman" w:hAnsi="Times New Roman" w:cs="Times New Roman"/>
        </w:rPr>
        <w:t>8</w:t>
      </w:r>
      <w:r w:rsidR="00376F4E" w:rsidRPr="009752EC">
        <w:rPr>
          <w:rFonts w:ascii="Times New Roman" w:hAnsi="Times New Roman" w:cs="Times New Roman"/>
        </w:rPr>
        <w:t>% above consensus</w:t>
      </w:r>
      <w:r w:rsidR="00F032B5">
        <w:rPr>
          <w:rFonts w:ascii="Times New Roman" w:hAnsi="Times New Roman" w:cs="Times New Roman"/>
        </w:rPr>
        <w:t>.</w:t>
      </w:r>
      <w:r w:rsidR="00271C17">
        <w:rPr>
          <w:rFonts w:ascii="Times New Roman" w:hAnsi="Times New Roman" w:cs="Times New Roman"/>
        </w:rPr>
        <w:t xml:space="preserve"> I assume the stock continues to trade at its current P/E multiple relative to the market, and marginally above its historical P/B multiple relative to the market (72% discount to 70%). </w:t>
      </w:r>
    </w:p>
    <w:p w14:paraId="5473DC9A" w14:textId="4ED5BDF1" w:rsidR="00A0582C" w:rsidRDefault="00F54FCA" w:rsidP="00F94D50">
      <w:pPr>
        <w:jc w:val="both"/>
        <w:rPr>
          <w:rFonts w:ascii="Times New Roman" w:hAnsi="Times New Roman" w:cs="Times New Roman"/>
        </w:rPr>
      </w:pPr>
      <w:r w:rsidRPr="009752EC">
        <w:rPr>
          <w:rFonts w:ascii="Times New Roman" w:hAnsi="Times New Roman" w:cs="Times New Roman"/>
          <w:b/>
          <w:bCs/>
        </w:rPr>
        <w:t>Price Target:</w:t>
      </w:r>
      <w:r w:rsidR="00C70270">
        <w:rPr>
          <w:rFonts w:ascii="Times New Roman" w:hAnsi="Times New Roman" w:cs="Times New Roman"/>
        </w:rPr>
        <w:t xml:space="preserve"> </w:t>
      </w:r>
      <w:r w:rsidR="0047569E">
        <w:rPr>
          <w:rFonts w:ascii="Times New Roman" w:hAnsi="Times New Roman" w:cs="Times New Roman"/>
        </w:rPr>
        <w:t xml:space="preserve">My price target P/E ratio assumes CBAN’s 47% two-year historical discount to the market multiple. Applying this to my NTM </w:t>
      </w:r>
      <w:proofErr w:type="gramStart"/>
      <w:r w:rsidR="0047569E">
        <w:rPr>
          <w:rFonts w:ascii="Times New Roman" w:hAnsi="Times New Roman" w:cs="Times New Roman"/>
        </w:rPr>
        <w:t>+1 year</w:t>
      </w:r>
      <w:proofErr w:type="gramEnd"/>
      <w:r w:rsidR="0047569E">
        <w:rPr>
          <w:rFonts w:ascii="Times New Roman" w:hAnsi="Times New Roman" w:cs="Times New Roman"/>
        </w:rPr>
        <w:t xml:space="preserve"> EPS estimate of $1.75 results in a price target of $14.30. </w:t>
      </w:r>
      <w:r w:rsidR="000F72AA">
        <w:rPr>
          <w:rFonts w:ascii="Times New Roman" w:hAnsi="Times New Roman" w:cs="Times New Roman"/>
        </w:rPr>
        <w:t xml:space="preserve">My price target P/B ratio assumes a 70% discount to the market P/B multiple, </w:t>
      </w:r>
      <w:r w:rsidR="00444C56">
        <w:rPr>
          <w:rFonts w:ascii="Times New Roman" w:hAnsi="Times New Roman" w:cs="Times New Roman"/>
        </w:rPr>
        <w:t>which is 2% below its current level,</w:t>
      </w:r>
      <w:r w:rsidR="000F72AA">
        <w:rPr>
          <w:rFonts w:ascii="Times New Roman" w:hAnsi="Times New Roman" w:cs="Times New Roman"/>
        </w:rPr>
        <w:t xml:space="preserve"> to my NTM </w:t>
      </w:r>
      <w:proofErr w:type="gramStart"/>
      <w:r w:rsidR="000F72AA">
        <w:rPr>
          <w:rFonts w:ascii="Times New Roman" w:hAnsi="Times New Roman" w:cs="Times New Roman"/>
        </w:rPr>
        <w:t>+1 year</w:t>
      </w:r>
      <w:proofErr w:type="gramEnd"/>
      <w:r w:rsidR="000F72AA">
        <w:rPr>
          <w:rFonts w:ascii="Times New Roman" w:hAnsi="Times New Roman" w:cs="Times New Roman"/>
        </w:rPr>
        <w:t xml:space="preserve"> BVPS estimate of $14.74</w:t>
      </w:r>
      <w:r w:rsidR="00444C56">
        <w:rPr>
          <w:rFonts w:ascii="Times New Roman" w:hAnsi="Times New Roman" w:cs="Times New Roman"/>
        </w:rPr>
        <w:t>, which also results in a price target of $14.30.</w:t>
      </w:r>
      <w:r w:rsidR="00470198">
        <w:rPr>
          <w:rFonts w:ascii="Times New Roman" w:hAnsi="Times New Roman" w:cs="Times New Roman"/>
        </w:rPr>
        <w:t xml:space="preserve"> </w:t>
      </w:r>
    </w:p>
    <w:p w14:paraId="0C410898" w14:textId="561F728B" w:rsidR="00470198" w:rsidRDefault="00F54FCA" w:rsidP="00F94D50">
      <w:pPr>
        <w:jc w:val="both"/>
        <w:rPr>
          <w:rFonts w:ascii="Times New Roman" w:hAnsi="Times New Roman" w:cs="Times New Roman"/>
        </w:rPr>
      </w:pPr>
      <w:r w:rsidRPr="009752EC">
        <w:rPr>
          <w:rFonts w:ascii="Times New Roman" w:hAnsi="Times New Roman" w:cs="Times New Roman"/>
          <w:b/>
          <w:bCs/>
        </w:rPr>
        <w:t>Research:</w:t>
      </w:r>
      <w:r w:rsidRPr="009752EC">
        <w:rPr>
          <w:rFonts w:ascii="Times New Roman" w:hAnsi="Times New Roman" w:cs="Times New Roman"/>
        </w:rPr>
        <w:t xml:space="preserve"> </w:t>
      </w:r>
      <w:r w:rsidR="00B744B7">
        <w:rPr>
          <w:rFonts w:ascii="Times New Roman" w:hAnsi="Times New Roman" w:cs="Times New Roman"/>
        </w:rPr>
        <w:t xml:space="preserve">Based on my criteria to find commercial loan growth among regional banks, I searched for business application growth between 2020 and 2021 for all counties in the US and determined that new businesses are emerging at the highest rates in </w:t>
      </w:r>
      <w:r w:rsidR="00470198">
        <w:rPr>
          <w:rFonts w:ascii="Times New Roman" w:hAnsi="Times New Roman" w:cs="Times New Roman"/>
        </w:rPr>
        <w:t>the South</w:t>
      </w:r>
      <w:r w:rsidR="00B744B7">
        <w:rPr>
          <w:rFonts w:ascii="Times New Roman" w:hAnsi="Times New Roman" w:cs="Times New Roman"/>
        </w:rPr>
        <w:t xml:space="preserve">. </w:t>
      </w:r>
      <w:r w:rsidR="00DD1258">
        <w:rPr>
          <w:rFonts w:ascii="Times New Roman" w:hAnsi="Times New Roman" w:cs="Times New Roman"/>
        </w:rPr>
        <w:t xml:space="preserve">Georgia ranks second among all US states by growth </w:t>
      </w:r>
      <w:r w:rsidR="006567DA">
        <w:rPr>
          <w:rFonts w:ascii="Times New Roman" w:hAnsi="Times New Roman" w:cs="Times New Roman"/>
        </w:rPr>
        <w:t>in the number</w:t>
      </w:r>
      <w:r w:rsidR="00DD1258">
        <w:rPr>
          <w:rFonts w:ascii="Times New Roman" w:hAnsi="Times New Roman" w:cs="Times New Roman"/>
        </w:rPr>
        <w:t xml:space="preserve"> of applications for Employee Identification Numbers (EINs) at 26.8%</w:t>
      </w:r>
      <w:r w:rsidR="007A054F">
        <w:rPr>
          <w:rFonts w:ascii="Times New Roman" w:hAnsi="Times New Roman" w:cs="Times New Roman"/>
        </w:rPr>
        <w:t xml:space="preserve">. EINs </w:t>
      </w:r>
      <w:r w:rsidR="007A054F" w:rsidRPr="009752EC">
        <w:rPr>
          <w:rFonts w:ascii="Times New Roman" w:hAnsi="Times New Roman" w:cs="Times New Roman"/>
        </w:rPr>
        <w:t xml:space="preserve">are necessary for business structures that plan to hire employees and establish themselves as separate legal entities responsible for </w:t>
      </w:r>
      <w:r w:rsidR="007A054F">
        <w:rPr>
          <w:rFonts w:ascii="Times New Roman" w:hAnsi="Times New Roman" w:cs="Times New Roman"/>
        </w:rPr>
        <w:t>their</w:t>
      </w:r>
      <w:r w:rsidR="007A054F" w:rsidRPr="009752EC">
        <w:rPr>
          <w:rFonts w:ascii="Times New Roman" w:hAnsi="Times New Roman" w:cs="Times New Roman"/>
        </w:rPr>
        <w:t xml:space="preserve"> own finances</w:t>
      </w:r>
      <w:r w:rsidR="00E30FAA">
        <w:rPr>
          <w:rFonts w:ascii="Times New Roman" w:hAnsi="Times New Roman" w:cs="Times New Roman"/>
        </w:rPr>
        <w:t>;</w:t>
      </w:r>
      <w:r w:rsidR="007A054F">
        <w:rPr>
          <w:rFonts w:ascii="Times New Roman" w:hAnsi="Times New Roman" w:cs="Times New Roman"/>
        </w:rPr>
        <w:t xml:space="preserve"> the US Census Bureau publishe</w:t>
      </w:r>
      <w:r w:rsidR="00E30FAA">
        <w:rPr>
          <w:rFonts w:ascii="Times New Roman" w:hAnsi="Times New Roman" w:cs="Times New Roman"/>
        </w:rPr>
        <w:t>s</w:t>
      </w:r>
      <w:r w:rsidR="007A054F">
        <w:rPr>
          <w:rFonts w:ascii="Times New Roman" w:hAnsi="Times New Roman" w:cs="Times New Roman"/>
        </w:rPr>
        <w:t xml:space="preserve"> monthly Business Formation Statistics (BFS) at the state and county levels for their applications. </w:t>
      </w:r>
      <w:r w:rsidR="00470198">
        <w:rPr>
          <w:rFonts w:ascii="Times New Roman" w:hAnsi="Times New Roman" w:cs="Times New Roman"/>
        </w:rPr>
        <w:t xml:space="preserve">Missouri ranks first, although there were no regional banks under a $3B market cap with loan-to-deposit ratios below 1.0x and a core branch footprint within its state. </w:t>
      </w:r>
    </w:p>
    <w:p w14:paraId="349EDE34" w14:textId="24052445" w:rsidR="009840A1" w:rsidRPr="009752EC" w:rsidRDefault="007A054F" w:rsidP="00F94D50">
      <w:pPr>
        <w:jc w:val="both"/>
        <w:rPr>
          <w:rFonts w:ascii="Times New Roman" w:hAnsi="Times New Roman" w:cs="Times New Roman"/>
        </w:rPr>
      </w:pPr>
      <w:r>
        <w:rPr>
          <w:rFonts w:ascii="Times New Roman" w:hAnsi="Times New Roman" w:cs="Times New Roman"/>
        </w:rPr>
        <w:t>C</w:t>
      </w:r>
      <w:r w:rsidR="0047569E">
        <w:rPr>
          <w:rFonts w:ascii="Times New Roman" w:hAnsi="Times New Roman" w:cs="Times New Roman"/>
        </w:rPr>
        <w:t xml:space="preserve">BAN </w:t>
      </w:r>
      <w:r>
        <w:rPr>
          <w:rFonts w:ascii="Times New Roman" w:hAnsi="Times New Roman" w:cs="Times New Roman"/>
        </w:rPr>
        <w:t>ranks 17</w:t>
      </w:r>
      <w:r w:rsidRPr="007A054F">
        <w:rPr>
          <w:rFonts w:ascii="Times New Roman" w:hAnsi="Times New Roman" w:cs="Times New Roman"/>
          <w:vertAlign w:val="superscript"/>
        </w:rPr>
        <w:t>th</w:t>
      </w:r>
      <w:r>
        <w:rPr>
          <w:rFonts w:ascii="Times New Roman" w:hAnsi="Times New Roman" w:cs="Times New Roman"/>
        </w:rPr>
        <w:t xml:space="preserve"> among Georgian banks by market share (by total deposits) but has over 10% in six counties where EIN applications total 500 or more and the rate of growth exceeds that of the state average (see appendix). </w:t>
      </w:r>
      <w:r w:rsidR="00470198">
        <w:rPr>
          <w:rFonts w:ascii="Times New Roman" w:hAnsi="Times New Roman" w:cs="Times New Roman"/>
        </w:rPr>
        <w:t>As a regional bank dealing primarily in commercial lending (83% of outstanding loans) with notable market share in counties that have reported some of the nation’s highest business applications in 2021, my analysis suggests that CBAN will benefit from an unexpected rise in the number of businesses forming in the South.</w:t>
      </w:r>
      <w:r w:rsidR="00470198">
        <w:rPr>
          <w:rFonts w:ascii="Times New Roman" w:hAnsi="Times New Roman" w:cs="Times New Roman"/>
        </w:rPr>
        <w:t xml:space="preserve"> </w:t>
      </w:r>
      <w:r w:rsidR="00B07B12" w:rsidRPr="009752EC">
        <w:rPr>
          <w:rFonts w:ascii="Times New Roman" w:hAnsi="Times New Roman" w:cs="Times New Roman"/>
        </w:rPr>
        <w:t>New business</w:t>
      </w:r>
      <w:r w:rsidR="00470198">
        <w:rPr>
          <w:rFonts w:ascii="Times New Roman" w:hAnsi="Times New Roman" w:cs="Times New Roman"/>
        </w:rPr>
        <w:t xml:space="preserve"> growth </w:t>
      </w:r>
      <w:r w:rsidR="00B07B12" w:rsidRPr="009752EC">
        <w:rPr>
          <w:rFonts w:ascii="Times New Roman" w:hAnsi="Times New Roman" w:cs="Times New Roman"/>
        </w:rPr>
        <w:t xml:space="preserve">bodes well for the bank as loans are likely to be originated for </w:t>
      </w:r>
      <w:r w:rsidR="002255CB">
        <w:rPr>
          <w:rFonts w:ascii="Times New Roman" w:hAnsi="Times New Roman" w:cs="Times New Roman"/>
        </w:rPr>
        <w:t>commercial purposes</w:t>
      </w:r>
      <w:r w:rsidR="00B07B12" w:rsidRPr="009752EC">
        <w:rPr>
          <w:rFonts w:ascii="Times New Roman" w:hAnsi="Times New Roman" w:cs="Times New Roman"/>
        </w:rPr>
        <w:t xml:space="preserve"> (Commercial &amp; Industrial loans) and office spaces (Commercial Real Estate loans), which is directly reflected on the firm’s income statement as interest income. Colony’s non-interest income would also benefit from a rise in businesses, as the bank’s Small Business Specialty Lending Group makes a spread from originating Small Business Administration (SBA) loans.</w:t>
      </w:r>
    </w:p>
    <w:p w14:paraId="533034F1" w14:textId="549FCF36" w:rsidR="001C4B97" w:rsidRPr="009752EC" w:rsidRDefault="00497871" w:rsidP="00F94D50">
      <w:pPr>
        <w:jc w:val="both"/>
        <w:rPr>
          <w:rFonts w:ascii="Times New Roman" w:hAnsi="Times New Roman" w:cs="Times New Roman"/>
        </w:rPr>
      </w:pPr>
      <w:r w:rsidRPr="009752EC">
        <w:rPr>
          <w:rFonts w:ascii="Times New Roman" w:hAnsi="Times New Roman" w:cs="Times New Roman"/>
        </w:rPr>
        <w:t xml:space="preserve">Sell-side research among Georgian banks also fails to mention </w:t>
      </w:r>
      <w:r w:rsidR="00072D97" w:rsidRPr="009752EC">
        <w:rPr>
          <w:rFonts w:ascii="Times New Roman" w:hAnsi="Times New Roman" w:cs="Times New Roman"/>
        </w:rPr>
        <w:t>a</w:t>
      </w:r>
      <w:r w:rsidR="00470198">
        <w:rPr>
          <w:rFonts w:ascii="Times New Roman" w:hAnsi="Times New Roman" w:cs="Times New Roman"/>
        </w:rPr>
        <w:t xml:space="preserve">n </w:t>
      </w:r>
      <w:r w:rsidR="00072D97" w:rsidRPr="009752EC">
        <w:rPr>
          <w:rFonts w:ascii="Times New Roman" w:hAnsi="Times New Roman" w:cs="Times New Roman"/>
        </w:rPr>
        <w:t xml:space="preserve">increase in deposits galvanized by the construction of three manufacturing plants within the next five years and the expansion of two existing plants in 2023 alone. Hyundai Motor Group is planning to </w:t>
      </w:r>
      <w:r w:rsidR="007A054F">
        <w:rPr>
          <w:rFonts w:ascii="Times New Roman" w:hAnsi="Times New Roman" w:cs="Times New Roman"/>
        </w:rPr>
        <w:t>build</w:t>
      </w:r>
      <w:r w:rsidR="00072D97" w:rsidRPr="009752EC">
        <w:rPr>
          <w:rFonts w:ascii="Times New Roman" w:hAnsi="Times New Roman" w:cs="Times New Roman"/>
        </w:rPr>
        <w:t xml:space="preserve"> a new EV battery manufacturing plant operational by </w:t>
      </w:r>
      <w:r w:rsidR="00271D80" w:rsidRPr="009752EC">
        <w:rPr>
          <w:rFonts w:ascii="Times New Roman" w:hAnsi="Times New Roman" w:cs="Times New Roman"/>
        </w:rPr>
        <w:t>1H</w:t>
      </w:r>
      <w:r w:rsidR="00072D97" w:rsidRPr="009752EC">
        <w:rPr>
          <w:rFonts w:ascii="Times New Roman" w:hAnsi="Times New Roman" w:cs="Times New Roman"/>
        </w:rPr>
        <w:t xml:space="preserve">2025; expecting to create nearly 8,100 new jobs in Bryan county (Colony has three branches in directly adjacent counties). </w:t>
      </w:r>
      <w:proofErr w:type="spellStart"/>
      <w:r w:rsidR="00072D97" w:rsidRPr="009752EC">
        <w:rPr>
          <w:rFonts w:ascii="Times New Roman" w:hAnsi="Times New Roman" w:cs="Times New Roman"/>
        </w:rPr>
        <w:t>Rivian</w:t>
      </w:r>
      <w:proofErr w:type="spellEnd"/>
      <w:r w:rsidR="00072D97" w:rsidRPr="009752EC">
        <w:rPr>
          <w:rFonts w:ascii="Times New Roman" w:hAnsi="Times New Roman" w:cs="Times New Roman"/>
        </w:rPr>
        <w:t xml:space="preserve"> </w:t>
      </w:r>
      <w:r w:rsidR="006567DA">
        <w:rPr>
          <w:rFonts w:ascii="Times New Roman" w:hAnsi="Times New Roman" w:cs="Times New Roman"/>
        </w:rPr>
        <w:t>expects</w:t>
      </w:r>
      <w:r w:rsidR="00271D80" w:rsidRPr="009752EC">
        <w:rPr>
          <w:rFonts w:ascii="Times New Roman" w:hAnsi="Times New Roman" w:cs="Times New Roman"/>
        </w:rPr>
        <w:t xml:space="preserve"> its manufacturing plant to be operational </w:t>
      </w:r>
      <w:r w:rsidR="007A054F">
        <w:rPr>
          <w:rFonts w:ascii="Times New Roman" w:hAnsi="Times New Roman" w:cs="Times New Roman"/>
        </w:rPr>
        <w:t>in</w:t>
      </w:r>
      <w:r w:rsidR="00271D80" w:rsidRPr="009752EC">
        <w:rPr>
          <w:rFonts w:ascii="Times New Roman" w:hAnsi="Times New Roman" w:cs="Times New Roman"/>
        </w:rPr>
        <w:t xml:space="preserve"> 2024, with plans to employ over 7,500 workers in the Morgan and Walton counties. </w:t>
      </w:r>
      <w:r w:rsidR="00F97B8B" w:rsidRPr="009752EC">
        <w:rPr>
          <w:rFonts w:ascii="Times New Roman" w:hAnsi="Times New Roman" w:cs="Times New Roman"/>
        </w:rPr>
        <w:t>Jack Links is building a $450M plant in Houston county (</w:t>
      </w:r>
      <w:r w:rsidR="00880DA0" w:rsidRPr="009752EC">
        <w:rPr>
          <w:rFonts w:ascii="Times New Roman" w:hAnsi="Times New Roman" w:cs="Times New Roman"/>
        </w:rPr>
        <w:t>existing Colony branch location), expecting to create 800 jobs. Roughly 470 new jobs are coming to Dalton county</w:t>
      </w:r>
      <w:r w:rsidR="00315600" w:rsidRPr="009752EC">
        <w:rPr>
          <w:rFonts w:ascii="Times New Roman" w:hAnsi="Times New Roman" w:cs="Times New Roman"/>
        </w:rPr>
        <w:t xml:space="preserve"> in 1H2023</w:t>
      </w:r>
      <w:r w:rsidR="00880DA0" w:rsidRPr="009752EC">
        <w:rPr>
          <w:rFonts w:ascii="Times New Roman" w:hAnsi="Times New Roman" w:cs="Times New Roman"/>
        </w:rPr>
        <w:t xml:space="preserve"> via </w:t>
      </w:r>
      <w:r w:rsidR="00315600" w:rsidRPr="009752EC">
        <w:rPr>
          <w:rFonts w:ascii="Times New Roman" w:hAnsi="Times New Roman" w:cs="Times New Roman"/>
        </w:rPr>
        <w:t xml:space="preserve">Korean solar panel manufacturer, Hanwha Solutions, and 400 more </w:t>
      </w:r>
      <w:r w:rsidR="006567DA">
        <w:rPr>
          <w:rFonts w:ascii="Times New Roman" w:hAnsi="Times New Roman" w:cs="Times New Roman"/>
        </w:rPr>
        <w:t>expect to originate</w:t>
      </w:r>
      <w:r w:rsidR="00315600" w:rsidRPr="009752EC">
        <w:rPr>
          <w:rFonts w:ascii="Times New Roman" w:hAnsi="Times New Roman" w:cs="Times New Roman"/>
        </w:rPr>
        <w:t xml:space="preserve"> in Covington by summer 2023 through semiconductor supplier </w:t>
      </w:r>
      <w:r w:rsidR="00315600" w:rsidRPr="009752EC">
        <w:rPr>
          <w:rFonts w:ascii="Times New Roman" w:hAnsi="Times New Roman" w:cs="Times New Roman"/>
        </w:rPr>
        <w:lastRenderedPageBreak/>
        <w:t xml:space="preserve">SK Group. </w:t>
      </w:r>
      <w:r w:rsidR="002879E9" w:rsidRPr="009752EC">
        <w:rPr>
          <w:rFonts w:ascii="Times New Roman" w:hAnsi="Times New Roman" w:cs="Times New Roman"/>
        </w:rPr>
        <w:t xml:space="preserve">Non-interest income rises </w:t>
      </w:r>
      <w:r w:rsidR="006B28CD" w:rsidRPr="009752EC">
        <w:rPr>
          <w:rFonts w:ascii="Times New Roman" w:hAnsi="Times New Roman" w:cs="Times New Roman"/>
        </w:rPr>
        <w:t xml:space="preserve">in tandem with total deposits due to service charges (overdraft fees) and interchange fees (debit card transactions). </w:t>
      </w:r>
    </w:p>
    <w:p w14:paraId="54673628" w14:textId="69C444BC" w:rsidR="008D0DDA" w:rsidRDefault="00407DC4" w:rsidP="00F94D50">
      <w:pPr>
        <w:jc w:val="both"/>
        <w:rPr>
          <w:rFonts w:ascii="Times New Roman" w:hAnsi="Times New Roman" w:cs="Times New Roman"/>
        </w:rPr>
      </w:pPr>
      <w:r w:rsidRPr="009752EC">
        <w:rPr>
          <w:rFonts w:ascii="Times New Roman" w:hAnsi="Times New Roman" w:cs="Times New Roman"/>
          <w:b/>
          <w:bCs/>
        </w:rPr>
        <w:t>Change in Estimates</w:t>
      </w:r>
      <w:r w:rsidR="000D7C7D" w:rsidRPr="009752EC">
        <w:rPr>
          <w:rFonts w:ascii="Times New Roman" w:hAnsi="Times New Roman" w:cs="Times New Roman"/>
          <w:b/>
          <w:bCs/>
        </w:rPr>
        <w:t xml:space="preserve">: </w:t>
      </w:r>
      <w:r w:rsidR="008D0DDA">
        <w:rPr>
          <w:rFonts w:ascii="Times New Roman" w:hAnsi="Times New Roman" w:cs="Times New Roman"/>
        </w:rPr>
        <w:t>I estimate total net loans to be 2.6% and 5% greater than consensus forecasts by FYE 2023 and 2024, respectively, which translates to increases in net interest income of 2.6% and 1%</w:t>
      </w:r>
      <w:r w:rsidR="007743C2">
        <w:rPr>
          <w:rFonts w:ascii="Times New Roman" w:hAnsi="Times New Roman" w:cs="Times New Roman"/>
        </w:rPr>
        <w:t>,</w:t>
      </w:r>
      <w:r w:rsidR="008D0DDA">
        <w:rPr>
          <w:rFonts w:ascii="Times New Roman" w:hAnsi="Times New Roman" w:cs="Times New Roman"/>
        </w:rPr>
        <w:t xml:space="preserve"> holding NIM estimates constant.</w:t>
      </w:r>
      <w:r w:rsidR="007F62FE">
        <w:rPr>
          <w:rFonts w:ascii="Times New Roman" w:hAnsi="Times New Roman" w:cs="Times New Roman"/>
        </w:rPr>
        <w:t xml:space="preserve"> </w:t>
      </w:r>
      <w:r w:rsidR="00A305FC">
        <w:rPr>
          <w:rFonts w:ascii="Times New Roman" w:hAnsi="Times New Roman" w:cs="Times New Roman"/>
        </w:rPr>
        <w:t xml:space="preserve">The impact of my assumptions on net interest income in the next two years results in a $0.12 and $0.07 higher EPS forecast than consensus in FY2023 and FY2024, respectively. </w:t>
      </w:r>
    </w:p>
    <w:p w14:paraId="5884FB76" w14:textId="5B50A19D" w:rsidR="00D10C43" w:rsidRDefault="00C12D9C" w:rsidP="00F94D50">
      <w:pPr>
        <w:jc w:val="both"/>
        <w:rPr>
          <w:rFonts w:ascii="Times New Roman" w:hAnsi="Times New Roman" w:cs="Times New Roman"/>
        </w:rPr>
      </w:pPr>
      <w:r w:rsidRPr="009752EC">
        <w:rPr>
          <w:rFonts w:ascii="Times New Roman" w:hAnsi="Times New Roman" w:cs="Times New Roman"/>
          <w:b/>
          <w:bCs/>
        </w:rPr>
        <w:t>How I Differ:</w:t>
      </w:r>
      <w:r w:rsidRPr="009752EC">
        <w:rPr>
          <w:rFonts w:ascii="Times New Roman" w:hAnsi="Times New Roman" w:cs="Times New Roman"/>
        </w:rPr>
        <w:t xml:space="preserve"> </w:t>
      </w:r>
      <w:r w:rsidR="00B07B12" w:rsidRPr="009752EC">
        <w:rPr>
          <w:rFonts w:ascii="Times New Roman" w:hAnsi="Times New Roman" w:cs="Times New Roman"/>
        </w:rPr>
        <w:t>The market is not pricing in the relative growth Georgia</w:t>
      </w:r>
      <w:r w:rsidR="00A62AE3" w:rsidRPr="009752EC">
        <w:rPr>
          <w:rFonts w:ascii="Times New Roman" w:hAnsi="Times New Roman" w:cs="Times New Roman"/>
        </w:rPr>
        <w:t>n</w:t>
      </w:r>
      <w:r w:rsidR="00B07B12" w:rsidRPr="009752EC">
        <w:rPr>
          <w:rFonts w:ascii="Times New Roman" w:hAnsi="Times New Roman" w:cs="Times New Roman"/>
        </w:rPr>
        <w:t xml:space="preserve"> banks will experienc</w:t>
      </w:r>
      <w:r w:rsidR="007743C2">
        <w:rPr>
          <w:rFonts w:ascii="Times New Roman" w:hAnsi="Times New Roman" w:cs="Times New Roman"/>
        </w:rPr>
        <w:t>e</w:t>
      </w:r>
      <w:r w:rsidR="00B07B12" w:rsidRPr="009752EC">
        <w:rPr>
          <w:rFonts w:ascii="Times New Roman" w:hAnsi="Times New Roman" w:cs="Times New Roman"/>
        </w:rPr>
        <w:t xml:space="preserve"> in the n</w:t>
      </w:r>
      <w:r w:rsidR="00A62AE3" w:rsidRPr="009752EC">
        <w:rPr>
          <w:rFonts w:ascii="Times New Roman" w:hAnsi="Times New Roman" w:cs="Times New Roman"/>
        </w:rPr>
        <w:t xml:space="preserve">ext </w:t>
      </w:r>
      <w:r w:rsidR="007743C2">
        <w:rPr>
          <w:rFonts w:ascii="Times New Roman" w:hAnsi="Times New Roman" w:cs="Times New Roman"/>
        </w:rPr>
        <w:t>few</w:t>
      </w:r>
      <w:r w:rsidR="00A62AE3" w:rsidRPr="009752EC">
        <w:rPr>
          <w:rFonts w:ascii="Times New Roman" w:hAnsi="Times New Roman" w:cs="Times New Roman"/>
        </w:rPr>
        <w:t xml:space="preserve"> years. </w:t>
      </w:r>
      <w:r w:rsidR="00B744B7">
        <w:rPr>
          <w:rFonts w:ascii="Times New Roman" w:hAnsi="Times New Roman" w:cs="Times New Roman"/>
        </w:rPr>
        <w:t>I searched for keywords related to business applications and commercial growth using FactSet and found that s</w:t>
      </w:r>
      <w:r w:rsidR="00AE78EE" w:rsidRPr="009752EC">
        <w:rPr>
          <w:rFonts w:ascii="Times New Roman" w:hAnsi="Times New Roman" w:cs="Times New Roman"/>
        </w:rPr>
        <w:t xml:space="preserve">ell-side analysts have not mentioned the relative surge in southern business growth compared to the US and its implications on earnings growth. Similarly, there is no mention of job creation via manufacturing plants coming to Georgia. The market will likely adopt my view </w:t>
      </w:r>
      <w:r w:rsidR="00271C17">
        <w:rPr>
          <w:rFonts w:ascii="Times New Roman" w:hAnsi="Times New Roman" w:cs="Times New Roman"/>
        </w:rPr>
        <w:t>by</w:t>
      </w:r>
      <w:r w:rsidR="00AE78EE" w:rsidRPr="009752EC">
        <w:rPr>
          <w:rFonts w:ascii="Times New Roman" w:hAnsi="Times New Roman" w:cs="Times New Roman"/>
        </w:rPr>
        <w:t xml:space="preserve"> 2H2023, when business growth graduates from its latency and into establishment, and as the date of completion for these manufacturing plants draws nearer. </w:t>
      </w:r>
    </w:p>
    <w:p w14:paraId="60F9EAB0" w14:textId="272585A5" w:rsidR="00942B8A" w:rsidRPr="009752EC" w:rsidRDefault="00BC4602" w:rsidP="00271C17">
      <w:pPr>
        <w:jc w:val="both"/>
        <w:rPr>
          <w:rFonts w:ascii="Times New Roman" w:hAnsi="Times New Roman" w:cs="Times New Roman"/>
        </w:rPr>
      </w:pPr>
      <w:r w:rsidRPr="009752EC">
        <w:rPr>
          <w:rFonts w:ascii="Times New Roman" w:hAnsi="Times New Roman" w:cs="Times New Roman"/>
          <w:b/>
          <w:bCs/>
        </w:rPr>
        <w:t>Where I Could Be Wrong:</w:t>
      </w:r>
      <w:r w:rsidRPr="009752EC">
        <w:rPr>
          <w:rFonts w:ascii="Times New Roman" w:hAnsi="Times New Roman" w:cs="Times New Roman"/>
        </w:rPr>
        <w:t xml:space="preserve"> </w:t>
      </w:r>
      <w:r w:rsidR="00902D2B">
        <w:rPr>
          <w:rFonts w:ascii="Times New Roman" w:hAnsi="Times New Roman" w:cs="Times New Roman"/>
        </w:rPr>
        <w:t>In the case that EIN applications materialize at half my base case rate, loan loss provisions increase</w:t>
      </w:r>
      <w:r w:rsidR="00BD072E">
        <w:rPr>
          <w:rFonts w:ascii="Times New Roman" w:hAnsi="Times New Roman" w:cs="Times New Roman"/>
        </w:rPr>
        <w:t xml:space="preserve"> 50%</w:t>
      </w:r>
      <w:r w:rsidR="00902D2B">
        <w:rPr>
          <w:rFonts w:ascii="Times New Roman" w:hAnsi="Times New Roman" w:cs="Times New Roman"/>
        </w:rPr>
        <w:t xml:space="preserve"> from unexpected defaults in a recessionary environment, and deposit betas rise at twice my base case rate, </w:t>
      </w:r>
      <w:r w:rsidR="00BD072E">
        <w:rPr>
          <w:rFonts w:ascii="Times New Roman" w:hAnsi="Times New Roman" w:cs="Times New Roman"/>
        </w:rPr>
        <w:t>the downside case suggests a one-year price target of $12.30 based on an NTM forward P/E, 7% below close on October 7</w:t>
      </w:r>
      <w:r w:rsidR="00BD072E" w:rsidRPr="00BD072E">
        <w:rPr>
          <w:rFonts w:ascii="Times New Roman" w:hAnsi="Times New Roman" w:cs="Times New Roman"/>
          <w:vertAlign w:val="superscript"/>
        </w:rPr>
        <w:t>th</w:t>
      </w:r>
      <w:r w:rsidR="00BD072E">
        <w:rPr>
          <w:rFonts w:ascii="Times New Roman" w:hAnsi="Times New Roman" w:cs="Times New Roman"/>
        </w:rPr>
        <w:t xml:space="preserve">. These estimates result in a long-term </w:t>
      </w:r>
      <w:r w:rsidR="00697986">
        <w:rPr>
          <w:rFonts w:ascii="Times New Roman" w:hAnsi="Times New Roman" w:cs="Times New Roman"/>
        </w:rPr>
        <w:t xml:space="preserve">downside </w:t>
      </w:r>
      <w:r w:rsidR="00BD072E">
        <w:rPr>
          <w:rFonts w:ascii="Times New Roman" w:hAnsi="Times New Roman" w:cs="Times New Roman"/>
        </w:rPr>
        <w:t>price target estimate of $13.20 from my five-year excess equity model, which is 0.4% below close on October 7</w:t>
      </w:r>
      <w:r w:rsidR="00BD072E" w:rsidRPr="00BD072E">
        <w:rPr>
          <w:rFonts w:ascii="Times New Roman" w:hAnsi="Times New Roman" w:cs="Times New Roman"/>
          <w:vertAlign w:val="superscript"/>
        </w:rPr>
        <w:t>th</w:t>
      </w:r>
      <w:r w:rsidR="00BD072E">
        <w:rPr>
          <w:rFonts w:ascii="Times New Roman" w:hAnsi="Times New Roman" w:cs="Times New Roman"/>
        </w:rPr>
        <w:t xml:space="preserve">. Provided Colony becomes more acquisitive in central and southeastern Georgia, </w:t>
      </w:r>
      <w:r w:rsidR="0001476A">
        <w:rPr>
          <w:rFonts w:ascii="Times New Roman" w:hAnsi="Times New Roman" w:cs="Times New Roman"/>
        </w:rPr>
        <w:t>EINs</w:t>
      </w:r>
      <w:r w:rsidR="00BD072E">
        <w:rPr>
          <w:rFonts w:ascii="Times New Roman" w:hAnsi="Times New Roman" w:cs="Times New Roman"/>
        </w:rPr>
        <w:t xml:space="preserve"> materialize in ~30% more commercial purpose and real estate loans, loan loss provisions diminish by 20%, and deposit betas rise at 80% </w:t>
      </w:r>
      <w:r w:rsidR="006F352F">
        <w:rPr>
          <w:rFonts w:ascii="Times New Roman" w:hAnsi="Times New Roman" w:cs="Times New Roman"/>
        </w:rPr>
        <w:t xml:space="preserve">of </w:t>
      </w:r>
      <w:r w:rsidR="00BD072E">
        <w:rPr>
          <w:rFonts w:ascii="Times New Roman" w:hAnsi="Times New Roman" w:cs="Times New Roman"/>
        </w:rPr>
        <w:t>my base case scenario, the upside case suggests a one-year price target of $14.70, 1</w:t>
      </w:r>
      <w:r w:rsidR="006A4D09">
        <w:rPr>
          <w:rFonts w:ascii="Times New Roman" w:hAnsi="Times New Roman" w:cs="Times New Roman"/>
        </w:rPr>
        <w:t>1</w:t>
      </w:r>
      <w:r w:rsidR="00BD072E">
        <w:rPr>
          <w:rFonts w:ascii="Times New Roman" w:hAnsi="Times New Roman" w:cs="Times New Roman"/>
        </w:rPr>
        <w:t>% above close on October 7</w:t>
      </w:r>
      <w:r w:rsidR="00BD072E" w:rsidRPr="00BD072E">
        <w:rPr>
          <w:rFonts w:ascii="Times New Roman" w:hAnsi="Times New Roman" w:cs="Times New Roman"/>
          <w:vertAlign w:val="superscript"/>
        </w:rPr>
        <w:t>th</w:t>
      </w:r>
      <w:r w:rsidR="00BD072E">
        <w:rPr>
          <w:rFonts w:ascii="Times New Roman" w:hAnsi="Times New Roman" w:cs="Times New Roman"/>
        </w:rPr>
        <w:t>. Bull case estimates result in a long-term price target estimate of $19.70</w:t>
      </w:r>
      <w:r w:rsidR="0001476A">
        <w:rPr>
          <w:rFonts w:ascii="Times New Roman" w:hAnsi="Times New Roman" w:cs="Times New Roman"/>
        </w:rPr>
        <w:t xml:space="preserve"> from my five-year excess equity model, which is 49% above close on October 7</w:t>
      </w:r>
      <w:r w:rsidR="0001476A" w:rsidRPr="0001476A">
        <w:rPr>
          <w:rFonts w:ascii="Times New Roman" w:hAnsi="Times New Roman" w:cs="Times New Roman"/>
          <w:vertAlign w:val="superscript"/>
        </w:rPr>
        <w:t>th</w:t>
      </w:r>
      <w:r w:rsidR="0001476A">
        <w:rPr>
          <w:rFonts w:ascii="Times New Roman" w:hAnsi="Times New Roman" w:cs="Times New Roman"/>
        </w:rPr>
        <w:t>.</w:t>
      </w:r>
    </w:p>
    <w:p w14:paraId="47877059" w14:textId="6B1A2CF0" w:rsidR="00942B8A" w:rsidRPr="009752EC" w:rsidRDefault="00942B8A">
      <w:pPr>
        <w:rPr>
          <w:rFonts w:ascii="Times New Roman" w:hAnsi="Times New Roman" w:cs="Times New Roman"/>
          <w:b/>
          <w:bCs/>
        </w:rPr>
      </w:pPr>
      <w:r w:rsidRPr="009752EC">
        <w:rPr>
          <w:rFonts w:ascii="Times New Roman" w:hAnsi="Times New Roman" w:cs="Times New Roman"/>
          <w:b/>
          <w:bCs/>
        </w:rPr>
        <w:t xml:space="preserve">Appendix: </w:t>
      </w:r>
    </w:p>
    <w:p w14:paraId="6A7D7AF1" w14:textId="1BE2DD43" w:rsidR="00DD12C1" w:rsidRDefault="006F352F" w:rsidP="006F352F">
      <w:pPr>
        <w:jc w:val="center"/>
        <w:rPr>
          <w:rFonts w:ascii="Times New Roman" w:hAnsi="Times New Roman" w:cs="Times New Roman"/>
        </w:rPr>
      </w:pPr>
      <w:r w:rsidRPr="006F352F">
        <w:rPr>
          <w:rFonts w:ascii="Times New Roman" w:hAnsi="Times New Roman" w:cs="Times New Roman"/>
          <w:noProof/>
        </w:rPr>
        <w:drawing>
          <wp:inline distT="0" distB="0" distL="0" distR="0" wp14:anchorId="65AB0D4A" wp14:editId="412AA403">
            <wp:extent cx="5380224" cy="3844906"/>
            <wp:effectExtent l="0" t="0" r="0" b="3810"/>
            <wp:docPr id="4" name="Picture 4"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with medium confidence"/>
                    <pic:cNvPicPr/>
                  </pic:nvPicPr>
                  <pic:blipFill>
                    <a:blip r:embed="rId5"/>
                    <a:stretch>
                      <a:fillRect/>
                    </a:stretch>
                  </pic:blipFill>
                  <pic:spPr>
                    <a:xfrm>
                      <a:off x="0" y="0"/>
                      <a:ext cx="5384609" cy="3848040"/>
                    </a:xfrm>
                    <a:prstGeom prst="rect">
                      <a:avLst/>
                    </a:prstGeom>
                  </pic:spPr>
                </pic:pic>
              </a:graphicData>
            </a:graphic>
          </wp:inline>
        </w:drawing>
      </w:r>
    </w:p>
    <w:p w14:paraId="4783BA7D" w14:textId="465A4B59" w:rsidR="004B546B" w:rsidRPr="009752EC" w:rsidRDefault="00DD12C1" w:rsidP="00815585">
      <w:pPr>
        <w:rPr>
          <w:rFonts w:ascii="Times New Roman" w:hAnsi="Times New Roman" w:cs="Times New Roman"/>
        </w:rPr>
      </w:pPr>
      <w:r w:rsidRPr="004859CF">
        <w:rPr>
          <w:noProof/>
        </w:rPr>
        <w:lastRenderedPageBreak/>
        <w:drawing>
          <wp:anchor distT="0" distB="0" distL="114300" distR="114300" simplePos="0" relativeHeight="251661312" behindDoc="1" locked="0" layoutInCell="1" allowOverlap="1" wp14:anchorId="5A84C5BA" wp14:editId="4DF208AB">
            <wp:simplePos x="0" y="0"/>
            <wp:positionH relativeFrom="margin">
              <wp:align>center</wp:align>
            </wp:positionH>
            <wp:positionV relativeFrom="page">
              <wp:posOffset>103505</wp:posOffset>
            </wp:positionV>
            <wp:extent cx="7127875" cy="4199890"/>
            <wp:effectExtent l="0" t="0" r="0" b="0"/>
            <wp:wrapTight wrapText="bothSides">
              <wp:wrapPolygon edited="0">
                <wp:start x="0" y="0"/>
                <wp:lineTo x="0" y="13520"/>
                <wp:lineTo x="231" y="16068"/>
                <wp:lineTo x="115" y="17341"/>
                <wp:lineTo x="58" y="18811"/>
                <wp:lineTo x="58" y="21260"/>
                <wp:lineTo x="577" y="21358"/>
                <wp:lineTo x="4849" y="21456"/>
                <wp:lineTo x="13855" y="21456"/>
                <wp:lineTo x="21533" y="21358"/>
                <wp:lineTo x="21533" y="11267"/>
                <wp:lineTo x="21186" y="11169"/>
                <wp:lineTo x="21533" y="10679"/>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7875" cy="419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12C1">
        <w:rPr>
          <w:noProof/>
        </w:rPr>
        <w:drawing>
          <wp:anchor distT="0" distB="0" distL="114300" distR="114300" simplePos="0" relativeHeight="251662336" behindDoc="0" locked="0" layoutInCell="1" allowOverlap="1" wp14:anchorId="0EB0ACEF" wp14:editId="78D4DAB2">
            <wp:simplePos x="0" y="0"/>
            <wp:positionH relativeFrom="margin">
              <wp:align>center</wp:align>
            </wp:positionH>
            <wp:positionV relativeFrom="page">
              <wp:posOffset>4377747</wp:posOffset>
            </wp:positionV>
            <wp:extent cx="7110095" cy="5598160"/>
            <wp:effectExtent l="0" t="0" r="0" b="2540"/>
            <wp:wrapThrough wrapText="bothSides">
              <wp:wrapPolygon edited="0">
                <wp:start x="0" y="0"/>
                <wp:lineTo x="0" y="13230"/>
                <wp:lineTo x="289" y="14113"/>
                <wp:lineTo x="289" y="14701"/>
                <wp:lineTo x="347" y="15289"/>
                <wp:lineTo x="58" y="15583"/>
                <wp:lineTo x="0" y="18743"/>
                <wp:lineTo x="10764" y="18817"/>
                <wp:lineTo x="0" y="19111"/>
                <wp:lineTo x="0" y="21169"/>
                <wp:lineTo x="58" y="21463"/>
                <wp:lineTo x="463" y="21536"/>
                <wp:lineTo x="2199" y="21536"/>
                <wp:lineTo x="21471" y="21463"/>
                <wp:lineTo x="21529" y="21095"/>
                <wp:lineTo x="21529" y="19111"/>
                <wp:lineTo x="10764" y="18817"/>
                <wp:lineTo x="21529" y="18817"/>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0095" cy="55981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B546B" w:rsidRPr="0097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E227A"/>
    <w:rsid w:val="00013312"/>
    <w:rsid w:val="0001476A"/>
    <w:rsid w:val="000505F2"/>
    <w:rsid w:val="00072D97"/>
    <w:rsid w:val="00090334"/>
    <w:rsid w:val="000B34BE"/>
    <w:rsid w:val="000D7C7D"/>
    <w:rsid w:val="000F72AA"/>
    <w:rsid w:val="001209EC"/>
    <w:rsid w:val="00121724"/>
    <w:rsid w:val="001763DE"/>
    <w:rsid w:val="001C4B97"/>
    <w:rsid w:val="002255CB"/>
    <w:rsid w:val="00271C17"/>
    <w:rsid w:val="00271D80"/>
    <w:rsid w:val="002879E9"/>
    <w:rsid w:val="002F5E38"/>
    <w:rsid w:val="00315600"/>
    <w:rsid w:val="00376F4E"/>
    <w:rsid w:val="003E1BAA"/>
    <w:rsid w:val="003F73F3"/>
    <w:rsid w:val="00407DC4"/>
    <w:rsid w:val="00444C56"/>
    <w:rsid w:val="00470198"/>
    <w:rsid w:val="0047569E"/>
    <w:rsid w:val="004859CF"/>
    <w:rsid w:val="00497871"/>
    <w:rsid w:val="004A3A3A"/>
    <w:rsid w:val="004B546B"/>
    <w:rsid w:val="004C1EBF"/>
    <w:rsid w:val="004F11D4"/>
    <w:rsid w:val="005B147B"/>
    <w:rsid w:val="005B75B7"/>
    <w:rsid w:val="005D0F8C"/>
    <w:rsid w:val="005E227A"/>
    <w:rsid w:val="00613B41"/>
    <w:rsid w:val="00631A6B"/>
    <w:rsid w:val="006567DA"/>
    <w:rsid w:val="00697986"/>
    <w:rsid w:val="006A1038"/>
    <w:rsid w:val="006A4D09"/>
    <w:rsid w:val="006B28CD"/>
    <w:rsid w:val="006E669C"/>
    <w:rsid w:val="006F352F"/>
    <w:rsid w:val="0075096E"/>
    <w:rsid w:val="007620C1"/>
    <w:rsid w:val="007743C2"/>
    <w:rsid w:val="00794EA7"/>
    <w:rsid w:val="007A054F"/>
    <w:rsid w:val="007B0F5D"/>
    <w:rsid w:val="007B3CFF"/>
    <w:rsid w:val="007E28A3"/>
    <w:rsid w:val="007F62FE"/>
    <w:rsid w:val="00815585"/>
    <w:rsid w:val="00836583"/>
    <w:rsid w:val="00840193"/>
    <w:rsid w:val="00880DA0"/>
    <w:rsid w:val="008D0DDA"/>
    <w:rsid w:val="008D1954"/>
    <w:rsid w:val="00901D8D"/>
    <w:rsid w:val="00902D2B"/>
    <w:rsid w:val="00931580"/>
    <w:rsid w:val="00942B8A"/>
    <w:rsid w:val="009752EC"/>
    <w:rsid w:val="009840A1"/>
    <w:rsid w:val="009B1A0D"/>
    <w:rsid w:val="009F4C10"/>
    <w:rsid w:val="00A0582C"/>
    <w:rsid w:val="00A305FC"/>
    <w:rsid w:val="00A52CF4"/>
    <w:rsid w:val="00A62AE3"/>
    <w:rsid w:val="00AC2A4A"/>
    <w:rsid w:val="00AD3C0A"/>
    <w:rsid w:val="00AE78EE"/>
    <w:rsid w:val="00B07B12"/>
    <w:rsid w:val="00B123C6"/>
    <w:rsid w:val="00B45E24"/>
    <w:rsid w:val="00B524A3"/>
    <w:rsid w:val="00B744B7"/>
    <w:rsid w:val="00BC4602"/>
    <w:rsid w:val="00BD072E"/>
    <w:rsid w:val="00BF2CA6"/>
    <w:rsid w:val="00C055E4"/>
    <w:rsid w:val="00C12D9C"/>
    <w:rsid w:val="00C43405"/>
    <w:rsid w:val="00C70270"/>
    <w:rsid w:val="00CD3000"/>
    <w:rsid w:val="00D10C43"/>
    <w:rsid w:val="00D15701"/>
    <w:rsid w:val="00D722E4"/>
    <w:rsid w:val="00D829A8"/>
    <w:rsid w:val="00DD1258"/>
    <w:rsid w:val="00DD12C1"/>
    <w:rsid w:val="00DE18EC"/>
    <w:rsid w:val="00E30FAA"/>
    <w:rsid w:val="00E40ED3"/>
    <w:rsid w:val="00EB5227"/>
    <w:rsid w:val="00F032B5"/>
    <w:rsid w:val="00F54FCA"/>
    <w:rsid w:val="00F56BBF"/>
    <w:rsid w:val="00F65D64"/>
    <w:rsid w:val="00F74E83"/>
    <w:rsid w:val="00F94D50"/>
    <w:rsid w:val="00F97B8B"/>
    <w:rsid w:val="00FC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C74A"/>
  <w15:chartTrackingRefBased/>
  <w15:docId w15:val="{3A6892D2-B5EE-482C-9FAB-38C1087E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227"/>
  </w:style>
  <w:style w:type="paragraph" w:styleId="Heading1">
    <w:name w:val="heading 1"/>
    <w:basedOn w:val="Normal"/>
    <w:next w:val="Normal"/>
    <w:link w:val="Heading1Char"/>
    <w:uiPriority w:val="9"/>
    <w:qFormat/>
    <w:rsid w:val="00EB52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B52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B522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B522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B522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B522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B522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B522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522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22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B522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B5227"/>
    <w:rPr>
      <w:caps/>
      <w:color w:val="1F3763" w:themeColor="accent1" w:themeShade="7F"/>
      <w:spacing w:val="15"/>
    </w:rPr>
  </w:style>
  <w:style w:type="character" w:customStyle="1" w:styleId="Heading4Char">
    <w:name w:val="Heading 4 Char"/>
    <w:basedOn w:val="DefaultParagraphFont"/>
    <w:link w:val="Heading4"/>
    <w:uiPriority w:val="9"/>
    <w:semiHidden/>
    <w:rsid w:val="00EB5227"/>
    <w:rPr>
      <w:caps/>
      <w:color w:val="2F5496" w:themeColor="accent1" w:themeShade="BF"/>
      <w:spacing w:val="10"/>
    </w:rPr>
  </w:style>
  <w:style w:type="character" w:customStyle="1" w:styleId="Heading5Char">
    <w:name w:val="Heading 5 Char"/>
    <w:basedOn w:val="DefaultParagraphFont"/>
    <w:link w:val="Heading5"/>
    <w:uiPriority w:val="9"/>
    <w:semiHidden/>
    <w:rsid w:val="00EB5227"/>
    <w:rPr>
      <w:caps/>
      <w:color w:val="2F5496" w:themeColor="accent1" w:themeShade="BF"/>
      <w:spacing w:val="10"/>
    </w:rPr>
  </w:style>
  <w:style w:type="character" w:customStyle="1" w:styleId="Heading6Char">
    <w:name w:val="Heading 6 Char"/>
    <w:basedOn w:val="DefaultParagraphFont"/>
    <w:link w:val="Heading6"/>
    <w:uiPriority w:val="9"/>
    <w:semiHidden/>
    <w:rsid w:val="00EB5227"/>
    <w:rPr>
      <w:caps/>
      <w:color w:val="2F5496" w:themeColor="accent1" w:themeShade="BF"/>
      <w:spacing w:val="10"/>
    </w:rPr>
  </w:style>
  <w:style w:type="character" w:customStyle="1" w:styleId="Heading7Char">
    <w:name w:val="Heading 7 Char"/>
    <w:basedOn w:val="DefaultParagraphFont"/>
    <w:link w:val="Heading7"/>
    <w:uiPriority w:val="9"/>
    <w:semiHidden/>
    <w:rsid w:val="00EB5227"/>
    <w:rPr>
      <w:caps/>
      <w:color w:val="2F5496" w:themeColor="accent1" w:themeShade="BF"/>
      <w:spacing w:val="10"/>
    </w:rPr>
  </w:style>
  <w:style w:type="character" w:customStyle="1" w:styleId="Heading8Char">
    <w:name w:val="Heading 8 Char"/>
    <w:basedOn w:val="DefaultParagraphFont"/>
    <w:link w:val="Heading8"/>
    <w:uiPriority w:val="9"/>
    <w:semiHidden/>
    <w:rsid w:val="00EB5227"/>
    <w:rPr>
      <w:caps/>
      <w:spacing w:val="10"/>
      <w:sz w:val="18"/>
      <w:szCs w:val="18"/>
    </w:rPr>
  </w:style>
  <w:style w:type="character" w:customStyle="1" w:styleId="Heading9Char">
    <w:name w:val="Heading 9 Char"/>
    <w:basedOn w:val="DefaultParagraphFont"/>
    <w:link w:val="Heading9"/>
    <w:uiPriority w:val="9"/>
    <w:semiHidden/>
    <w:rsid w:val="00EB5227"/>
    <w:rPr>
      <w:i/>
      <w:iCs/>
      <w:caps/>
      <w:spacing w:val="10"/>
      <w:sz w:val="18"/>
      <w:szCs w:val="18"/>
    </w:rPr>
  </w:style>
  <w:style w:type="paragraph" w:styleId="Caption">
    <w:name w:val="caption"/>
    <w:basedOn w:val="Normal"/>
    <w:next w:val="Normal"/>
    <w:uiPriority w:val="35"/>
    <w:semiHidden/>
    <w:unhideWhenUsed/>
    <w:qFormat/>
    <w:rsid w:val="00EB5227"/>
    <w:rPr>
      <w:b/>
      <w:bCs/>
      <w:color w:val="2F5496" w:themeColor="accent1" w:themeShade="BF"/>
      <w:sz w:val="16"/>
      <w:szCs w:val="16"/>
    </w:rPr>
  </w:style>
  <w:style w:type="paragraph" w:styleId="Title">
    <w:name w:val="Title"/>
    <w:basedOn w:val="Normal"/>
    <w:next w:val="Normal"/>
    <w:link w:val="TitleChar"/>
    <w:uiPriority w:val="10"/>
    <w:qFormat/>
    <w:rsid w:val="00EB52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B522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B522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5227"/>
    <w:rPr>
      <w:caps/>
      <w:color w:val="595959" w:themeColor="text1" w:themeTint="A6"/>
      <w:spacing w:val="10"/>
      <w:sz w:val="21"/>
      <w:szCs w:val="21"/>
    </w:rPr>
  </w:style>
  <w:style w:type="character" w:styleId="Strong">
    <w:name w:val="Strong"/>
    <w:uiPriority w:val="22"/>
    <w:qFormat/>
    <w:rsid w:val="00EB5227"/>
    <w:rPr>
      <w:b/>
      <w:bCs/>
    </w:rPr>
  </w:style>
  <w:style w:type="character" w:styleId="Emphasis">
    <w:name w:val="Emphasis"/>
    <w:uiPriority w:val="20"/>
    <w:qFormat/>
    <w:rsid w:val="00EB5227"/>
    <w:rPr>
      <w:caps/>
      <w:color w:val="1F3763" w:themeColor="accent1" w:themeShade="7F"/>
      <w:spacing w:val="5"/>
    </w:rPr>
  </w:style>
  <w:style w:type="paragraph" w:styleId="NoSpacing">
    <w:name w:val="No Spacing"/>
    <w:uiPriority w:val="1"/>
    <w:qFormat/>
    <w:rsid w:val="00EB5227"/>
    <w:pPr>
      <w:spacing w:after="0" w:line="240" w:lineRule="auto"/>
    </w:pPr>
  </w:style>
  <w:style w:type="paragraph" w:styleId="Quote">
    <w:name w:val="Quote"/>
    <w:basedOn w:val="Normal"/>
    <w:next w:val="Normal"/>
    <w:link w:val="QuoteChar"/>
    <w:uiPriority w:val="29"/>
    <w:qFormat/>
    <w:rsid w:val="00EB5227"/>
    <w:rPr>
      <w:i/>
      <w:iCs/>
      <w:sz w:val="24"/>
      <w:szCs w:val="24"/>
    </w:rPr>
  </w:style>
  <w:style w:type="character" w:customStyle="1" w:styleId="QuoteChar">
    <w:name w:val="Quote Char"/>
    <w:basedOn w:val="DefaultParagraphFont"/>
    <w:link w:val="Quote"/>
    <w:uiPriority w:val="29"/>
    <w:rsid w:val="00EB5227"/>
    <w:rPr>
      <w:i/>
      <w:iCs/>
      <w:sz w:val="24"/>
      <w:szCs w:val="24"/>
    </w:rPr>
  </w:style>
  <w:style w:type="paragraph" w:styleId="IntenseQuote">
    <w:name w:val="Intense Quote"/>
    <w:basedOn w:val="Normal"/>
    <w:next w:val="Normal"/>
    <w:link w:val="IntenseQuoteChar"/>
    <w:uiPriority w:val="30"/>
    <w:qFormat/>
    <w:rsid w:val="00EB522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B5227"/>
    <w:rPr>
      <w:color w:val="4472C4" w:themeColor="accent1"/>
      <w:sz w:val="24"/>
      <w:szCs w:val="24"/>
    </w:rPr>
  </w:style>
  <w:style w:type="character" w:styleId="SubtleEmphasis">
    <w:name w:val="Subtle Emphasis"/>
    <w:uiPriority w:val="19"/>
    <w:qFormat/>
    <w:rsid w:val="00EB5227"/>
    <w:rPr>
      <w:i/>
      <w:iCs/>
      <w:color w:val="1F3763" w:themeColor="accent1" w:themeShade="7F"/>
    </w:rPr>
  </w:style>
  <w:style w:type="character" w:styleId="IntenseEmphasis">
    <w:name w:val="Intense Emphasis"/>
    <w:uiPriority w:val="21"/>
    <w:qFormat/>
    <w:rsid w:val="00EB5227"/>
    <w:rPr>
      <w:b/>
      <w:bCs/>
      <w:caps/>
      <w:color w:val="1F3763" w:themeColor="accent1" w:themeShade="7F"/>
      <w:spacing w:val="10"/>
    </w:rPr>
  </w:style>
  <w:style w:type="character" w:styleId="SubtleReference">
    <w:name w:val="Subtle Reference"/>
    <w:uiPriority w:val="31"/>
    <w:qFormat/>
    <w:rsid w:val="00EB5227"/>
    <w:rPr>
      <w:b/>
      <w:bCs/>
      <w:color w:val="4472C4" w:themeColor="accent1"/>
    </w:rPr>
  </w:style>
  <w:style w:type="character" w:styleId="IntenseReference">
    <w:name w:val="Intense Reference"/>
    <w:uiPriority w:val="32"/>
    <w:qFormat/>
    <w:rsid w:val="00EB5227"/>
    <w:rPr>
      <w:b/>
      <w:bCs/>
      <w:i/>
      <w:iCs/>
      <w:caps/>
      <w:color w:val="4472C4" w:themeColor="accent1"/>
    </w:rPr>
  </w:style>
  <w:style w:type="character" w:styleId="BookTitle">
    <w:name w:val="Book Title"/>
    <w:uiPriority w:val="33"/>
    <w:qFormat/>
    <w:rsid w:val="00EB5227"/>
    <w:rPr>
      <w:b/>
      <w:bCs/>
      <w:i/>
      <w:iCs/>
      <w:spacing w:val="0"/>
    </w:rPr>
  </w:style>
  <w:style w:type="paragraph" w:styleId="TOCHeading">
    <w:name w:val="TOC Heading"/>
    <w:basedOn w:val="Heading1"/>
    <w:next w:val="Normal"/>
    <w:uiPriority w:val="39"/>
    <w:semiHidden/>
    <w:unhideWhenUsed/>
    <w:qFormat/>
    <w:rsid w:val="00EB5227"/>
    <w:pPr>
      <w:outlineLvl w:val="9"/>
    </w:pPr>
  </w:style>
  <w:style w:type="table" w:styleId="TableGrid">
    <w:name w:val="Table Grid"/>
    <w:basedOn w:val="TableNormal"/>
    <w:uiPriority w:val="39"/>
    <w:rsid w:val="00F94D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11358">
      <w:bodyDiv w:val="1"/>
      <w:marLeft w:val="0"/>
      <w:marRight w:val="0"/>
      <w:marTop w:val="0"/>
      <w:marBottom w:val="0"/>
      <w:divBdr>
        <w:top w:val="none" w:sz="0" w:space="0" w:color="auto"/>
        <w:left w:val="none" w:sz="0" w:space="0" w:color="auto"/>
        <w:bottom w:val="none" w:sz="0" w:space="0" w:color="auto"/>
        <w:right w:val="none" w:sz="0" w:space="0" w:color="auto"/>
      </w:divBdr>
    </w:div>
    <w:div w:id="910315752">
      <w:bodyDiv w:val="1"/>
      <w:marLeft w:val="0"/>
      <w:marRight w:val="0"/>
      <w:marTop w:val="0"/>
      <w:marBottom w:val="0"/>
      <w:divBdr>
        <w:top w:val="none" w:sz="0" w:space="0" w:color="auto"/>
        <w:left w:val="none" w:sz="0" w:space="0" w:color="auto"/>
        <w:bottom w:val="none" w:sz="0" w:space="0" w:color="auto"/>
        <w:right w:val="none" w:sz="0" w:space="0" w:color="auto"/>
      </w:divBdr>
    </w:div>
    <w:div w:id="133333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August</dc:creator>
  <cp:keywords/>
  <dc:description/>
  <cp:lastModifiedBy>Peterson, August</cp:lastModifiedBy>
  <cp:revision>22</cp:revision>
  <dcterms:created xsi:type="dcterms:W3CDTF">2022-10-08T09:47:00Z</dcterms:created>
  <dcterms:modified xsi:type="dcterms:W3CDTF">2022-10-12T15:59:00Z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b7f1637455971063275132e902092b270caa82f29a737d2c031e853018cb412a</vt:lpwstr>
  </property>
</Properties>
</file>