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595959"/>
          <w:sz w:val="18"/>
          <w:szCs w:val="18"/>
        </w:rPr>
        <w:t xml:space="preserve">Danmarks 98 Doughnuts · Metodeartikel 1: Den sociale ring</w:t>
      </w:r>
    </w:p>
    <w:p>
      <w:pPr>
        <w:spacing w:after="160" w:line="360"/>
      </w:pPr>
      <w:r>
        <w:rPr>
          <w:rFonts w:ascii="Arial" w:cs="Arial" w:eastAsia="Arial" w:hAnsi="Arial"/>
          <w:b/>
          <w:bCs/>
          <w:color w:val="1A1A1A"/>
          <w:sz w:val="36"/>
          <w:szCs w:val="36"/>
        </w:rPr>
        <w:t xml:space="preserve">Et socialt fundament for 98 kommuner</w:t>
      </w:r>
    </w:p>
    <w:p>
      <w:pPr>
        <w:spacing w:after="240" w:line="300"/>
      </w:pPr>
      <w:r>
        <w:rPr>
          <w:rFonts w:ascii="Arial" w:cs="Arial" w:eastAsia="Arial" w:hAnsi="Arial"/>
          <w:color w:val="595959"/>
          <w:sz w:val="24"/>
          <w:szCs w:val="24"/>
        </w:rPr>
        <w:t xml:space="preserve">Hvordan den sociale ring i Danmarks 98 Doughnuts er bygget, hvorfor den er bygget sådan, og hvor den er svag</w:t>
      </w:r>
    </w:p>
    <w:p>
      <w:pPr>
        <w:spacing w:after="40"/>
      </w:pPr>
      <w:r>
        <w:rPr>
          <w:rFonts w:ascii="Arial" w:cs="Arial" w:eastAsia="Arial" w:hAnsi="Arial"/>
          <w:color w:val="595959"/>
          <w:sz w:val="17"/>
          <w:szCs w:val="17"/>
        </w:rPr>
        <w:t xml:space="preserve">Arbejdspapir, version 1.0, september 2026</w:t>
      </w:r>
    </w:p>
    <w:p>
      <w:pPr>
        <w:spacing w:after="40"/>
      </w:pPr>
      <w:r>
        <w:rPr>
          <w:rFonts w:ascii="Arial" w:cs="Arial" w:eastAsia="Arial" w:hAnsi="Arial"/>
          <w:color w:val="595959"/>
          <w:sz w:val="17"/>
          <w:szCs w:val="17"/>
        </w:rPr>
        <w:t xml:space="preserve">Forfattere: [tilføjes]</w:t>
      </w:r>
    </w:p>
    <w:p>
      <w:pPr>
        <w:spacing w:after="40"/>
      </w:pPr>
      <w:r>
        <w:rPr>
          <w:rFonts w:ascii="Arial" w:cs="Arial" w:eastAsia="Arial" w:hAnsi="Arial"/>
          <w:color w:val="595959"/>
          <w:sz w:val="17"/>
          <w:szCs w:val="17"/>
        </w:rPr>
        <w:t xml:space="preserve">Klimateamet, Thisted Kommune. Platformen er udviklet under EU-projektet LIFE ACT.</w:t>
      </w:r>
    </w:p>
    <w:p>
      <w:pPr>
        <w:spacing w:after="40"/>
      </w:pPr>
      <w:r>
        <w:rPr>
          <w:rFonts w:ascii="Arial" w:cs="Arial" w:eastAsia="Arial" w:hAnsi="Arial"/>
          <w:color w:val="595959"/>
          <w:sz w:val="17"/>
          <w:szCs w:val="17"/>
        </w:rPr>
        <w:t xml:space="preserve">Datagrundlag: platformens datafiler ved commit bb573ec i projektets repository (26. september 2026).</w:t>
      </w:r>
    </w:p>
    <w:p>
      <w:pPr>
        <w:pBdr>
          <w:bottom w:val="single" w:color="BFBFBF" w:sz="6" w:space="8"/>
        </w:pBdr>
        <w:spacing w:after="240"/>
      </w:pPr>
    </w:p>
    <w:p>
      <w:pPr>
        <w:spacing w:after="80"/>
      </w:pPr>
      <w:r>
        <w:rPr>
          <w:rFonts w:ascii="Arial" w:cs="Arial" w:eastAsia="Arial" w:hAnsi="Arial"/>
          <w:b/>
          <w:bCs/>
          <w:sz w:val="20"/>
          <w:szCs w:val="20"/>
        </w:rPr>
        <w:t xml:space="preserve">Resumé</w:t>
      </w:r>
    </w:p>
    <w:p>
      <w:pPr>
        <w:pStyle w:val="Abstract"/>
      </w:pPr>
      <w:r>
        <w:t xml:space="preserve">Danmarks 98 Doughnuts er en offentlig platform, der placerer hver af de 98 danske kommuner i Doughnut-rammen: et socialt fundament, som alle borgere bør nå, og et økologisk loft, som samfundet ikke bør overskride. Denne artikel gennemgår den sociale ring. Ringen består af 13 kategorier og 48 indikatorer fra offentlige registre, Den Nationale Sundhedsprofil og enkelte andre kilder. Hver indikator regnes om til et tal, hvor 100 er sammenligningsgrundlaget, og for 46 af de 48 indikatorer er grundlaget et dansk gennemsnit. Kun to måles mod et fast mål.</w:t>
      </w:r>
    </w:p>
    <w:p>
      <w:pPr>
        <w:pStyle w:val="Abstract"/>
      </w:pPr>
      <w:r>
        <w:t xml:space="preserve">Vi argumenterer for, at et fundament målt mod danske forhold er det mest brugbare i et land, hvor de globale sociale tærskler fra Doughnut-litteraturen stort set er nået. Standardvisningen sammenligner kommunen med andre kommuner af samme type, fordi kommunetypen alene forklarer op til 80 procent af forskellene i enkelte kategorier. Vi har testet, hvor følsom metoden er over for sine egne valg. Loftet på 150 flytter kun 5 af 1.274 kategorifarver, mens valget af sammenligningsgrundlag flytter 319. Testene fandt to fejl, som er rettet undervejs: Boligkategoriens to indikatorer udlignede hinanden, og fattigdom talte både i Velfærd og i Lighed. Metoden har også svagheder, der står tilbage: en tredjedel af variationen følger én socioøkonomisk linje, flere kategorier hænger kun løst sammen indadtil, og næsten halvdelen af kategoriscorerne ligger så tæt på en farvegrænse, at små ændringer skifter farven. Artiklen beskriver, hvad det betyder for læsningen af tallene, og hvad vi mener bør ændres.</w:t>
      </w:r>
    </w:p>
    <w:p>
      <w:pPr>
        <w:pStyle w:val="Abstract"/>
        <w:spacing w:after="320"/>
      </w:pPr>
      <w:r>
        <w:rPr>
          <w:b/>
          <w:bCs/>
        </w:rPr>
        <w:t xml:space="preserve">Nøgleord:</w:t>
      </w:r>
      <w:r>
        <w:t xml:space="preserve"> Doughnut-økonomi, socialt fundament, kommuner, indikatorer, sammenligning, Danmark</w:t>
      </w:r>
    </w:p>
    <w:p>
      <w:pPr>
        <w:pStyle w:val="Heading1"/>
      </w:pPr>
      <w:r>
        <w:t xml:space="preserve">1. Hvorfor denne artikel</w:t>
      </w:r>
    </w:p>
    <w:p>
      <w:pPr>
        <w:pStyle w:val="Body"/>
      </w:pPr>
      <w:r>
        <w:t xml:space="preserve">Kate Raworths Doughnut-model beskriver et rum mellem to grænser (Raworth 2012; 2017). Den indre grænse er et socialt fundament: de vilkår, som ingen bør falde under, fx helbred, uddannelse, indkomst og politisk indflydelse. Den ydre grænse er et økologisk loft, som bygger på de planetære grænser (Rockström m.fl. 2009; Steffen m.fl. 2015; Richardson m.fl. 2023). Målet er at komme ind i rummet mellem de to og blive der.</w:t>
      </w:r>
    </w:p>
    <w:p>
      <w:pPr>
        <w:pStyle w:val="Body"/>
      </w:pPr>
      <w:r>
        <w:t xml:space="preserve">Modellen er regnet igennem for lande (O'Neill m.fl. 2018; Fanning m.fl. 2022; Fanning &amp; Raworth 2025), for regioner (Dearing m.fl. 2014; Cole m.fl. 2014) og for enkelte byer, hvor Doughnut Economics Action Lab har udviklet en metode til såkaldte byportrætter (DEAL 2020). Turner og Wills (2022) peger på, at det er svært at tage modellen ned på lokalt niveau. Hvem bestemmer, hvor fundamentet ligger? Hvilke data findes for en kommune? Og hvordan kobles tallene til de beslutninger, kommunen faktisk træffer?</w:t>
      </w:r>
    </w:p>
    <w:p>
      <w:pPr>
        <w:pStyle w:val="Body"/>
      </w:pPr>
      <w:r>
        <w:t xml:space="preserve">Danmarks 98 Doughnuts er klimateamet i Thisted Kommunes bud på et svar for danske kommuner. Platformen viser en doughnut for hver kommune, bygget på offentlige data og med samme metode for alle 98. Det adskiller den fra byportrætterne, som bevidst gør hver by forskellig og ikke skal kunne sammenlignes (DEAL 2020, s. 8).</w:t>
      </w:r>
    </w:p>
    <w:p>
      <w:pPr>
        <w:pStyle w:val="Body"/>
      </w:pPr>
      <w:r>
        <w:t xml:space="preserve">Artiklen handler om den sociale ring. Den økologiske ring har sin egen artikel. Vi har skrevet den til læsere, der vil vide, hvordan tallene er lavet, før de stoler på dem. Derfor har vi taget de valg med, som vi selv er mest i tvivl om, og testet dem på data. Artiklen handler om metoden. Hvordan det går de enkelte kommuner, kan ses på platformen, og kommunenavne bruges her kun som eksempler.</w:t>
      </w:r>
    </w:p>
    <w:p>
      <w:pPr>
        <w:pStyle w:val="Body"/>
      </w:pPr>
      <w:r>
        <w:t xml:space="preserve">Det valg, der betyder mest, er at det sociale fundament næsten overalt måles mod danske forhold. Kun to indikatorer har et fast mål. Valget forsvarer vi i afsnit 8.1, hvor vi også viser, hvad det koster.</w:t>
      </w:r>
    </w:p>
    <w:p>
      <w:pPr>
        <w:pStyle w:val="Heading1"/>
      </w:pPr>
      <w:r>
        <w:t xml:space="preserve">2. Platformen kort</w:t>
      </w:r>
    </w:p>
    <w:p>
      <w:pPr>
        <w:pStyle w:val="Body"/>
      </w:pPr>
      <w:r>
        <w:t xml:space="preserve">Platformen dækker de 98 kommuner. Christiansø er ikke med, fordi øen ikke er en kommune. Den sociale ring har 13 kategorier med i alt 48 indikatorer. Den økologiske ring har 7 dimensioner med i alt 15 indikatorer. Derudover vises 16 kontekstindikatorer, fx fjernvarmens brændselsmix, som forklarer et tal, men ikke selv indgår i nogen score.</w:t>
      </w:r>
    </w:p>
    <w:p>
      <w:pPr>
        <w:pStyle w:val="Body"/>
      </w:pPr>
      <w:r>
        <w:t xml:space="preserve">Data kommer fra omkring 50 offentlige kilder. De vigtigste for den sociale ring er Danmarks Statistik, Den Nationale Sundhedsprofil, Børne- og Undervisningsministeriets uddannelsesstatistik, Forsikring &amp; Pension, Kystdirektoratet og Rejseplanens køreplaner. Et Python-script henter hver kilde. Et samlet byggetrin lægger alle tal i én masterfil med én række pr. kommune og indikator: råværdi, sammenligningsgrundlag, beregnet score, dataår og kilde. Hjemmesiden læser kun masterfilen.</w:t>
      </w:r>
    </w:p>
    <w:p>
      <w:pPr>
        <w:pStyle w:val="Body"/>
      </w:pPr>
      <w:r>
        <w:t xml:space="preserve">Alle indikatorer er beskrevet ét sted, i et register (</w:t>
      </w:r>
      <w:r>
        <w:rPr>
          <w:rFonts w:ascii="Consolas" w:cs="Consolas" w:eastAsia="Consolas" w:hAnsi="Consolas"/>
          <w:sz w:val="19"/>
          <w:szCs w:val="19"/>
        </w:rPr>
        <w:t xml:space="preserve">data/indikatorer.json</w:t>
      </w:r>
      <w:r>
        <w:t xml:space="preserve">), med retning, sammenligningsgrundlag og kategori. Både beregningen og hjemmesiden læser registret. Hjemmesiden nægter at bygge, hvis masterfilen og registret ikke passer sammen, fx hvis en score ikke kan genberegnes ud fra råværdien og sammenligningsgrundlaget. Hvert tal på siden kan dermed føres tilbage til en kildetabel og regnes efter.</w:t>
      </w:r>
    </w:p>
    <w:p>
      <w:pPr>
        <w:pStyle w:val="Body"/>
      </w:pPr>
      <w:r>
        <w:t xml:space="preserve">Alle tal i artiklen er beregnet på platformens datafiler, som de så ud 26. september 2026. Scriptet, der laver artiklens tabeller og figurer, ligger sammen med artiklen, så tallene kan genskabes.</w:t>
      </w:r>
    </w:p>
    <w:p>
      <w:pPr>
        <w:pStyle w:val="Heading1"/>
      </w:pPr>
      <w:r>
        <w:t xml:space="preserve">3. Indikatorerne</w:t>
      </w:r>
    </w:p>
    <w:p>
      <w:pPr>
        <w:pStyle w:val="Heading2"/>
      </w:pPr>
      <w:r>
        <w:t xml:space="preserve">3.1 Kategorierne og Raworths dimensioner</w:t>
      </w:r>
    </w:p>
    <w:p>
      <w:pPr>
        <w:pStyle w:val="Body"/>
      </w:pPr>
      <w:r>
        <w:t xml:space="preserve">Raworths sociale fundament har 12 dimensioner, som bygger på FN's verdensmål (Raworth 2017). Platformen har 13 kategorier. Tabel 1 viser, hvordan de passer sammen. Koblingen er vores egen tolkning.</w:t>
      </w:r>
    </w:p>
    <w:p>
      <w:pPr>
        <w:pStyle w:val="Body"/>
      </w:pPr>
      <w:r>
        <w:t xml:space="preserve">To af Raworths dimensioner er ikke med: mad og vand/sanitet. I Danmark har praktisk talt hele befolkningen adgang til begge dele, og der findes ingen kommunetal, der skiller kommunerne fra hinanden på en meningsfuld måde. Til gengæld har platformen to kategorier, som ikke står hos Raworth: Kultur og Klimatilpasning. Energi betyder også noget andet på platformen end hos Raworth. Hos hende handler dimensionen om adgang til energi. Her er det andelen af boligernes opvarmning, der stadig er fossil.</w:t>
      </w:r>
    </w:p>
    <w:p>
      <w:pPr>
        <w:keepNext/>
        <w:spacing w:after="80" w:before="200"/>
      </w:pPr>
      <w:r>
        <w:rPr>
          <w:rFonts w:ascii="Arial" w:cs="Arial" w:eastAsia="Arial" w:hAnsi="Arial"/>
          <w:b/>
          <w:bCs/>
          <w:color w:val="1A1A1A"/>
          <w:sz w:val="18"/>
          <w:szCs w:val="18"/>
        </w:rPr>
        <w:t xml:space="preserve">Tabel 1. De 13 sociale kategorier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635"/>
        <w:gridCol w:w="1995"/>
        <w:gridCol w:w="4989"/>
      </w:tblGrid>
      <w:tr>
        <w:trPr>
          <w:tblHeader/>
        </w:trPr>
        <w:tc>
          <w:tcPr>
            <w:tcW w:type="dxa" w:w="145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Kategori</w:t>
            </w:r>
          </w:p>
        </w:tc>
        <w:tc>
          <w:tcPr>
            <w:tcW w:type="dxa" w:w="63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Antal</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Nærmeste dimension hos Raworth (2017)</w:t>
            </w:r>
          </w:p>
        </w:tc>
        <w:tc>
          <w:tcPr>
            <w:tcW w:type="dxa" w:w="4989"/>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Indikatorer</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Sundhed</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Sundhed</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Selvvurderet og mentalt helbred, middellevetid, sygehusophold over 12 timer, hjemmesygepleje, rygning, alkohol, kost, svær overvægt</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Uddannelse</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Uddannelse</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Kompetencegivende uddannelse, kun grundskole, afgangskarakterer, højt fravær, forventet ungdomsuddannelse, elevtrivsel, klassekvotient, normering, pædagoguddannet personale</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Velfærd</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7</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Indkomst og arbejde</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Median disponibel indkomst, beskæftigelse, børnefattigdom, udsatte børn og unge, unge uden job eller uddannelse (NEET), relativ fattigdom, underretninger</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Bolig</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Bolig</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Trangboethed: andel der bor med flere personer end værelser</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Demokrati</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stemme</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Valgdeltagelse ved kommunal- og folketingsvalg</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Kultur</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Musikskoleelever, biblioteksudlån, kommunale kulturudgifter</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Tryghed</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Fred og retfærdighed</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Anmeldte forbrydelser, tilskadekomne i trafikken</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Fællesskab</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5</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Netværk</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Ensomhed, begrænset social støtte, idrætsmedlemskab, tilskuer til sport, støtte til frivillige foreninger</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Lighed</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Social lighed</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Gini-koefficient, beskæftigelsesgab mellem indvandrere fra ikke-vestlige lande og personer med dansk oprindelse</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Mobilitet</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Netværk (hos Fanning &amp; Raworth 2025: forbindelser og transport)</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Pendlingsafstand, god adgang til kollektiv transport</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Ligestilling</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Ligestilling mellem kønnene</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Kvinder i ledelse, kønsgab i middellevetid, kvinders medianindkomst i forhold til mænds</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Klimatilpasning</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Vejrrelaterede forsikringsskader, forventet årlig skade fra havet i 2070</w:t>
            </w:r>
          </w:p>
        </w:tc>
      </w:tr>
      <w:tr>
        <w:trPr>
          <w:cantSplit/>
        </w:trPr>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Energi</w:t>
            </w:r>
          </w:p>
        </w:tc>
        <w:tc>
          <w:tcPr>
            <w:tcW w:type="dxa" w:w="63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Energi</w:t>
            </w:r>
          </w:p>
        </w:tc>
        <w:tc>
          <w:tcPr>
            <w:tcW w:type="dxa" w:w="498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Fossil andel af helårsboligernes opvarmning, inkl. fjernvarmens fossile del</w:t>
            </w:r>
          </w:p>
        </w:tc>
      </w:tr>
    </w:tbl>
    <w:p>
      <w:pPr>
        <w:spacing w:after="240" w:before="80" w:line="260"/>
      </w:pPr>
      <w:r>
        <w:rPr>
          <w:rFonts w:ascii="Arial" w:cs="Arial" w:eastAsia="Arial" w:hAnsi="Arial"/>
          <w:color w:val="595959"/>
          <w:sz w:val="17"/>
          <w:szCs w:val="17"/>
        </w:rPr>
        <w:t xml:space="preserve">Bilag A viser alle 48 indikatorer med kilde, retning, sammenligningsgrundlag og dataår.</w:t>
      </w:r>
    </w:p>
    <w:p>
      <w:pPr>
        <w:pStyle w:val="Heading2"/>
      </w:pPr>
      <w:r>
        <w:t xml:space="preserve">3.2 Sådan er indikatorerne valgt</w:t>
      </w:r>
    </w:p>
    <w:p>
      <w:pPr>
        <w:pStyle w:val="Body"/>
      </w:pPr>
      <w:r>
        <w:t xml:space="preserve">Projektet har aldrig skrevet sine udvælgelseskriterier ned som en samlet liste, men de kan læses ud af de beslutninger, der er truffet. En indikator skal findes offentligt for alle 98 kommuner. Det skal være klart, om et højere tal er bedre eller dårligere. Den skal helst måle borgernes vilkår frem for kommunens udgifter. Og den må ikke gentage en anden indikator i samme kategori.</w:t>
      </w:r>
    </w:p>
    <w:p>
      <w:pPr>
        <w:pStyle w:val="Body"/>
      </w:pPr>
      <w:r>
        <w:t xml:space="preserve">Kriterierne er tydeligst i det, der er taget ud. Familiers bilrådighed blev fjernet fra Mobilitet, fordi "flere biler er bedre" strider mod rammen og gav landkommunerne en kunstigt høj score. Forbrug af antidepressiv medicin blev fjernet fra Sundhed, fordi det var uklart, om et højt forbrug betyder dårlig mental sundhed eller god behandling. Den erstattes af Sundhedsprofilens mål for dårligt mentalt helbred, og de to tal korrelerer kun -0,01. Idrætsfaciliteter og idrætsudgifter blev fjernet fra Fællesskab, fordi de korrelerede negativt med resten af kategorien og dermed udlignede den. Fysisk aktivitet hentes, men scores ikke, fordi den korrelerer 0,90 med svær overvægt og 0,80 med kostskalaen. Mens denne artikel blev skrevet, blev yderligere tre taget ud på baggrund af testene i afsnit 7: ubeboede boliger og boligareal pr. person, der udlignede hinanden i Bolig, og andelen med lavindkomst, der var næsten samme tal som børnefattigdom under Velfærd.</w:t>
      </w:r>
    </w:p>
    <w:p>
      <w:pPr>
        <w:pStyle w:val="Body"/>
      </w:pPr>
      <w:r>
        <w:t xml:space="preserve">Kriteriet om borgernes vilkår er ikke overholdt overalt. Kommunens kulturudgifter og dens støtte til frivillige foreninger måler kommunens indsats og ikke, hvad borgerne får ud af den. De er beholdt, fordi det er de eneste steder i modellen, hvor kommunens egen prioritering kan ses. Klassekvotient og normering i daginstitutioner er også ressourcemål. Den blanding skal læseren kende, når en kategori skal fortolkes.</w:t>
      </w:r>
    </w:p>
    <w:p>
      <w:pPr>
        <w:pStyle w:val="Body"/>
      </w:pPr>
      <w:r>
        <w:t xml:space="preserve">En korrelation er et tal mellem -1 og 1, som viser, hvor meget to tal følges ad på tværs af kommunerne. Ved 1 følges de fuldstændigt, ved 0 er der ingen sammenhæng, og ved -1 går den ene op, når den anden går ned. Vi bruger korrelationer flere steder i artiklen.</w:t>
      </w:r>
    </w:p>
    <w:p>
      <w:pPr>
        <w:pStyle w:val="Heading2"/>
      </w:pPr>
      <w:r>
        <w:t xml:space="preserve">3.3 Data og dækning</w:t>
      </w:r>
    </w:p>
    <w:p>
      <w:pPr>
        <w:pStyle w:val="Body"/>
      </w:pPr>
      <w:r>
        <w:t xml:space="preserve">Af de 4.704 mulige værdier (48 indikatorer gange 98 kommuner) findes 4.667, eller 99,2 procent. Det største hul er tilskuere til sport, som mangler for 22 kommuner, fordi Danmarks Statistik ikke offentliggør tal, når stikprøven er for lille. Hullet er skævt fordelt. Kommunerne uden tal har en median på ca. 24.000 indbyggere mod ca. 53.000 for dem med tal. Middellevetid og kønsgab i middellevetid mangler for Ærø, Fanø, Samsø og Læsø. Elevtrivsel mangler for København, Gentofte og Gladsaxe. Mangler en værdi, beregnes kategorien af de indikatorer, der findes. Vi gætter ikke på de manglende tal.</w:t>
      </w:r>
    </w:p>
    <w:p>
      <w:pPr>
        <w:pStyle w:val="Body"/>
      </w:pPr>
      <w:r>
        <w:t xml:space="preserve">Dataårene spænder fra 2021 til 2026. 23 af de 48 indikatorer er fra 2025, 12 fra 2024 og 6 fra 2026. Resten dækker perioder, fx middellevetid for 2021-2025, trafikulykker som gennemsnit af tre år og kystrisikoen fra Kystdirektoratets datapakke fra 2021. Seks af de ni sundhedsindikatorer kommer fra Den Nationale Sundhedsprofil 2025, en spørgeskemaundersøgelse, der gennemføres hvert fjerde år. Kommunetallene for de seks står derfor fast frem til næste runde.</w:t>
      </w:r>
    </w:p>
    <w:p>
      <w:pPr>
        <w:pStyle w:val="Heading1"/>
      </w:pPr>
      <w:r>
        <w:t xml:space="preserve">4. Fra råtal til score</w:t>
      </w:r>
    </w:p>
    <w:p>
      <w:pPr>
        <w:pStyle w:val="Heading2"/>
      </w:pPr>
      <w:r>
        <w:t xml:space="preserve">4.1 Scoren er et forhold til et sammenligningsgrundlag</w:t>
      </w:r>
    </w:p>
    <w:p>
      <w:pPr>
        <w:pStyle w:val="Body"/>
      </w:pPr>
      <w:r>
        <w:t xml:space="preserve">Indikatorerne har vidt forskellige enheder: år, procent, kroner, elever pr. klasse. For at kunne lægge dem sammen regnes hver indikator om til en score, hvor 100 er sammenligningsgrundlaget. For indikatorer, hvor et højt tal er godt, er scoren kommunens værdi divideret med grundlaget gange 100:</w:t>
      </w:r>
    </w:p>
    <w:p>
      <w:pPr>
        <w:spacing w:after="160" w:before="120"/>
        <w:jc w:val="center"/>
      </w:pPr>
      <w:r>
        <w:rPr>
          <w:rFonts w:ascii="Cambria Math" w:cs="Cambria Math" w:eastAsia="Cambria Math" w:hAnsi="Cambria Math"/>
          <w:sz w:val="21"/>
          <w:szCs w:val="21"/>
        </w:rPr>
        <w:t xml:space="preserve">score = kommunens værdi / sammenligningsgrundlag × 100</w:t>
      </w:r>
    </w:p>
    <w:p>
      <w:pPr>
        <w:pStyle w:val="Body"/>
      </w:pPr>
      <w:r>
        <w:t xml:space="preserve">For indikatorer, hvor et lavt tal er godt (fx kriminalitet, fattigdom og rygning), vendes brøken, så et højt tal stadig er godt:</w:t>
      </w:r>
    </w:p>
    <w:p>
      <w:pPr>
        <w:spacing w:after="160" w:before="120"/>
        <w:jc w:val="center"/>
      </w:pPr>
      <w:r>
        <w:rPr>
          <w:rFonts w:ascii="Cambria Math" w:cs="Cambria Math" w:eastAsia="Cambria Math" w:hAnsi="Cambria Math"/>
          <w:sz w:val="21"/>
          <w:szCs w:val="21"/>
        </w:rPr>
        <w:t xml:space="preserve">score = sammenligningsgrundlag / kommunens værdi × 100</w:t>
      </w:r>
    </w:p>
    <w:p>
      <w:pPr>
        <w:pStyle w:val="Body"/>
      </w:pPr>
      <w:r>
        <w:t xml:space="preserve">En kommune med halvt så meget kriminalitet som landet får altså 200, og en med dobbelt så meget får 50. Den omvendte brøk er asymmetrisk: den belønner lave værdier mere, end den straffer høje. Det er en af grundene til loftet på 150, som beskrives i afsnit 4.3.</w:t>
      </w:r>
    </w:p>
    <w:p>
      <w:pPr>
        <w:pStyle w:val="Body"/>
      </w:pPr>
      <w:r>
        <w:t xml:space="preserve">To indikatorer måles mod et fast mål. Andelen af 30-34-årige med kompetencegivende uddannelse måles mod det nationale mål på 95 procent. Fossil opvarmning scores som 100 minus den fossile andel, så 100 betyder helt fossilfri opvarmning. Ingen kommune når dertil. Den bedste, Aarhus, har under 4 procent fossil andel og får 96,2.</w:t>
      </w:r>
    </w:p>
    <w:p>
      <w:pPr>
        <w:pStyle w:val="Heading2"/>
      </w:pPr>
      <w:r>
        <w:t xml:space="preserve">4.2 Hvad er "landsgennemsnittet"?</w:t>
      </w:r>
    </w:p>
    <w:p>
      <w:pPr>
        <w:pStyle w:val="Body"/>
      </w:pPr>
      <w:r>
        <w:t xml:space="preserve">For 46 indikatorer er grundlaget et landstal. Landstallet er Danmark som helhed, vægtet med indikatorens egen nævner. For kriminalitet pr. 1.000 indbyggere er det alle anmeldelser med kendt gerningskommune divideret med hele befolkningen. Det er ikke et gennemsnit af de 98 kommuners tal, hvor Læsø ville vægte lige så meget som København. Forskellen kan være mærkbar. 8,7 procent af anmeldelserne i 2025 har ingen kendt gerningskommune og er derfor ikke med.</w:t>
      </w:r>
    </w:p>
    <w:p>
      <w:pPr>
        <w:pStyle w:val="Body"/>
      </w:pPr>
      <w:r>
        <w:t xml:space="preserve">For de seks spørgeskemaindikatorer i Sundhed og de to i Fællesskab beregner platformen selv landstallet, fordi Sundhedsprofilens database ikke udgiver et landstal for kommunetabellerne. Det er et befolkningsvægtet gennemsnit af kommunernes andele for personer over 16 år. Det kan afvige lidt fra Sundhedsstyrelsens eget landstal. For fire indikatorer fra Børne- og Undervisningsministeriet (trivsel, karakterer, fravær og ungdomsuddannelse) findes heller intet landstal. Her vægtes kommunernes tal med antallet af folkeskoleelever efter bopælskommune fra Danmarks Statistik: 9. klasse for karakterer og ungdomsuddannelse, alle klassetrin for fravær og trivsel. Indtil september 2026 blev der brugt et simpelt gennemsnit af kommunerne, hvor Læsø vejede lige så meget som København.</w:t>
      </w:r>
    </w:p>
    <w:p>
      <w:pPr>
        <w:pStyle w:val="Heading2"/>
      </w:pPr>
      <w:r>
        <w:t xml:space="preserve">4.3 Loftet på 150</w:t>
      </w:r>
    </w:p>
    <w:p>
      <w:pPr>
        <w:pStyle w:val="Body"/>
      </w:pPr>
      <w:r>
        <w:t xml:space="preserve">Alle sociale scorer er klippet ved 150. Loftet forhindrer, at en enkelt ekstrem værdi trækker en hel kategori op. Uden loftet ville en kommune med meget lav kriminalitet få 279 på den indikator, og foreningsstøtten ville nå 474 i den kommune, der giver mest. Med den omvendte brøk kan en score vokse uden grænse, når råværdien nærmer sig nul.</w:t>
      </w:r>
    </w:p>
    <w:p>
      <w:pPr>
        <w:pStyle w:val="Body"/>
      </w:pPr>
      <w:r>
        <w:t xml:space="preserve">Kystrisikoen har et lavere loft på 100. En kommune uden kyst har ingen risiko for oversvømmelse fra havet, men det gør den ikke mere robust over for klimaforandringer end andre. Med et loft på 150 ville fraværet af kyst udligne kommunens vejrskader i kategorien. 51 kommuner står på 100 for denne indikator.</w:t>
      </w:r>
    </w:p>
    <w:p>
      <w:pPr>
        <w:pStyle w:val="Body"/>
      </w:pPr>
      <w:r>
        <w:t xml:space="preserve">Prisen er, at kommuner på loftet ikke kan skelnes fra hinanden på den indikator. Vi viser i afsnit 7.5, hvor meget det betyder.</w:t>
      </w:r>
    </w:p>
    <w:p>
      <w:pPr>
        <w:pStyle w:val="Heading1"/>
      </w:pPr>
      <w:r>
        <w:t xml:space="preserve">5. Tre måder at sammenligne på</w:t>
      </w:r>
    </w:p>
    <w:p>
      <w:pPr>
        <w:pStyle w:val="Body"/>
      </w:pPr>
      <w:r>
        <w:t xml:space="preserve">Brugeren kan vælge mellem tre sammenligningsgrundlag. Det påvirker kun de 46 sociale indikatorer, der måles mod et gennemsnit. De to med faste mål og hele den økologiske ring er uberørte.</w:t>
      </w:r>
    </w:p>
    <w:p>
      <w:pPr>
        <w:pStyle w:val="Body"/>
        <w:numPr>
          <w:ilvl w:val="0"/>
          <w:numId w:val="2"/>
        </w:numPr>
        <w:spacing w:after="80"/>
      </w:pPr>
      <w:r>
        <w:rPr>
          <w:b/>
          <w:bCs/>
        </w:rPr>
        <w:t xml:space="preserve">Landsgennemsnit.</w:t>
      </w:r>
      <w:r>
        <w:t xml:space="preserve"> Scoren er beregnet som i afsnit 4. 100 betyder, at kommunen ligger på niveau med Danmark som helhed.</w:t>
      </w:r>
    </w:p>
    <w:p>
      <w:pPr>
        <w:pStyle w:val="Body"/>
        <w:numPr>
          <w:ilvl w:val="0"/>
          <w:numId w:val="2"/>
        </w:numPr>
        <w:spacing w:after="80"/>
      </w:pPr>
      <w:r>
        <w:rPr>
          <w:b/>
          <w:bCs/>
        </w:rPr>
        <w:t xml:space="preserve">Kommunegruppe (standard).</w:t>
      </w:r>
      <w:r>
        <w:t xml:space="preserve"> Scoren divideres med gennemsnittet af scorerne i kommunens egen gruppe og ganges med 100. Grupperne er Danmarks Statistiks fem kommunegrupper: hovedstadskommuner (24), storbykommuner (3), provinsbykommuner (16), oplandskommuner (24) og landkommuner (31). 100 betyder, at kommunen ligger på niveau med den typiske kommune af samme type.</w:t>
      </w:r>
    </w:p>
    <w:p>
      <w:pPr>
        <w:pStyle w:val="Body"/>
        <w:numPr>
          <w:ilvl w:val="0"/>
          <w:numId w:val="2"/>
        </w:numPr>
        <w:spacing w:after="80"/>
      </w:pPr>
      <w:r>
        <w:rPr>
          <w:b/>
          <w:bCs/>
        </w:rPr>
        <w:t xml:space="preserve">Top 10.</w:t>
      </w:r>
      <w:r>
        <w:t xml:space="preserve"> Scoren divideres med gennemsnittet af de ti bedste kommuners scorer. 100 betyder, at kommunen er på niveau med de bedste i landet.</w:t>
      </w:r>
    </w:p>
    <w:p>
      <w:pPr>
        <w:pStyle w:val="Body"/>
      </w:pPr>
      <w:r>
        <w:t xml:space="preserve">Omregningen sker på de færdige scorer. Masterfilen har derfor kun én værdi pr. kommune og indikator, og de tre visninger er tre måder at læse den på. For indikatorer, hvor lavt er godt, betyder det, at omregningen sker på den allerede vendte brøk. Det er en forenkling, som giver lidt andre tal end en omregning på råværdierne. Loftet på 150 lægges på igen efter omregningen.</w:t>
      </w:r>
    </w:p>
    <w:p>
      <w:pPr>
        <w:pStyle w:val="Body"/>
      </w:pPr>
      <w:r>
        <w:t xml:space="preserve">Storbykommunegruppen har kun tre medlemmer: Odense, Aarhus og Aalborg. Deres gruppegennemsnit hviler på tre tal, som hver især indgår i det gennemsnit, de sammenlignes med.</w:t>
      </w:r>
    </w:p>
    <w:p>
      <w:pPr>
        <w:pStyle w:val="Heading1"/>
      </w:pPr>
      <w:r>
        <w:t xml:space="preserve">6. Fra indikator til kategori og ring</w:t>
      </w:r>
    </w:p>
    <w:p>
      <w:pPr>
        <w:pStyle w:val="Body"/>
      </w:pPr>
      <w:r>
        <w:t xml:space="preserve">En kategoris score er det simple gennemsnit af dens indikatorer. Alle indikatorer i en kategori vejer altså lige meget. Scoren vises med én decimal og farves: 100 eller derover er grøn, 85 til under 100 er gul, og under 85 er rød. Farven følger det viste, afrundede tal, så en score på 99,96 står som 100,0 og er grøn.</w:t>
      </w:r>
    </w:p>
    <w:p>
      <w:pPr>
        <w:pStyle w:val="Body"/>
      </w:pPr>
      <w:r>
        <w:t xml:space="preserve">Platformen lægger ikke kategorierne sammen til én samlet social score. Kommunesiden fortæller i stedet, hvor mange af de 13 kategorier der er grønne i den valgte visning. Det tal er dog selv en slags samlet score, hvor alle kategorier vejer lige meget. Energi og Bolig, der hver kun har én indikator, tæller lige så meget som Sundhed med ni.</w:t>
      </w:r>
    </w:p>
    <w:p>
      <w:pPr>
        <w:pStyle w:val="Body"/>
      </w:pPr>
      <w:r>
        <w:t xml:space="preserve">Ud over scoren viser platformen en retningspil for de indikatorer, der har en tidsserie. Pilen beregnes på råværdierne og med samme funktion som scoren, så pilen og tallet altid beskriver det samme. Retningspilene er ikke med i testene nedenfor.</w:t>
      </w:r>
    </w:p>
    <w:p>
      <w:pPr>
        <w:pStyle w:val="Heading1"/>
      </w:pPr>
      <w:r>
        <w:t xml:space="preserve">7. Hvor følsom er metoden?</w:t>
      </w:r>
    </w:p>
    <w:p>
      <w:pPr>
        <w:pStyle w:val="Body"/>
      </w:pPr>
      <w:r>
        <w:t xml:space="preserve">Håndbogen fra OECD og EU's forskningscenter om sammensatte indikatorer anbefaler, at man tester, hvor meget resultatet afhænger af de valg, man har truffet undervejs (OECD/JRC 2008; Saisana m.fl. 2005). Platformen har ingen samlet score, så vi har testet kategoriscorerne og deres farver. Der er syv test, og alle bruger data fra 25. september 2026.</w:t>
      </w:r>
    </w:p>
    <w:p>
      <w:pPr>
        <w:pStyle w:val="Heading2"/>
      </w:pPr>
      <w:r>
        <w:t xml:space="preserve">7.1 Hvor meget handler om by og land?</w:t>
      </w:r>
    </w:p>
    <w:p>
      <w:pPr>
        <w:pStyle w:val="Body"/>
      </w:pPr>
      <w:r>
        <w:t xml:space="preserve">Vi har målt, hvor stor en del af forskellene mellem kommunerne der kan forklares alene af, hvilken kommunegruppe kommunen tilhører. Målet hedder η² (eta i anden) og går fra 0 til 1. Ved 0 ligger grupperne i gennemsnit ens, og ved 1 er alle forskelle forskelle mellem grupperne. Figur 1 viser resultatet for landsgennemsnitsvisningen.</w:t>
      </w:r>
    </w:p>
    <w:p>
      <w:pPr>
        <w:keepNext/>
        <w:spacing w:after="0" w:before="200"/>
        <w:jc w:val="center"/>
      </w:pPr>
      <w:r>
        <w:drawing>
          <wp:inline distT="0" distB="0" distL="0" distR="0">
            <wp:extent cx="5400675" cy="3086100"/>
            <wp:effectExtent t="0" r="0" b="0" l="0"/>
            <wp:docPr id="1" name="social_eta2.png" descr="Figur 1. Andel af forskellene mellem kommunernes kategoriscorer, der forklares af kommunegruppen (η²). Landsgennemsnitsvisning. Data: platformens masterfil, 25. september 2026."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86100"/>
                    </a:xfrm>
                    <a:prstGeom prst="rect">
                      <a:avLst/>
                    </a:prstGeom>
                  </pic:spPr>
                </pic:pic>
              </a:graphicData>
            </a:graphic>
          </wp:inline>
        </w:drawing>
      </w:r>
    </w:p>
    <w:p>
      <w:pPr>
        <w:spacing w:after="240" w:before="80" w:line="260"/>
      </w:pPr>
      <w:r>
        <w:rPr>
          <w:rFonts w:ascii="Arial" w:cs="Arial" w:eastAsia="Arial" w:hAnsi="Arial"/>
          <w:color w:val="595959"/>
          <w:sz w:val="17"/>
          <w:szCs w:val="17"/>
        </w:rPr>
        <w:t xml:space="preserve">Figur 1. Andel af forskellene mellem kommunernes kategoriscorer, der forklares af kommunegruppen (η²). Landsgennemsnitsvisning. Data: platformens masterfil, 25. september 2026.</w:t>
      </w:r>
    </w:p>
    <w:p>
      <w:pPr>
        <w:pStyle w:val="Body"/>
      </w:pPr>
      <w:r>
        <w:t xml:space="preserve">I Mobilitet forklarer kommunegruppen 80 procent af forskellene. Det er forventeligt: landkommuner har længere til arbejde og færre busser. I Bolig er det 51 procent og i Sundhed 45 procent. I Fællesskab, Demokrati og Ligestilling betyder kommunetypen næsten intet. For de enkelte indikatorer er medianen 0,24, og for syv af dem ligger den over 0,5. Det gælder fx pendlingsafstand (0,75), kollektiv transport (0,75), hjemmesygepleje (0,63) og trangboethed (0,51).</w:t>
      </w:r>
    </w:p>
    <w:p>
      <w:pPr>
        <w:pStyle w:val="Body"/>
      </w:pPr>
      <w:r>
        <w:t xml:space="preserve">Vi har også undersøgt, om mange af de 48 indikatorer i virkeligheden måler det samme. En principalkomponentanalyse finder de retninger i data, der forklarer mest af variationen. Den første komponent forklarer 31 procent af den samlede variation i de 48 indikatorer. Den hænger stærkest sammen med median indkomst, forventet ungdomsuddannelse, uddannelsesniveau, rygning, svær overvægt, afgangskarakterer, middellevetid og selvvurderet helbred. Kommuner med høj indkomst har typisk også højt uddannelsesniveau, lavere rygning og længere levetid. Den næste komponent forklarer 16 procent, og ni komponenter bidrager hver med mere end en enkelt indikators varians. En tredjedel af variationen følger altså den samme socioøkonomiske linje, mens resten fordeler sig på flere mønstre, der ikke hænger sammen med den.</w:t>
      </w:r>
    </w:p>
    <w:p>
      <w:pPr>
        <w:pStyle w:val="Heading2"/>
      </w:pPr>
      <w:r>
        <w:t xml:space="preserve">7.2 Hvad betyder sammenligningsgrundlaget?</w:t>
      </w:r>
    </w:p>
    <w:p>
      <w:pPr>
        <w:pStyle w:val="Body"/>
      </w:pPr>
      <w:r>
        <w:t xml:space="preserve">Figur 2 viser, hvor mange kommuner der er grønne, gule og røde i hver kategori under de tre sammenligningsgrundlag.</w:t>
      </w:r>
    </w:p>
    <w:p>
      <w:pPr>
        <w:keepNext/>
        <w:spacing w:after="0" w:before="200"/>
        <w:jc w:val="center"/>
      </w:pPr>
      <w:r>
        <w:drawing>
          <wp:inline distT="0" distB="0" distL="0" distR="0">
            <wp:extent cx="5943600" cy="3600450"/>
            <wp:effectExtent t="0" r="0" b="0" l="0"/>
            <wp:docPr id="1" name="social_farver.png" descr="Figur 2. Antal kommuner med grøn, gul og rød kategoriscore i de tre visninger. Tal under 12 er ikke skrevet ind i søjlerne. Data: platformens masterfil, 25. september 2026."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00450"/>
                    </a:xfrm>
                    <a:prstGeom prst="rect">
                      <a:avLst/>
                    </a:prstGeom>
                  </pic:spPr>
                </pic:pic>
              </a:graphicData>
            </a:graphic>
          </wp:inline>
        </w:drawing>
      </w:r>
    </w:p>
    <w:p>
      <w:pPr>
        <w:spacing w:after="240" w:before="80" w:line="260"/>
      </w:pPr>
      <w:r>
        <w:rPr>
          <w:rFonts w:ascii="Arial" w:cs="Arial" w:eastAsia="Arial" w:hAnsi="Arial"/>
          <w:color w:val="595959"/>
          <w:sz w:val="17"/>
          <w:szCs w:val="17"/>
        </w:rPr>
        <w:t xml:space="preserve">Figur 2. Antal kommuner med grøn, gul og rød kategoriscore i de tre visninger. Tal under 12 er ikke skrevet ind i søjlerne. Data: platformens masterfil, 25. september 2026.</w:t>
      </w:r>
    </w:p>
    <w:p>
      <w:pPr>
        <w:pStyle w:val="Body"/>
      </w:pPr>
      <w:r>
        <w:t xml:space="preserve">Kommunegruppevisningen flytter farven for 319 af de 1.274 kategoriscorer (25 procent) i forhold til landsgennemsnittet. Mest i Tryghed (42 kommuner), Mobilitet (42), Lighed (32) og Sundhed (31). I Mobilitet falder antallet af røde kommuner fra 63 til 37. Rækkefølgen mellem kommunerne ændrer sig også. Rangkorrelationen mellem de to visninger er kun 0,61 i Mobilitet og 0,66 i Bolig, men 0,98 i Fællesskab.</w:t>
      </w:r>
    </w:p>
    <w:p>
      <w:pPr>
        <w:pStyle w:val="Body"/>
      </w:pPr>
      <w:r>
        <w:t xml:space="preserve">Top 10-visningen ændrer næsten ikke rækkefølgen (rangkorrelation 0,98 eller højere), fordi alle kommuner divideres med det samme tal. Den flytter til gengæld niveauet. Andelen af grønne kategoriscorer falder fra 47 procent med landsgennemsnit og 45 procent med kommunegruppe til 5 procent med top 10. 38 kommuner har ingen grønne kategorier i top 10-visningen. Bolig er en undtagelse med 35 grønne, fordi de ti bedste kommuner på trangboethed alle står på loftet på 150. Medianen er 6 grønne kategorier ud af 13 både med landsgennemsnit og med kommunegruppe.</w:t>
      </w:r>
    </w:p>
    <w:p>
      <w:pPr>
        <w:pStyle w:val="Body"/>
      </w:pPr>
      <w:r>
        <w:t xml:space="preserve">Antallet af grønne kategorier pr. kommune korrelerer kun 0,65 mellem landsgennemsnit og kommunegruppe. En kommune kan altså se ret forskellig ud, alt efter hvilket grundlag man vælger.</w:t>
      </w:r>
    </w:p>
    <w:p>
      <w:pPr>
        <w:pStyle w:val="Heading2"/>
      </w:pPr>
      <w:r>
        <w:t xml:space="preserve">7.3 Hænger kategorierne sammen indadtil?</w:t>
      </w:r>
    </w:p>
    <w:p>
      <w:pPr>
        <w:pStyle w:val="Body"/>
      </w:pPr>
      <w:r>
        <w:t xml:space="preserve">Hvis indikatorerne i en kategori måler samme fænomen, bør de korrelere positivt. Tabel 2 viser den gennemsnitlige korrelation mellem indikatorerne i hver kategori. For kategorier med tre eller flere indikatorer viser tabellen også Cronbachs alfa, et almindeligt mål for, hvor godt flere spørgsmål eller indikatorer måler det samme. En alfa over ca. 0,7 regnes normalt for god.</w:t>
      </w:r>
    </w:p>
    <w:p>
      <w:pPr>
        <w:keepNext/>
        <w:spacing w:after="80" w:before="200"/>
      </w:pPr>
      <w:r>
        <w:rPr>
          <w:rFonts w:ascii="Arial" w:cs="Arial" w:eastAsia="Arial" w:hAnsi="Arial"/>
          <w:b/>
          <w:bCs/>
          <w:color w:val="1A1A1A"/>
          <w:sz w:val="18"/>
          <w:szCs w:val="18"/>
        </w:rPr>
        <w:t xml:space="preserve">Tabel 2. Intern sammenhæng i kategorierne (landsgennemsnitsvisning)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1088"/>
        <w:gridCol w:w="1814"/>
        <w:gridCol w:w="1451"/>
        <w:gridCol w:w="2722"/>
      </w:tblGrid>
      <w:tr>
        <w:trPr>
          <w:tblHeader/>
        </w:trPr>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Kategori</w:t>
            </w:r>
          </w:p>
        </w:tc>
        <w:tc>
          <w:tcPr>
            <w:tcW w:type="dxa" w:w="108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Indikatorer</w:t>
            </w:r>
          </w:p>
        </w:tc>
        <w:tc>
          <w:tcPr>
            <w:tcW w:type="dxa" w:w="1814"/>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Gns. korrelation</w:t>
            </w:r>
          </w:p>
        </w:tc>
        <w:tc>
          <w:tcPr>
            <w:tcW w:type="dxa" w:w="145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Cronbachs alfa</w:t>
            </w:r>
          </w:p>
        </w:tc>
        <w:tc>
          <w:tcPr>
            <w:tcW w:type="dxa" w:w="2722"/>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Negative par</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Velfærd</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7</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0,58</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0,85</w:t>
            </w: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0 af 21</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Demokrati</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0,79</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Mobilitet</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0,73</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Klimatilpasning</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0,58</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Sundhed</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0,34</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0,73</w:t>
            </w: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9 af 36</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Kultur</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0,14</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0,35</w:t>
            </w: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0 af 3</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Uddannelse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0,09</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0,29</w:t>
            </w: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16 af 36</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Fællesskab</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5</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0,08</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0,27</w:t>
            </w: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af 10</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Ligestilling</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0,04</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-0,05</w:t>
            </w: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 af 3</w:t>
            </w: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Lighed</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0,09</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r>
      <w:tr>
        <w:trPr>
          <w:cantSplit/>
        </w:trPr>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Tryghed</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-0,23</w:t>
            </w:r>
          </w:p>
        </w:tc>
        <w:tc>
          <w:tcPr>
            <w:tcW w:type="dxa" w:w="145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p>
        </w:tc>
        <w:tc>
          <w:tcPr>
            <w:tcW w:type="dxa" w:w="272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r>
    </w:tbl>
    <w:p>
      <w:pPr>
        <w:spacing w:after="240" w:before="80" w:line="260"/>
      </w:pPr>
      <w:r>
        <w:rPr>
          <w:rFonts w:ascii="Arial" w:cs="Arial" w:eastAsia="Arial" w:hAnsi="Arial"/>
          <w:color w:val="595959"/>
          <w:sz w:val="17"/>
          <w:szCs w:val="17"/>
        </w:rPr>
        <w:t xml:space="preserve">Energi og Bolig har kun én indikator og er ikke med. Alfa er ikke vist for kategorier med to indikatorer, hvor den kun er en omskrivning af korrelationen.</w:t>
      </w:r>
    </w:p>
    <w:p>
      <w:pPr>
        <w:pStyle w:val="Body"/>
      </w:pPr>
      <w:r>
        <w:t xml:space="preserve">Velfærd hænger tæt sammen. Demokrati og Mobilitet også, med to indikatorer, der følges ad. Sundhed er acceptabel, men alkohol trækker den modsatte vej af de øvrige levevaner: forbruget er højest i velstillede kommuner, hvor rygning og overvægt er lavest (alkohol og kost korrelerer -0,51).</w:t>
      </w:r>
    </w:p>
    <w:p>
      <w:pPr>
        <w:pStyle w:val="Body"/>
      </w:pPr>
      <w:r>
        <w:t xml:space="preserve">I Uddannelse, Fællesskab, Ligestilling og Lighed er sammenhængen svag. Det behøver ikke være en fejl. Indikatorerne er valgt til at dække forskellige sider af et område, og de skal ikke nødvendigvis følges ad. Metodelitteraturen skelner mellem indikatorer, der afspejler et fælles underliggende fænomen, og indikatorer, der tilsammen definerer et område (Diamantopoulos &amp; Winklhofer 2001). Kun for den første slags er en høj alfa et krav. Men når indikatorerne ikke følges ad, er kategorigennemsnittet et gennemsnit af forskellige ting, og det bliver sværere at sige, hvad en score på 95 betyder.</w:t>
      </w:r>
    </w:p>
    <w:p>
      <w:pPr>
        <w:pStyle w:val="Body"/>
      </w:pPr>
      <w:r>
        <w:rPr>
          <w:b/>
          <w:bCs/>
        </w:rPr>
        <w:t xml:space="preserve">Bolig var et reelt problem, og det er rettet.</w:t>
      </w:r>
      <w:r>
        <w:t xml:space="preserve"> Indtil september 2026 bestod Bolig af andelen af ubeboede boliger og boligarealet pr. person, og de to korrelerede -0,85. Kommuner med mange tomme boliger, typisk små øer og landkommuner, havde også meget plads pr. person; Læsø, Samsø og Ærø lå i top på begge. Den ene indikator straffede dem, og den anden belønnede dem, så kategorien i høj grad udlignede sig selv. Bolig måles nu som trangboethed: andelen af beboerne, der bor med flere personer end værelser. Den måler et underskud under en bundgrænse og belønner ikke plads ud over det nødvendige. Tryghed har en mildere version af samme problem (-0,23): tyndt befolkede kommuner har lav kriminalitet, men flere tilskadekomne i trafikken.</w:t>
      </w:r>
    </w:p>
    <w:p>
      <w:pPr>
        <w:pStyle w:val="Heading2"/>
      </w:pPr>
      <w:r>
        <w:t xml:space="preserve">7.4 Tæller noget flere gange?</w:t>
      </w:r>
    </w:p>
    <w:p>
      <w:pPr>
        <w:pStyle w:val="Body"/>
      </w:pPr>
      <w:r>
        <w:t xml:space="preserve">Af de 1.128 mulige par af sociale indikatorer korrelerer 49 stærkere end 0,7 eller svagere end -0,7. 31 af dem står i hver sin kategori. Median indkomst (Velfærd) og forventet ungdomsuddannelse (Uddannelse) korrelerer 0,85, afgangskarakterer (Uddannelse) og svær overvægt (Sundhed) 0,84, og middellevetid (Sundhed) og valgdeltagelse ved folketingsvalg (Demokrati) 0,81. Indtil september 2026 korrelerede børnefattigdom (Velfærd) og lavindkomst (Lighed) 0,87; de kom fra samme tabel, og lavindkomst er derfor taget ud. Korrelationerne er beregnet på scorerne, hvor højt altid er godt. Det er den socioøkonomiske linje fra afsnit 7.1, som går igen i flere kategorier.</w:t>
      </w:r>
    </w:p>
    <w:p>
      <w:pPr>
        <w:pStyle w:val="Body"/>
      </w:pPr>
      <w:r>
        <w:t xml:space="preserve">På kategoriniveau er medianen for korrelationerne 0,26. Den højeste er mellem Sundhed og Velfærd (0,78), fulgt af Bolig og Mobilitet (-0,75) og Sundhed og Lighed (-0,64). Kategorierne måler forskellige ting, men en kommune, der ligger lavt i Velfærd, vil ofte også ligge lavt i Sundhed. Bolig og Mobilitet afspejler begge forskellen mellem by og land, i hver sin retning: i byerne bor flere trangt, men har god kollektiv transport, og på landet er det omvendt.</w:t>
      </w:r>
    </w:p>
    <w:p>
      <w:pPr>
        <w:pStyle w:val="Heading2"/>
      </w:pPr>
      <w:r>
        <w:t xml:space="preserve">7.5 Hvad gør loftet på 150?</w:t>
      </w:r>
    </w:p>
    <w:p>
      <w:pPr>
        <w:pStyle w:val="Body"/>
      </w:pPr>
      <w:r>
        <w:t xml:space="preserve">5,9 procent af alle sociale scorer står på loftet på 150. Oftest drejer det sig om trangboethed (35 kommuner), kriminalitet (25), musikskoleelever (21), trafikulykker (18) og foreningsstøtte (17). Vi har regnet alle kategorier om uden loftet og beholdt kystrisikoens loft på 100. Det flytter farven for 5 af de 1.274 kategoriscorer. Loftet påvirker næsten kun kommuner, der allerede er grønne, så farverne står næsten stille.</w:t>
      </w:r>
    </w:p>
    <w:p>
      <w:pPr>
        <w:pStyle w:val="Body"/>
      </w:pPr>
      <w:r>
        <w:t xml:space="preserve">Loftet ændrer til gengæld spredningen i toppen. Uden loft ville Bolig nå op på 306, Klimatilpasning på 233 og Mobilitet på 220 i de mest ekstreme kommuner, og Bolig og Tryghed ville i gennemsnit stige med henholdsvis 9 og 8 point. Rækkefølgen ændrer sig kun lidt: rangkorrelationen mellem scorer med og uden loft er 0,90 eller højere i alle kategorier. Loftet begrænser altså ekstremerne uden at ændre billedet.</w:t>
      </w:r>
    </w:p>
    <w:p>
      <w:pPr>
        <w:pStyle w:val="Heading2"/>
      </w:pPr>
      <w:r>
        <w:t xml:space="preserve">7.6 Hvor meget betyder den enkelte indikator?</w:t>
      </w:r>
    </w:p>
    <w:p>
      <w:pPr>
        <w:pStyle w:val="Body"/>
      </w:pPr>
      <w:r>
        <w:t xml:space="preserve">Vi har fjernet én indikator ad gangen og regnet kategorien om. I kategorier med syv eller ni indikatorer flytter det kategoriscoren med højst 3,5 point i gennemsnit. I tre af de fem kategorier med to indikatorer flytter det scoren med 14 til 22 point i gennemsnit, og mange farver skifter. Lighed flytter sig 7 point, og Demokrati kun 2, fordi de to valgdeltagelser følges tæt ad. Tabel 3 viser de kategorier, hvor én indikator betyder mest.</w:t>
      </w:r>
    </w:p>
    <w:p>
      <w:pPr>
        <w:keepNext/>
        <w:spacing w:after="80" w:before="200"/>
      </w:pPr>
      <w:r>
        <w:rPr>
          <w:rFonts w:ascii="Arial" w:cs="Arial" w:eastAsia="Arial" w:hAnsi="Arial"/>
          <w:b/>
          <w:bCs/>
          <w:color w:val="1A1A1A"/>
          <w:sz w:val="18"/>
          <w:szCs w:val="18"/>
        </w:rPr>
        <w:t xml:space="preserve">Tabel 3. Effekt af at fjerne én indikator (landsgennemsnitsvisning)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3447"/>
        <w:gridCol w:w="1995"/>
        <w:gridCol w:w="1814"/>
      </w:tblGrid>
      <w:tr>
        <w:trPr>
          <w:tblHeader/>
        </w:trPr>
        <w:tc>
          <w:tcPr>
            <w:tcW w:type="dxa" w:w="1814"/>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Kategori</w:t>
            </w:r>
          </w:p>
        </w:tc>
        <w:tc>
          <w:tcPr>
            <w:tcW w:type="dxa" w:w="3447"/>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 der fjernes</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Gns. ændring (point)</w:t>
            </w:r>
          </w:p>
        </w:tc>
        <w:tc>
          <w:tcPr>
            <w:tcW w:type="dxa" w:w="1814"/>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Farveskift (kommuner)</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Tryghed</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Anmeldte forbrydelser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20,3</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44</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Mobilitet</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Adgang til kollektiv transport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22,2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41</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Kultur</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Musikskoleelever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36</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Kultur</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Kulturudgifter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12,0</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34</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Fællesskab</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Foreningsstøtte</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7,0</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34</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Ligestilling</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Kønsgab i middellevetid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4,9</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30</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Klimatilpasning</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Vejrskader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13,7</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25</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Lighed</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Gini-koefficient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7,2</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35</w:t>
            </w:r>
          </w:p>
        </w:tc>
      </w:tr>
      <w:tr>
        <w:trPr>
          <w:cantSplit/>
        </w:trPr>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Uddannelse</w:t>
            </w:r>
          </w:p>
        </w:tc>
        <w:tc>
          <w:tcPr>
            <w:tcW w:type="dxa" w:w="344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Kun grundskole</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3,5</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21</w:t>
            </w:r>
          </w:p>
        </w:tc>
      </w:tr>
    </w:tbl>
    <w:p>
      <w:pPr>
        <w:spacing w:after="160"/>
      </w:pPr>
    </w:p>
    <w:p>
      <w:pPr>
        <w:pStyle w:val="Body"/>
      </w:pPr>
      <w:r>
        <w:t xml:space="preserve">Det er et direkte udtryk for, at kategorier med få indikatorer er skrøbelige. I en kategori med to indikatorer bestemmer hver af dem halvdelen af scoren. Kategorier med mange indikatorer er mere stabile, men også mere udvandede. I Uddannelse er spredningen mellem kommunerne kun 5,1 point, og 82 kommuner er gule i landsgennemsnitsvisningen.</w:t>
      </w:r>
    </w:p>
    <w:p>
      <w:pPr>
        <w:pStyle w:val="Heading2"/>
      </w:pPr>
      <w:r>
        <w:t xml:space="preserve">7.7 Hvor tæt ligger kommunerne på farvegrænserne?</w:t>
      </w:r>
    </w:p>
    <w:p>
      <w:pPr>
        <w:pStyle w:val="Body"/>
      </w:pPr>
      <w:r>
        <w:t xml:space="preserve">I kommunegruppevisningen ligger 48 procent af alle kategoriscorer inden for 5 point af enten 85 eller 100. I landsgennemsnitsvisningen er det 36 procent. Næsten halvdelen af farverne i standardvisningen kan altså skifte ved en ændring på under 5 point. Det er ikke overraskende. Når 100 er gruppens gennemsnit, samler kommunerne sig omkring 100. Men det betyder, at forskellen mellem en grøn score på 101 og en gul på 98 sjældent er et udtryk for en reel forskel.</w:t>
      </w:r>
    </w:p>
    <w:p>
      <w:pPr>
        <w:pStyle w:val="Heading1"/>
      </w:pPr>
      <w:r>
        <w:t xml:space="preserve">8. Diskussion</w:t>
      </w:r>
    </w:p>
    <w:p>
      <w:pPr>
        <w:pStyle w:val="Heading2"/>
      </w:pPr>
      <w:r>
        <w:t xml:space="preserve">8.1 Hvorfor måle mod danske forhold?</w:t>
      </w:r>
    </w:p>
    <w:p>
      <w:pPr>
        <w:pStyle w:val="Body"/>
      </w:pPr>
      <w:r>
        <w:t xml:space="preserve">I den internationale litteratur er det sociale fundament absolut. O'Neill m.fl. (2018) sætter fx tærsklen for sund levetid ved 65 år, for adgang til elektricitet og sanitet ved 95 procent af befolkningen og for indkomst ved at 95 procent tjener over 1,90 dollar om dagen. Fanning og Raworth (2025) måler fundamentet som andelen af befolkningen under en minimumsstandard. Den logik passer til en global opgørelse, hvor milliarder af mennesker mangler det basale.</w:t>
      </w:r>
    </w:p>
    <w:p>
      <w:pPr>
        <w:pStyle w:val="Body"/>
      </w:pPr>
      <w:r>
        <w:t xml:space="preserve">I Danmark er de fleste af de tærskler nået for stort set hele befolkningen. Hvis platformen brugte dem, ville alle 98 kommuner være grønne i det meste af ringen, og ringen ville ikke kunne fortælle en kommune noget, den kan handle på. Vi har derfor valgt at måle fundamentet mod det, der er normalt i Danmark.</w:t>
      </w:r>
    </w:p>
    <w:p>
      <w:pPr>
        <w:pStyle w:val="Body"/>
      </w:pPr>
      <w:r>
        <w:t xml:space="preserve">Valget har rødder i fattigdomsforskningen. Amartya Sen (1983) argumenterer for, at de evner, et menneske skal have for at leve et ordentligt liv, er absolutte, men at de ressourcer, der skal til for at opnå dem, afhænger af det samfund, man lever i. Townsend (1979) definerede fattigdom som ikke at kunne deltage i de levevilkår, der er almindelige i ens samfund. Dearing m.fl. (2014) foreslår netop, at det sociale fundament på regionalt niveau fastsættes ud fra regionale sociale normer. Og DEAL's byportrætter bruger byens egne politiske mål som fundament (DEAL 2020).</w:t>
      </w:r>
    </w:p>
    <w:p>
      <w:pPr>
        <w:pStyle w:val="Body"/>
      </w:pPr>
      <w:r>
        <w:t xml:space="preserve">Valget har en klar pris. Med et relativt grundlag vil omtrent halvdelen af kommunerne altid ligge under 100, uanset hvor godt det går Danmark. Den gennemsnitlige kategoriscore er 98,4 med landsgennemsnit og 96,5 med kommunegruppe. De tal følger af metoden. Omvendt kan en forværring i hele landet ikke ses: hvis alle kommuner får det dårligere, flytter grundlaget med, og farverne står stille. Et rødt felt betyder "dårligere end sammenlignelige kommuner", og et grønt betyder "bedre end dem". Ingen af delene siger, om fundamentet i Raworths forstand er nået.</w:t>
      </w:r>
    </w:p>
    <w:p>
      <w:pPr>
        <w:pStyle w:val="Body"/>
      </w:pPr>
      <w:r>
        <w:t xml:space="preserve">Retningspilene opvejer en del af det. De måler udviklingen i råværdien over tid og kan vise en fælles forværring, som scoren ikke kan se. Top 10-visningen giver et mere ambitiøst pejlemærke: det niveau, som allerede er nået et sted i Danmark. Vi mener, det er det tætteste, man kommer på et fundament, der kan begrundes empirisk uden at gå tilbage til globale minimumstærskler.</w:t>
      </w:r>
    </w:p>
    <w:p>
      <w:pPr>
        <w:pStyle w:val="Body"/>
      </w:pPr>
      <w:r>
        <w:t xml:space="preserve">Hvor der findes et vedtaget mål, bruges det. Det gælder i dag kun uddannelsesmålet på 95 procent og målet om fossilfri opvarmning. Flere indikatorer kunne måles mod et mål, hvis et sådant blev vedtaget, fx et mål for ensomhed eller fattigdom.</w:t>
      </w:r>
    </w:p>
    <w:p>
      <w:pPr>
        <w:pStyle w:val="Heading2"/>
      </w:pPr>
      <w:r>
        <w:t xml:space="preserve">8.2 Hvorfor kommunegruppen som standard?</w:t>
      </w:r>
    </w:p>
    <w:p>
      <w:pPr>
        <w:pStyle w:val="Body"/>
      </w:pPr>
      <w:r>
        <w:t xml:space="preserve">Figur 1 viser, at en stor del af forskellene i nogle kategorier skyldes, hvilken type kommune man er. En landkommune vil næsten altid have længere pendlingsafstand og færre busser end en hovedstadskommune. Hvis standardvisningen var landsgennemsnittet, ville Mobilitet være rød i landkommunerne år efter år, uanset hvad de gør. Kommunegruppevisningen fjerner den strukturelle del (η² i gruppevisningen er 0,04 eller mindre i alle kategorier undtagen Energi, som ikke omregnes) og viser, hvordan kommunen klarer sig i forhold til kommuner med samme udgangspunkt.</w:t>
      </w:r>
    </w:p>
    <w:p>
      <w:pPr>
        <w:pStyle w:val="Body"/>
      </w:pPr>
      <w:r>
        <w:t xml:space="preserve">Den pris skal nævnes tydeligt. For borgeren i en landkommune er det ingen trøst, at bussen går lige så sjældent som i andre landkommuner. Kommunegruppevisningen gør en reel strukturel forskel usynlig. Det er rigtigt, når spørgsmålet er "gør vi det godt med de forudsætninger, vi har?", og forkert, når spørgsmålet er "har vores borgere det lige så godt som andre danskere?". Begge spørgsmål er legitime, og derfor kan brugeren skifte mellem visningerne. Vi har valgt kommunegruppen som standard, fordi platformen først og fremmest er lavet til kommuner, der skal finde ud af, hvor de kan gøre noget.</w:t>
      </w:r>
    </w:p>
    <w:p>
      <w:pPr>
        <w:pStyle w:val="Heading2"/>
      </w:pPr>
      <w:r>
        <w:t xml:space="preserve">8.3 Hvorfor ingen samlet score?</w:t>
      </w:r>
    </w:p>
    <w:p>
      <w:pPr>
        <w:pStyle w:val="Body"/>
      </w:pPr>
      <w:r>
        <w:t xml:space="preserve">Litteraturen om sammensatte indikatorer viser, at vægtning og sammenlægning er de trin, der er sværest at forsvare, og som oftest bliver kritiseret (OECD/JRC 2008; Greco m.fl. 2019). En samlet social score kræver, at man bestemmer, hvor meget sundhed skal veje i forhold til mobilitet. Det er et politisk valg, og det har platformen ikke mandat til at træffe. Derfor vises de 13 kategorier hver for sig, som Doughnut-modellen også gør.</w:t>
      </w:r>
    </w:p>
    <w:p>
      <w:pPr>
        <w:pStyle w:val="Body"/>
      </w:pPr>
      <w:r>
        <w:t xml:space="preserve">Inden for hver kategori vejer indikatorerne lige meget. Når to indikatorer overlapper for meget, fjerner vi den ene. Eksplicitte vægte er svære at forklare ("hvorfor tæller rygning halvt så meget som middellevetid?"). Til gengæld giver lige vægte automatisk mere vægt til de fænomener, der har flest indikatorer. Tallet for antal grønne kategorier er, som nævnt i afsnit 6, en implicit samlet score med lige vægte.</w:t>
      </w:r>
    </w:p>
    <w:p>
      <w:pPr>
        <w:pStyle w:val="Heading2"/>
      </w:pPr>
      <w:r>
        <w:t xml:space="preserve">8.4 Svagheder</w:t>
      </w:r>
    </w:p>
    <w:p>
      <w:pPr>
        <w:pStyle w:val="Body"/>
      </w:pPr>
      <w:r>
        <w:t xml:space="preserve">Nedenfor står de svagheder, vi mener betyder mest for, hvordan tallene skal læses. Nogle er dokumenteret af testene i afsnit 7. Andre følger af datagrundlaget.</w:t>
      </w:r>
    </w:p>
    <w:p>
      <w:pPr>
        <w:pStyle w:val="Body"/>
        <w:numPr>
          <w:ilvl w:val="0"/>
          <w:numId w:val="3"/>
        </w:numPr>
        <w:spacing w:after="80"/>
      </w:pPr>
      <w:r>
        <w:rPr>
          <w:b/>
          <w:bCs/>
        </w:rPr>
        <w:t xml:space="preserve">Bolig og Mobilitet trækker i hver sin retning.</w:t>
      </w:r>
      <w:r>
        <w:t xml:space="preserve"> Trangboethed er højest i byerne, og adgangen til kollektiv transport er bedst samme sted. De to kategorier korrelerer -0,75. En bykommune vil derfor ofte være rød i Bolig og grøn i Mobilitet, og en landkommune omvendt. Begge dele er rigtige, men læseren skal vide, at de to farver langt hen ad vejen afspejler den samme forskel mellem by og land. Bolig har desuden kun én indikator. Et mål for boligudgifter i forhold til indkomst ville være et godt supplement, men det findes ikke pr. kommune.</w:t>
      </w:r>
    </w:p>
    <w:p>
      <w:pPr>
        <w:pStyle w:val="Body"/>
        <w:numPr>
          <w:ilvl w:val="0"/>
          <w:numId w:val="3"/>
        </w:numPr>
        <w:spacing w:after="80"/>
      </w:pPr>
      <w:r>
        <w:rPr>
          <w:b/>
          <w:bCs/>
        </w:rPr>
        <w:t xml:space="preserve">Én socioøkonomisk linje fylder meget.</w:t>
      </w:r>
      <w:r>
        <w:t xml:space="preserve"> En tredjedel af variationen følger indkomst og uddannelse. Det er ikke forkert, for social ulighed hænger sammen på tværs af livsområder. Men det betyder, at mange kategorier viser det samme mønster, og at en rig forstadskommune kan se god ud i mange kategorier af samme grund.</w:t>
      </w:r>
    </w:p>
    <w:p>
      <w:pPr>
        <w:pStyle w:val="Body"/>
        <w:numPr>
          <w:ilvl w:val="0"/>
          <w:numId w:val="3"/>
        </w:numPr>
        <w:spacing w:after="80"/>
      </w:pPr>
      <w:r>
        <w:rPr>
          <w:b/>
          <w:bCs/>
        </w:rPr>
        <w:t xml:space="preserve">Afhængighed af én spørgeskemaundersøgelse.</w:t>
      </w:r>
      <w:r>
        <w:t xml:space="preserve"> Seks af ni sundhedsindikatorer og to af fem i Fællesskab kommer fra Den Nationale Sundhedsprofil. En ændret definition eller en udeblevet runde slår igennem på en stor del af ringen på én gang. Spørgeskemadata har desuden kendt underrapportering af fx alkohol og vægt, og stikprøven er tynd i de mindste kommuner.</w:t>
      </w:r>
    </w:p>
    <w:p>
      <w:pPr>
        <w:pStyle w:val="Body"/>
        <w:numPr>
          <w:ilvl w:val="0"/>
          <w:numId w:val="3"/>
        </w:numPr>
        <w:spacing w:after="80"/>
      </w:pPr>
      <w:r>
        <w:rPr>
          <w:b/>
          <w:bCs/>
        </w:rPr>
        <w:t xml:space="preserve">Små tal i små kommuner.</w:t>
      </w:r>
      <w:r>
        <w:t xml:space="preserve"> Trafikulykker, kriminalitet og vejrskader svinger meget fra år til år i kommuner med få indbyggere. Trafikulykker er derfor gjort til et gennemsnit af tre år. Selv da hviler Læsøs tal på få personer. Platformen viser ingen usikkerhedsintervaller, så læseren kan ikke se, hvilke forskelle der er statistisk sikre.</w:t>
      </w:r>
    </w:p>
    <w:p>
      <w:pPr>
        <w:pStyle w:val="Body"/>
        <w:numPr>
          <w:ilvl w:val="0"/>
          <w:numId w:val="3"/>
        </w:numPr>
        <w:spacing w:after="80"/>
      </w:pPr>
      <w:r>
        <w:rPr>
          <w:b/>
          <w:bCs/>
        </w:rPr>
        <w:t xml:space="preserve">Farvegrænsen ved 85 er et valg.</w:t>
      </w:r>
      <w:r>
        <w:t xml:space="preserve"> Grænserne ved 100 og 85 er ikke udledt af noget. Med 48 procent af kategoriscorerne i standardvisningen inden for 5 point af en grænse bør farverne læses som en grov inddeling.</w:t>
      </w:r>
    </w:p>
    <w:p>
      <w:pPr>
        <w:pStyle w:val="Body"/>
        <w:numPr>
          <w:ilvl w:val="0"/>
          <w:numId w:val="3"/>
        </w:numPr>
        <w:spacing w:after="80"/>
      </w:pPr>
      <w:r>
        <w:rPr>
          <w:b/>
          <w:bCs/>
        </w:rPr>
        <w:t xml:space="preserve">Blandede dataår.</w:t>
      </w:r>
      <w:r>
        <w:t xml:space="preserve"> Indikatorerne er fra 2021 til 2026. En kategori kan dermed blande en situation fra før og efter en ændring i kommunen.</w:t>
      </w:r>
    </w:p>
    <w:p>
      <w:pPr>
        <w:pStyle w:val="Body"/>
        <w:numPr>
          <w:ilvl w:val="0"/>
          <w:numId w:val="3"/>
        </w:numPr>
        <w:spacing w:after="80"/>
      </w:pPr>
      <w:r>
        <w:rPr>
          <w:b/>
          <w:bCs/>
        </w:rPr>
        <w:t xml:space="preserve">Input og udfald blandes.</w:t>
      </w:r>
      <w:r>
        <w:t xml:space="preserve"> Kulturudgifter, foreningsstøtte, klassekvotient og normering måler kommunens ressourcer. En kommune kan bruge mange penge med ringe resultat og omvendt.</w:t>
      </w:r>
    </w:p>
    <w:p>
      <w:pPr>
        <w:pStyle w:val="Body"/>
        <w:numPr>
          <w:ilvl w:val="0"/>
          <w:numId w:val="3"/>
        </w:numPr>
        <w:spacing w:after="80"/>
      </w:pPr>
      <w:r>
        <w:rPr>
          <w:b/>
          <w:bCs/>
        </w:rPr>
        <w:t xml:space="preserve">Kategorier med få indikatorer er skrøbelige.</w:t>
      </w:r>
      <w:r>
        <w:t xml:space="preserve"> Demokrati, Tryghed, Lighed, Mobilitet og Klimatilpasning bestemmes halvt af hver indikator, og Bolig og Energi af én. Én ny datakilde eller én fejl kan flytte farven i mange kommuner.</w:t>
      </w:r>
    </w:p>
    <w:p>
      <w:pPr>
        <w:pStyle w:val="Body"/>
        <w:numPr>
          <w:ilvl w:val="0"/>
          <w:numId w:val="3"/>
        </w:numPr>
        <w:spacing w:after="80"/>
      </w:pPr>
      <w:r>
        <w:rPr>
          <w:b/>
          <w:bCs/>
        </w:rPr>
        <w:t xml:space="preserve">Storbygruppen har tre medlemmer.</w:t>
      </w:r>
      <w:r>
        <w:t xml:space="preserve"> Odense, Aarhus og Aalborg sammenlignes i standardvisningen med et gennemsnit af sig selv og to andre.</w:t>
      </w:r>
    </w:p>
    <w:p>
      <w:pPr>
        <w:pStyle w:val="Body"/>
        <w:numPr>
          <w:ilvl w:val="0"/>
          <w:numId w:val="3"/>
        </w:numPr>
        <w:spacing w:after="80"/>
      </w:pPr>
      <w:r>
        <w:rPr>
          <w:b/>
          <w:bCs/>
        </w:rPr>
        <w:t xml:space="preserve">Metoden er ikke eksternt vurderet.</w:t>
      </w:r>
      <w:r>
        <w:t xml:space="preserve"> Platformen er udviklet af en kommune med hjælp fra kunstig intelligens og er ikke fagfællebedømt. Den er heller ikke brugt i praksis endnu, så vi ved ikke, hvordan tallene bliver læst.</w:t>
      </w:r>
    </w:p>
    <w:p>
      <w:pPr>
        <w:pStyle w:val="Heading2"/>
      </w:pPr>
      <w:r>
        <w:t xml:space="preserve">8.5 Hvad vi mener bør ændres</w:t>
      </w:r>
    </w:p>
    <w:p>
      <w:pPr>
        <w:pStyle w:val="Body"/>
      </w:pPr>
      <w:r>
        <w:t xml:space="preserve">Tre ændringer er allerede gennemført på baggrund af testene. Bolig måles nu som trangboethed i stedet for to indikatorer, der udlignede hinanden. Lavindkomst er taget ud af Lighed, fordi den korrelerede 0,87 med børnefattigdom under Velfærd. Og landstallet for de fire indikatorer fra Undervisningsministeriet er nu vægtet med elevtal, så det svarer til Danmark som helhed og ikke til et gennemsnit af kommunerne.</w:t>
      </w:r>
    </w:p>
    <w:p>
      <w:pPr>
        <w:pStyle w:val="Body"/>
      </w:pPr>
      <w:r>
        <w:t xml:space="preserve">To ændringer står tilbage, som vi mener giver mest. Platformen bør vise usikkerhed for de indikatorer, hvor små tal gør forskellene usikre, fx med en markering af kommuner, hvor forskellen til grundlaget ikke er større end den normale variation fra år til år. Og det bør være muligt at se de tre visninger ved siden af hinanden, så læseren ikke kun ser standardvisningen.</w:t>
      </w:r>
    </w:p>
    <w:p>
      <w:pPr>
        <w:pStyle w:val="Heading1"/>
      </w:pPr>
      <w:r>
        <w:t xml:space="preserve">9. Konklusion</w:t>
      </w:r>
    </w:p>
    <w:p>
      <w:pPr>
        <w:pStyle w:val="Body"/>
      </w:pPr>
      <w:r>
        <w:t xml:space="preserve">Den sociale ring i Danmarks 98 Doughnuts måler hver kommune mod danske forhold og som standard mod kommuner af samme type. Det gør ringen brugbar for kommuner, der vil vide, hvor de kan gøre noget, og det har rødder i en lang tradition for at forstå social deprivation relativt. Samtidig betyder det, at ringen ikke kan vise, om Danmark som helhed lever op til et socialt fundament, og at omtrent halvdelen af kommunerne altid vil ligge under 100.</w:t>
      </w:r>
    </w:p>
    <w:p>
      <w:pPr>
        <w:pStyle w:val="Body"/>
      </w:pPr>
      <w:r>
        <w:t xml:space="preserve">Testene viser, at loftet på 150 og de fleste enkeltindikatorer betyder lidt for farverne, mens valget af sammenligningsgrundlag betyder meget. De afslørede to fejl, som er rettet: Bolig udlignede sig selv, og fattigdom talte to gange. Tilbage står, at flere kategorier hænger løst sammen, og at mange farver ligger tæt på en grænse. Platformen bør derfor læses som et udgangspunkt for spørgsmål om den enkelte kommune. Som rangliste er den uegnet.</w:t>
      </w:r>
    </w:p>
    <w:p>
      <w:pPr>
        <w:pStyle w:val="Heading2"/>
      </w:pPr>
      <w:r>
        <w:t xml:space="preserve">Om denne tekst</w:t>
      </w:r>
    </w:p>
    <w:p>
      <w:pPr>
        <w:pStyle w:val="Body"/>
      </w:pPr>
      <w:r>
        <w:t xml:space="preserve">Teksten er skrevet med hjælp fra kunstig intelligens på grundlag af projektets dokumentation og data. Alle tal er beregnet direkte på platformens masterfil ved det angivne tidspunkt, og alle referencer er slået op. Tabeller og figurer kan genskabes med scriptet </w:t>
      </w:r>
      <w:r>
        <w:rPr>
          <w:rFonts w:ascii="Consolas" w:cs="Consolas" w:eastAsia="Consolas" w:hAnsi="Consolas"/>
          <w:sz w:val="19"/>
          <w:szCs w:val="19"/>
        </w:rPr>
        <w:t xml:space="preserve">analyse_artikler.py</w:t>
      </w:r>
      <w:r>
        <w:t xml:space="preserve">, der ligger sammen med artiklen i projektets repository.</w:t>
      </w:r>
    </w:p>
    <w:p>
      <w:pPr>
        <w:pStyle w:val="Heading1"/>
      </w:pPr>
      <w:r>
        <w:t xml:space="preserve">Referencer</w:t>
      </w:r>
    </w:p>
    <w:p>
      <w:pPr>
        <w:pStyle w:val="Ref"/>
      </w:pPr>
      <w:r>
        <w:t xml:space="preserve">Cole, M.J., Bailey, R.M. &amp; New, M.G. (2014). Tracking sustainable development with a national barometer for South Africa using a downscaled "safe and just space" framework. </w:t>
      </w:r>
      <w:r>
        <w:rPr>
          <w:i/>
          <w:iCs/>
        </w:rPr>
        <w:t xml:space="preserve">Proceedings of the National Academy of Sciences</w:t>
      </w:r>
      <w:r>
        <w:t xml:space="preserve">, 111(42), E4399-E4408.</w:t>
      </w:r>
    </w:p>
    <w:p>
      <w:pPr>
        <w:pStyle w:val="Ref"/>
      </w:pPr>
      <w:r>
        <w:t xml:space="preserve">Dearing, J.A., Wang, R., Zhang, K. m.fl. (2014). Safe and just operating spaces for regional social-ecological systems. </w:t>
      </w:r>
      <w:r>
        <w:rPr>
          <w:i/>
          <w:iCs/>
        </w:rPr>
        <w:t xml:space="preserve">Global Environmental Change</w:t>
      </w:r>
      <w:r>
        <w:t xml:space="preserve">, 28, 227-238.</w:t>
      </w:r>
    </w:p>
    <w:p>
      <w:pPr>
        <w:pStyle w:val="Ref"/>
      </w:pPr>
      <w:r>
        <w:t xml:space="preserve">Diamantopoulos, A. &amp; Winklhofer, H.M. (2001). Index construction with formative indicators: An alternative to scale development. </w:t>
      </w:r>
      <w:r>
        <w:rPr>
          <w:i/>
          <w:iCs/>
        </w:rPr>
        <w:t xml:space="preserve">Journal of Marketing Research</w:t>
      </w:r>
      <w:r>
        <w:t xml:space="preserve">, 38(2), 269-277.</w:t>
      </w:r>
    </w:p>
    <w:p>
      <w:pPr>
        <w:pStyle w:val="Ref"/>
      </w:pPr>
      <w:r>
        <w:t xml:space="preserve">Doughnut Economics Action Lab (DEAL), Biomimicry 3.8, C40 Cities &amp; Circle Economy (2020). </w:t>
      </w:r>
      <w:r>
        <w:rPr>
          <w:i/>
          <w:iCs/>
        </w:rPr>
        <w:t xml:space="preserve">Creating City Portraits: A methodological guide from the Thriving Cities Initiative</w:t>
      </w:r>
      <w:r>
        <w:t xml:space="preserve">. Oxford: DEAL.</w:t>
      </w:r>
    </w:p>
    <w:p>
      <w:pPr>
        <w:pStyle w:val="Ref"/>
      </w:pPr>
      <w:r>
        <w:t xml:space="preserve">Fanning, A.L., O'Neill, D.W., Hickel, J. &amp; Roux, N. (2022). The social shortfall and ecological overshoot of nations. </w:t>
      </w:r>
      <w:r>
        <w:rPr>
          <w:i/>
          <w:iCs/>
        </w:rPr>
        <w:t xml:space="preserve">Nature Sustainability</w:t>
      </w:r>
      <w:r>
        <w:t xml:space="preserve">, 5, 26-36.</w:t>
      </w:r>
    </w:p>
    <w:p>
      <w:pPr>
        <w:pStyle w:val="Ref"/>
      </w:pPr>
      <w:r>
        <w:t xml:space="preserve">Fanning, A.L. &amp; Raworth, K. (2025). Doughnut of social and planetary boundaries monitors a world out of balance. </w:t>
      </w:r>
      <w:r>
        <w:rPr>
          <w:i/>
          <w:iCs/>
        </w:rPr>
        <w:t xml:space="preserve">Nature</w:t>
      </w:r>
      <w:r>
        <w:t xml:space="preserve">, 646, 47-56.</w:t>
      </w:r>
    </w:p>
    <w:p>
      <w:pPr>
        <w:pStyle w:val="Ref"/>
      </w:pPr>
      <w:r>
        <w:t xml:space="preserve">Greco, S., Ishizaka, A., Tasiou, M. &amp; Torrisi, G. (2019). On the methodological framework of composite indices: A review of the issues of weighting, aggregation, and robustness. </w:t>
      </w:r>
      <w:r>
        <w:rPr>
          <w:i/>
          <w:iCs/>
        </w:rPr>
        <w:t xml:space="preserve">Social Indicators Research</w:t>
      </w:r>
      <w:r>
        <w:t xml:space="preserve">, 141(1), 61-94.</w:t>
      </w:r>
    </w:p>
    <w:p>
      <w:pPr>
        <w:pStyle w:val="Ref"/>
      </w:pPr>
      <w:r>
        <w:t xml:space="preserve">OECD &amp; Joint Research Centre (2008). </w:t>
      </w:r>
      <w:r>
        <w:rPr>
          <w:i/>
          <w:iCs/>
        </w:rPr>
        <w:t xml:space="preserve">Handbook on Constructing Composite Indicators: Methodology and User Guide</w:t>
      </w:r>
      <w:r>
        <w:t xml:space="preserve">. Paris: OECD Publishing.</w:t>
      </w:r>
    </w:p>
    <w:p>
      <w:pPr>
        <w:pStyle w:val="Ref"/>
      </w:pPr>
      <w:r>
        <w:t xml:space="preserve">O'Neill, D.W., Fanning, A.L., Lamb, W.F. &amp; Steinberger, J.K. (2018). A good life for all within planetary boundaries. </w:t>
      </w:r>
      <w:r>
        <w:rPr>
          <w:i/>
          <w:iCs/>
        </w:rPr>
        <w:t xml:space="preserve">Nature Sustainability</w:t>
      </w:r>
      <w:r>
        <w:t xml:space="preserve">, 1(2), 88-95.</w:t>
      </w:r>
    </w:p>
    <w:p>
      <w:pPr>
        <w:pStyle w:val="Ref"/>
      </w:pPr>
      <w:r>
        <w:t xml:space="preserve">Raworth, K. (2012). </w:t>
      </w:r>
      <w:r>
        <w:rPr>
          <w:i/>
          <w:iCs/>
        </w:rPr>
        <w:t xml:space="preserve">A Safe and Just Space for Humanity: Can We Live within the Doughnut?</w:t>
      </w:r>
      <w:r>
        <w:t xml:space="preserve"> Oxfam Discussion Paper. Oxford: Oxfam.</w:t>
      </w:r>
    </w:p>
    <w:p>
      <w:pPr>
        <w:pStyle w:val="Ref"/>
      </w:pPr>
      <w:r>
        <w:t xml:space="preserve">Raworth, K. (2017). </w:t>
      </w:r>
      <w:r>
        <w:rPr>
          <w:i/>
          <w:iCs/>
        </w:rPr>
        <w:t xml:space="preserve">Doughnut Economics: Seven Ways to Think Like a 21st-Century Economist</w:t>
      </w:r>
      <w:r>
        <w:t xml:space="preserve">. London: Random House Business.</w:t>
      </w:r>
    </w:p>
    <w:p>
      <w:pPr>
        <w:pStyle w:val="Ref"/>
      </w:pPr>
      <w:r>
        <w:t xml:space="preserve">Richardson, K., Steffen, W., Lucht, W. m.fl. (2023). Earth beyond six of nine planetary boundaries. </w:t>
      </w:r>
      <w:r>
        <w:rPr>
          <w:i/>
          <w:iCs/>
        </w:rPr>
        <w:t xml:space="preserve">Science Advances</w:t>
      </w:r>
      <w:r>
        <w:t xml:space="preserve">, 9(37), eadh2458.</w:t>
      </w:r>
    </w:p>
    <w:p>
      <w:pPr>
        <w:pStyle w:val="Ref"/>
      </w:pPr>
      <w:r>
        <w:t xml:space="preserve">Rockström, J., Steffen, W., Noone, K. m.fl. (2009). A safe operating space for humanity. </w:t>
      </w:r>
      <w:r>
        <w:rPr>
          <w:i/>
          <w:iCs/>
        </w:rPr>
        <w:t xml:space="preserve">Nature</w:t>
      </w:r>
      <w:r>
        <w:t xml:space="preserve">, 461, 472-475.</w:t>
      </w:r>
    </w:p>
    <w:p>
      <w:pPr>
        <w:pStyle w:val="Ref"/>
      </w:pPr>
      <w:r>
        <w:t xml:space="preserve">Saisana, M., Saltelli, A. &amp; Tarantola, S. (2005). Uncertainty and sensitivity analysis techniques as tools for the quality assessment of composite indicators. </w:t>
      </w:r>
      <w:r>
        <w:rPr>
          <w:i/>
          <w:iCs/>
        </w:rPr>
        <w:t xml:space="preserve">Journal of the Royal Statistical Society, Series A</w:t>
      </w:r>
      <w:r>
        <w:t xml:space="preserve">, 168(2), 307-323.</w:t>
      </w:r>
    </w:p>
    <w:p>
      <w:pPr>
        <w:pStyle w:val="Ref"/>
      </w:pPr>
      <w:r>
        <w:t xml:space="preserve">Sen, A. (1983). Poor, relatively speaking. </w:t>
      </w:r>
      <w:r>
        <w:rPr>
          <w:i/>
          <w:iCs/>
        </w:rPr>
        <w:t xml:space="preserve">Oxford Economic Papers</w:t>
      </w:r>
      <w:r>
        <w:t xml:space="preserve">, 35(2), 153-169.</w:t>
      </w:r>
    </w:p>
    <w:p>
      <w:pPr>
        <w:pStyle w:val="Ref"/>
      </w:pPr>
      <w:r>
        <w:t xml:space="preserve">Steffen, W., Richardson, K., Rockström, J. m.fl. (2015). Planetary boundaries: Guiding human development on a changing planet. </w:t>
      </w:r>
      <w:r>
        <w:rPr>
          <w:i/>
          <w:iCs/>
        </w:rPr>
        <w:t xml:space="preserve">Science</w:t>
      </w:r>
      <w:r>
        <w:t xml:space="preserve">, 347(6223), 1259855.</w:t>
      </w:r>
    </w:p>
    <w:p>
      <w:pPr>
        <w:pStyle w:val="Ref"/>
      </w:pPr>
      <w:r>
        <w:t xml:space="preserve">Townsend, P. (1979). </w:t>
      </w:r>
      <w:r>
        <w:rPr>
          <w:i/>
          <w:iCs/>
        </w:rPr>
        <w:t xml:space="preserve">Poverty in the United Kingdom: A Survey of Household Resources and Standards of Living</w:t>
      </w:r>
      <w:r>
        <w:t xml:space="preserve">. Harmondsworth: Penguin.</w:t>
      </w:r>
    </w:p>
    <w:p>
      <w:pPr>
        <w:pStyle w:val="Ref"/>
      </w:pPr>
      <w:r>
        <w:t xml:space="preserve">Turner, R. &amp; Wills, J. (2022). Downscaling doughnut economics for sustainability governance. </w:t>
      </w:r>
      <w:r>
        <w:rPr>
          <w:i/>
          <w:iCs/>
        </w:rPr>
        <w:t xml:space="preserve">Current Opinion in Environmental Sustainability</w:t>
      </w:r>
      <w:r>
        <w:t xml:space="preserve">, 56, 101180.</w:t>
      </w:r>
    </w:p>
    <w:p>
      <w:pPr>
        <w:pageBreakBefore/>
      </w:pPr>
    </w:p>
    <w:p>
      <w:pPr>
        <w:pStyle w:val="Heading1"/>
      </w:pPr>
      <w:r>
        <w:t xml:space="preserve">Bilag A. De 48 sociale indikatorer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902"/>
        <w:gridCol w:w="1814"/>
        <w:gridCol w:w="1179"/>
        <w:gridCol w:w="1088"/>
        <w:gridCol w:w="817"/>
      </w:tblGrid>
      <w:tr>
        <w:trPr>
          <w:tblHeader/>
        </w:trPr>
        <w:tc>
          <w:tcPr>
            <w:tcW w:type="dxa" w:w="1270"/>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Kategori</w:t>
            </w:r>
          </w:p>
        </w:tc>
        <w:tc>
          <w:tcPr>
            <w:tcW w:type="dxa" w:w="2902"/>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Indikator</w:t>
            </w:r>
          </w:p>
        </w:tc>
        <w:tc>
          <w:tcPr>
            <w:tcW w:type="dxa" w:w="1814"/>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Kilde</w:t>
            </w:r>
          </w:p>
        </w:tc>
        <w:tc>
          <w:tcPr>
            <w:tcW w:type="dxa" w:w="1179"/>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Retning</w:t>
            </w:r>
          </w:p>
        </w:tc>
        <w:tc>
          <w:tcPr>
            <w:tcW w:type="dxa" w:w="108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Grundlag</w:t>
            </w:r>
          </w:p>
        </w:tc>
        <w:tc>
          <w:tcPr>
            <w:tcW w:type="dxa" w:w="817"/>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Dataår</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Godt selvvurderet helbred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Dårligt mentalt helbred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Middellevetid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HISBK</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Sygehusophold 12+ timer (andel)</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SBR01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Hjemmesygepleje-modtagere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HJEMSYG</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Daglig rygning</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Drikker over 10 genstande om ugen</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 score på kostskalaen</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Svær overvægt (BMI over 30)</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Kompetencegivende uddannelse (30-34 år)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HFUDD11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Mål: 95 %</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Unge 25-29 med kun grundskole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HFUDD11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Karaktergennemsnit, folkeskolens afgangseksamen</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UVM GS/KARA/KARAGNS</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Elever med højt fravær (&gt;10%)</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UVM GS/ELEVFRAV/FRAVAAR</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Forventet ungdomsuddannelseskompetence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UVM GS/PROFMOD/PROFMOD</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2023</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Elevtrivsel i folkeskolen (gennemsnit)</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UVM GS/TRIV/TRIVIND</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Klassekvotient grundskole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KVOTIEN</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Normering daginstitution (3-5 år)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BOERN8</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Uddannelse</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Uddannede pædagoger i daginstitutioner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BOERN1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Disponibel indkomst (median)</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INDKP106 (median)</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Beskæftigelsesfrekvens</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RAS200</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Børnefattigdom (0-17 år)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LABY07</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Udsatte børn og unge (andel 0-22 år)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BU43</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Unge uden for uddannelse/beskæftigelse (NEET)</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NEET3</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Relativ fattigdom (indkomst &lt;60% af median)</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IFOR12P</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Velfærd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Underretninger om børn pr. 1.000 indb. 0-17 år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UND2</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Bolig</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Trangboethed (flere personer end værelser)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BOL103</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Demokrati</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Stemmedeltagelse kommunalvalg</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LABY08</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Demokrati</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Stemmedeltagelse folketingsvalg</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LABY09</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Kultur</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Musikskoleelever pr. 1.000 indb.</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SKOLM02B</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Kultur</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Biblioteksudlån pr. indbygger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BIB3A</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Kultur</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Kommunale kulturudgifter pr. indb. (kr.)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REGK31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Tryghed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Anmeldte forbrydelser pr. 1.000 indb.</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STRAF11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Tryghed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Trafikulykker (tilskadekomne pr. 100.000 indb.)</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UHELDK1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2023-2025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Fællesskab</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Tegn på ensomhed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Fællesskab</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Begrænset social støtte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Sundhedsprofilen 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Fællesskab</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Idrætsmedlemskab (andel af befolkningen)</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IDRAKT02</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Fællesskab</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Tilskuer til sportsbegivenhed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KV2GEO</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Fællesskab</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Udgifter til frivillige foreninger pr. indb. (kr.)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REGK31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Lighed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Gini-koefficient</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IFOR41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Lighed</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Beskæftigelse ikke-vestlige vs. dansk (%)</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RAS200</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Mobilitet</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Gennemsnitlig pendlingsafstand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AFSTB4</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Mobilitet</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God adgang til offentlig transport</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Rejseplanen GTFS + DAR-adresser + Eurostat 2021 (DST's metode)</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Ligestilling</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Kvinder i lederstillinger (%)</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RAS301</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Ligestilling</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Kønsgab i middellevetid (år)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HISBK</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Ligestilling</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Indkomstlighed mænd/kvinder (%)</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INDKP106 (median)</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Højere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Klimatilpasning</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Vejrrelaterede forsikringsskader pr. 1.000 indb.</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F&amp;P skadesstatistik</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2023-2025</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Klimatilpasning</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Forventet årlig skade fra havet i 2070 pr. indb.</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Kystdirektoratet Kystplanlægger</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w:t>
            </w:r>
          </w:p>
        </w:tc>
      </w:tr>
      <w:tr>
        <w:trPr>
          <w:cantSplit/>
        </w:trPr>
        <w:tc>
          <w:tcPr>
            <w:tcW w:type="dxa" w:w="1270"/>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Energi</w:t>
            </w:r>
          </w:p>
        </w:tc>
        <w:tc>
          <w:tcPr>
            <w:tcW w:type="dxa" w:w="290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Fossil opvarmning (inkl. fjernvarme)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BYGB40 + Energistyrelsen EPT</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Lavere er bedre</w:t>
            </w:r>
          </w:p>
        </w:tc>
        <w:tc>
          <w:tcPr>
            <w:tcW w:type="dxa" w:w="108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Mål: 0 % fossil</w:t>
            </w:r>
          </w:p>
        </w:tc>
        <w:tc>
          <w:tcPr>
            <w:tcW w:type="dxa" w:w="817"/>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bl>
    <w:p>
      <w:pPr>
        <w:spacing w:after="240" w:before="80" w:line="260"/>
      </w:pPr>
      <w:r>
        <w:rPr>
          <w:rFonts w:ascii="Arial" w:cs="Arial" w:eastAsia="Arial" w:hAnsi="Arial"/>
          <w:color w:val="595959"/>
          <w:sz w:val="17"/>
          <w:szCs w:val="17"/>
        </w:rPr>
        <w:t xml:space="preserve">Grundlag: "Landstal" er Danmark som helhed, vægtet med indikatorens egen nævner. "Gns. af kommuner" er et uvægtet gennemsnit af kommunerne (fire indikatorer fra Børne- og Undervisningsministeriet). Loftet er 150 for alle, undtagen kystrisiko (100).</w:t>
      </w:r>
    </w:p>
    <w:sectPr>
      <w:headerReference w:type="default" r:id="rId7"/>
      <w:footerReference w:type="default" r:id="rId8"/>
      <w:pgSz w:w="11906" w:h="16838" w:orient="portrait"/>
      <w:pgMar w:top="1418" w:right="1418" w:bottom="1418" w:left="1418"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Side </w:t>
      <w:fldChar w:fldCharType="begin"/>
      <w:instrText xml:space="preserve">PAGE</w:instrText>
      <w:fldChar w:fldCharType="separate"/>
      <w:fldChar w:fldCharType="end"/>
      <w:t xml:space="preserve"> af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Danmarks 98 Doughnuts: den sociale 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abstractNum w:abstractNumId="10" w15:restartNumberingAfterBreak="0">
    <w:multiLevelType w:val="hybridMultilevel"/>
    <w:lvl w:ilvl="0" w15:tentative="1">
      <w:start w:val="1"/>
      <w:numFmt w:val="decimal"/>
      <w:lvlText w:val="%1."/>
      <w:lvlJc w:val="left"/>
      <w:pPr>
        <w:ind w:left="567" w:hanging="340"/>
      </w:pPr>
    </w:lvl>
  </w:abstractNum>
  <w:abstractNum w:abstractNumId="11" w15:restartNumberingAfterBreak="0">
    <w:multiLevelType w:val="hybridMultilevel"/>
    <w:lvl w:ilvl="0" w15:tentative="1">
      <w:start w:val="1"/>
      <w:numFmt w:val="decimal"/>
      <w:lvlText w:val="%1."/>
      <w:lvlJc w:val="left"/>
      <w:pPr>
        <w:ind w:left="567" w:hanging="340"/>
      </w:pPr>
    </w:lvl>
  </w:abstractNum>
  <w:abstractNum w:abstractNumId="12" w15:restartNumberingAfterBreak="0">
    <w:multiLevelType w:val="hybridMultilevel"/>
    <w:lvl w:ilvl="0" w15:tentative="1">
      <w:start w:val="1"/>
      <w:numFmt w:val="decimal"/>
      <w:lvlText w:val="%1."/>
      <w:lvlJc w:val="left"/>
      <w:pPr>
        <w:ind w:left="567" w:hanging="340"/>
      </w:pPr>
    </w:lvl>
  </w:abstractNum>
  <w:abstractNum w:abstractNumId="13" w15:restartNumberingAfterBreak="0">
    <w:multiLevelType w:val="hybridMultilevel"/>
    <w:lvl w:ilvl="0" w15:tentative="1">
      <w:start w:val="1"/>
      <w:numFmt w:val="decimal"/>
      <w:lvlText w:val="%1."/>
      <w:lvlJc w:val="left"/>
      <w:pPr>
        <w:ind w:left="567" w:hanging="340"/>
      </w:pPr>
    </w:lvl>
  </w:abstractNum>
  <w:abstractNum w:abstractNumId="1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spacing w:after="140" w:before="360"/>
      <w:outlineLvl w:val="0"/>
    </w:pPr>
    <w:rPr>
      <w:rFonts w:ascii="Arial" w:cs="Arial" w:eastAsia="Arial" w:hAnsi="Arial"/>
      <w:b/>
      <w:bCs/>
      <w:color w:val="1A1A1A"/>
      <w:sz w:val="28"/>
      <w:szCs w:val="28"/>
    </w:rPr>
  </w:style>
  <w:style w:type="paragraph" w:styleId="Heading2">
    <w:name w:val="Heading 2"/>
    <w:basedOn w:val="Normal"/>
    <w:next w:val="Body"/>
    <w:qFormat/>
    <w:pPr>
      <w:keepNext/>
      <w:spacing w:after="100" w:before="260"/>
      <w:outlineLvl w:val="1"/>
    </w:pPr>
    <w:rPr>
      <w:rFonts w:ascii="Arial" w:cs="Arial" w:eastAsia="Arial" w:hAnsi="Arial"/>
      <w:b/>
      <w:bCs/>
      <w:color w:val="1A1A1A"/>
      <w:sz w:val="23"/>
      <w:szCs w:val="23"/>
    </w:rPr>
  </w:style>
  <w:style w:type="paragraph" w:styleId="Heading3">
    <w:name w:val="Heading 3"/>
    <w:basedOn w:val="Normal"/>
    <w:next w:val="Body"/>
    <w:qFormat/>
    <w:pPr>
      <w:keepNext/>
      <w:spacing w:after="80" w:before="200"/>
      <w:outlineLvl w:val="2"/>
    </w:pPr>
    <w:rPr>
      <w:rFonts w:ascii="Arial" w:cs="Arial" w:eastAsia="Arial" w:hAnsi="Arial"/>
      <w:b/>
      <w:bCs/>
      <w:i w:val="false"/>
      <w:iCs w:val="false"/>
      <w:color w:val="595959"/>
      <w:sz w:val="21"/>
      <w:szCs w:val="21"/>
    </w:rPr>
  </w:style>
  <w:style w:type="paragraph" w:styleId="Body">
    <w:name w:val="Body"/>
    <w:basedOn w:val="Normal"/>
    <w:qFormat/>
    <w:pPr>
      <w:spacing w:after="140" w:line="300"/>
      <w:jc w:val="left"/>
    </w:pPr>
    <w:rPr>
      <w:rFonts w:ascii="Georgia" w:cs="Georgia" w:eastAsia="Georgia" w:hAnsi="Georgia"/>
      <w:sz w:val="21"/>
      <w:szCs w:val="21"/>
    </w:rPr>
  </w:style>
  <w:style w:type="paragraph" w:styleId="Abstract">
    <w:name w:val="Abstract"/>
    <w:basedOn w:val="Normal"/>
    <w:pPr>
      <w:spacing w:after="120" w:line="290"/>
      <w:ind w:left="340" w:right="340"/>
    </w:pPr>
    <w:rPr>
      <w:rFonts w:ascii="Georgia" w:cs="Georgia" w:eastAsia="Georgia" w:hAnsi="Georgia"/>
      <w:color w:val="333333"/>
      <w:sz w:val="20"/>
      <w:szCs w:val="20"/>
    </w:rPr>
  </w:style>
  <w:style w:type="paragraph" w:styleId="Ref">
    <w:name w:val="Reference"/>
    <w:basedOn w:val="Normal"/>
    <w:pPr>
      <w:spacing w:after="90" w:line="270"/>
      <w:ind w:left="400" w:hanging="400"/>
    </w:pPr>
    <w:rPr>
      <w:rFonts w:ascii="Georgia" w:cs="Georgia" w:eastAsia="Georgia" w:hAnsi="Georgi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74965f3eec309c4263655cf1d79f6f62304de2.png"/><Relationship Id="rId10" Type="http://schemas.openxmlformats.org/officeDocument/2006/relationships/image" Target="media/4e67f07ed4869024764c68d62d9b75fc0cdd3b3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 socialt fundament for 98 kommuner</dc:title>
  <dc:creator>Klimateamet, Thisted Kommune</dc:creator>
  <dc:description>Hvordan den sociale ring i Danmarks 98 Doughnuts er bygget, hvorfor den er bygget sådan, og hvor den er svag</dc:description>
  <cp:lastModifiedBy>Un-named</cp:lastModifiedBy>
  <cp:revision>1</cp:revision>
  <dcterms:created xsi:type="dcterms:W3CDTF">2026-09-26T07:38:18.157Z</dcterms:created>
  <dcterms:modified xsi:type="dcterms:W3CDTF">2026-09-26T07:38:18.158Z</dcterms:modified>
</cp:coreProperties>
</file>

<file path=docProps/custom.xml><?xml version="1.0" encoding="utf-8"?>
<Properties xmlns="http://schemas.openxmlformats.org/officeDocument/2006/custom-properties" xmlns:vt="http://schemas.openxmlformats.org/officeDocument/2006/docPropsVTypes"/>
</file>