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color w:val="595959"/>
          <w:sz w:val="18"/>
          <w:szCs w:val="18"/>
        </w:rPr>
        <w:t xml:space="preserve">Danmarks 98 Doughnuts · Metodeartikel 2: Den økologiske ring</w:t>
      </w:r>
    </w:p>
    <w:p>
      <w:pPr>
        <w:spacing w:after="160" w:line="360"/>
      </w:pPr>
      <w:r>
        <w:rPr>
          <w:rFonts w:ascii="Arial" w:cs="Arial" w:eastAsia="Arial" w:hAnsi="Arial"/>
          <w:b/>
          <w:bCs/>
          <w:color w:val="1A1A1A"/>
          <w:sz w:val="36"/>
          <w:szCs w:val="36"/>
        </w:rPr>
        <w:t xml:space="preserve">Et økologisk loft for 98 kommuner</w:t>
      </w:r>
    </w:p>
    <w:p>
      <w:pPr>
        <w:spacing w:after="240" w:line="300"/>
      </w:pPr>
      <w:r>
        <w:rPr>
          <w:rFonts w:ascii="Arial" w:cs="Arial" w:eastAsia="Arial" w:hAnsi="Arial"/>
          <w:color w:val="595959"/>
          <w:sz w:val="24"/>
          <w:szCs w:val="24"/>
        </w:rPr>
        <w:t xml:space="preserve">Hvordan planetens grænser er regnet ned på danske kommuner i Danmarks 98 Doughnuts, og hvor det ikke kan lade sig gøre</w:t>
      </w:r>
    </w:p>
    <w:p>
      <w:pPr>
        <w:spacing w:after="40"/>
      </w:pPr>
      <w:r>
        <w:rPr>
          <w:rFonts w:ascii="Arial" w:cs="Arial" w:eastAsia="Arial" w:hAnsi="Arial"/>
          <w:color w:val="595959"/>
          <w:sz w:val="17"/>
          <w:szCs w:val="17"/>
        </w:rPr>
        <w:t xml:space="preserve">Arbejdspapir, version 1.0, september 2026</w:t>
      </w:r>
    </w:p>
    <w:p>
      <w:pPr>
        <w:spacing w:after="40"/>
      </w:pPr>
      <w:r>
        <w:rPr>
          <w:rFonts w:ascii="Arial" w:cs="Arial" w:eastAsia="Arial" w:hAnsi="Arial"/>
          <w:color w:val="595959"/>
          <w:sz w:val="17"/>
          <w:szCs w:val="17"/>
        </w:rPr>
        <w:t xml:space="preserve">Forfattere: [tilføjes]</w:t>
      </w:r>
    </w:p>
    <w:p>
      <w:pPr>
        <w:spacing w:after="40"/>
      </w:pPr>
      <w:r>
        <w:rPr>
          <w:rFonts w:ascii="Arial" w:cs="Arial" w:eastAsia="Arial" w:hAnsi="Arial"/>
          <w:color w:val="595959"/>
          <w:sz w:val="17"/>
          <w:szCs w:val="17"/>
        </w:rPr>
        <w:t xml:space="preserve">Klimateamet, Thisted Kommune. Platformen er udviklet under EU-projektet LIFE ACT.</w:t>
      </w:r>
    </w:p>
    <w:p>
      <w:pPr>
        <w:spacing w:after="40"/>
      </w:pPr>
      <w:r>
        <w:rPr>
          <w:rFonts w:ascii="Arial" w:cs="Arial" w:eastAsia="Arial" w:hAnsi="Arial"/>
          <w:color w:val="595959"/>
          <w:sz w:val="17"/>
          <w:szCs w:val="17"/>
        </w:rPr>
        <w:t xml:space="preserve">Datagrundlag: platformens datafiler ved commit 80a914c i projektets repository (25. september 2026).</w:t>
      </w:r>
    </w:p>
    <w:p>
      <w:pPr>
        <w:pBdr>
          <w:bottom w:val="single" w:color="BFBFBF" w:sz="6" w:space="8"/>
        </w:pBdr>
        <w:spacing w:after="240"/>
      </w:pPr>
    </w:p>
    <w:p>
      <w:pPr>
        <w:spacing w:after="80"/>
      </w:pPr>
      <w:r>
        <w:rPr>
          <w:rFonts w:ascii="Arial" w:cs="Arial" w:eastAsia="Arial" w:hAnsi="Arial"/>
          <w:b/>
          <w:bCs/>
          <w:sz w:val="20"/>
          <w:szCs w:val="20"/>
        </w:rPr>
        <w:t xml:space="preserve">Resumé</w:t>
      </w:r>
    </w:p>
    <w:p>
      <w:pPr>
        <w:pStyle w:val="Abstract"/>
      </w:pPr>
      <w:r>
        <w:t xml:space="preserve">Den økologiske ring i Danmarks 98 Doughnuts måler hver kommune mod et loft på syv områder: klima, forurening, luftkvalitet, næringsstoffer, vand, arealanvendelse og biodiversitet. De planetære grænser er globale, og kun nogle af dem kan give mening for en enkelt kommune. Platformen bruger derfor en rangorden. Hvor der findes en biofysisk grænse, som kan regnes ned på kommunen, bruges den (kvælstof til kystvandene, kvælstofnedfald og grundvandsressourcen). Hvor der ikke gør, bruges et fastsat mål (WHO's retningslinjer for luftkvalitet, EU's mål for natur og genanvendelse, 2,5 ton CO2e pr. person). Kun hvor ingen af delene kan bruges pr. kommune, måles der mod landsgennemsnittet. 11 af de 15 indikatorer har en fast grænse.</w:t>
      </w:r>
    </w:p>
    <w:p>
      <w:pPr>
        <w:pStyle w:val="Abstract"/>
      </w:pPr>
      <w:r>
        <w:t xml:space="preserve">Flere indikatorer for samme grænse lægges sammen efter princippet om den værste (worst-of), som også bruges i EU's vandrammedirektiv. Med data fra september 2026 overskrider alle 98 kommuner mindst fire af de syv dimensioner, og klima, luftkvalitet og næringsstoffer er overskredet i alle kommuner. Vores test viser, at worst-of-reglen og grænsernes placering betyder meget for nogle dimensioner og næsten intet for andre, og at tre dimensioner i praksis afgøres af én indikator. Metodens største svagheder er, at det forbrugsbaserede klimaaftryk bygger på et mønster fra 2011, at flere indikatorer beskriver det sted, kommunen ligger, mere end det, kommunen selv gør, og at en grøn dimension målt mod landsgennemsnittet ikke betyder, at kommunen er inden for planetens grænser.</w:t>
      </w:r>
    </w:p>
    <w:p>
      <w:pPr>
        <w:pStyle w:val="Abstract"/>
        <w:spacing w:after="320"/>
      </w:pPr>
      <w:r>
        <w:rPr>
          <w:b/>
          <w:bCs/>
        </w:rPr>
        <w:t xml:space="preserve">Nøgleord:</w:t>
      </w:r>
      <w:r>
        <w:t xml:space="preserve"> Doughnut-økonomi, planetære grænser, nedskalering, kommuner, økologisk loft, Danmark</w:t>
      </w:r>
    </w:p>
    <w:p>
      <w:pPr>
        <w:pStyle w:val="Heading1"/>
      </w:pPr>
      <w:r>
        <w:t xml:space="preserve">1. Hvorfor denne artikel</w:t>
      </w:r>
    </w:p>
    <w:p>
      <w:pPr>
        <w:pStyle w:val="Body"/>
      </w:pPr>
      <w:r>
        <w:t xml:space="preserve">De planetære grænser er ni processer, som holder Jordens klima og økosystemer stabile, med en grænse for hver, som menneskeheden ikke bør overskride (Rockström m.fl. 2009; Steffen m.fl. 2015). Den seneste opgørelse fandt, at seks af de ni er overskredet (Richardson m.fl. 2023). I Kate Raworths Doughnut-model er grænserne det økologiske loft, som samfundet skal holde sig under (Raworth 2017).</w:t>
      </w:r>
    </w:p>
    <w:p>
      <w:pPr>
        <w:pStyle w:val="Body"/>
      </w:pPr>
      <w:r>
        <w:t xml:space="preserve">Grænserne er sat for hele planeten, mens beslutningerne træffes i lande, kommuner og virksomheder. Derfor findes der en stor litteratur om, hvordan de kan regnes ned. Häyhä m.fl. (2016) skelner mellem tre sider af den opgave: den biofysiske (hvor virker presset), den socioøkonomiske (hvem skaber det) og den etiske (hvem har ret til hvor meget). Ryberg m.fl. (2020) og Hjalsted m.fl. (2021) gennemgår de fordelingsprincipper, der er brugt, fx lige andel pr. person. Grænserne er regnet ned for lande (Dao m.fl. 2018; O'Neill m.fl. 2018; Fanning m.fl. 2022), for Danmark (Lind m.fl. 2025) og for byer og virksomheder (Bai m.fl. 2024).</w:t>
      </w:r>
    </w:p>
    <w:p>
      <w:pPr>
        <w:pStyle w:val="Body"/>
      </w:pPr>
      <w:r>
        <w:t xml:space="preserve">For en dansk kommune er opgaven særlig svær. Klimagrænsen er global og kan fordeles pr. person. Grænserne for vand og kvælstof er derimod lokale: det betyder noget, hvilket grundvandsmagasin eller hvilken fjord presset rammer. Og for flere grænser findes der simpelthen ikke data pr. kommune.</w:t>
      </w:r>
    </w:p>
    <w:p>
      <w:pPr>
        <w:pStyle w:val="Body"/>
      </w:pPr>
      <w:r>
        <w:t xml:space="preserve">Denne artikel gennemgår, hvordan Danmarks 98 Doughnuts har løst opgaven, hvorfor, og hvor løsningen er svag. Den er skrevet til læsere, der vil forstå tallene, før de bruger dem, og den er et supplement til artiklen om den sociale ring, hvor platformen og dens datagrundlag er beskrevet nærmere. Artiklen handler om metoden. Resultaterne for de enkelte kommuner kan ses på platformen, og kommunenavne bruges her kun som eksempler.</w:t>
      </w:r>
    </w:p>
    <w:p>
      <w:pPr>
        <w:pStyle w:val="Heading1"/>
      </w:pPr>
      <w:r>
        <w:t xml:space="preserve">2. Platformen kort</w:t>
      </w:r>
    </w:p>
    <w:p>
      <w:pPr>
        <w:pStyle w:val="Body"/>
      </w:pPr>
      <w:r>
        <w:t xml:space="preserve">Platformen viser en doughnut for hver af de 98 danske kommuner. Den sociale ring har 13 kategorier og 50 indikatorer. Den økologiske ring har 7 dimensioner og 15 indikatorer. Alle data er offentlige. Et script pr. kilde henter tallene, et byggetrin samler dem i én masterfil, og hjemmesiden læser kun masterfilen. Hver indikators grænse, retning og dimension står i et register (</w:t>
      </w:r>
      <w:r>
        <w:rPr>
          <w:rFonts w:ascii="Consolas" w:cs="Consolas" w:eastAsia="Consolas" w:hAnsi="Consolas"/>
          <w:sz w:val="19"/>
          <w:szCs w:val="19"/>
        </w:rPr>
        <w:t xml:space="preserve">data/indikatorer.json</w:t>
      </w:r>
      <w:r>
        <w:t xml:space="preserve">), som både beregningen og hjemmesiden læser. Hjemmesiden nægter at bygge, hvis en score ikke kan genberegnes ud fra råværdi og grænse.</w:t>
      </w:r>
    </w:p>
    <w:p>
      <w:pPr>
        <w:pStyle w:val="Body"/>
      </w:pPr>
      <w:r>
        <w:t xml:space="preserve">Alle tal i artiklen er beregnet på platformens datafiler, som de så ud 25. september 2026. Tabeller og figurer kan genskabes med det script, der ligger sammen med artiklen.</w:t>
      </w:r>
    </w:p>
    <w:p>
      <w:pPr>
        <w:pStyle w:val="Heading1"/>
      </w:pPr>
      <w:r>
        <w:t xml:space="preserve">3. Syv dimensioner</w:t>
      </w:r>
    </w:p>
    <w:p>
      <w:pPr>
        <w:pStyle w:val="Heading2"/>
      </w:pPr>
      <w:r>
        <w:t xml:space="preserve">3.1 Én grænse, én dimension</w:t>
      </w:r>
    </w:p>
    <w:p>
      <w:pPr>
        <w:pStyle w:val="Body"/>
      </w:pPr>
      <w:r>
        <w:t xml:space="preserve">Platformen følger et enkelt princip: hver planetær grænse er én dimension. Findes der flere måder at måle den samme grænse på, bliver de til indikatorer under samme dimension. Territoriale og forbrugsbaserede udledninger er derfor to indikatorer under Klimapåvirkning, ikke to dimensioner. Tabel 1 viser, hvordan dimensionerne passer til de ni grænser hos Richardson m.fl. (2023). Koblingen er vores egen.</w:t>
      </w:r>
    </w:p>
    <w:p>
      <w:pPr>
        <w:keepNext/>
        <w:spacing w:after="80" w:before="200"/>
      </w:pPr>
      <w:r>
        <w:rPr>
          <w:rFonts w:ascii="Arial" w:cs="Arial" w:eastAsia="Arial" w:hAnsi="Arial"/>
          <w:b/>
          <w:bCs/>
          <w:color w:val="1A1A1A"/>
          <w:sz w:val="18"/>
          <w:szCs w:val="18"/>
        </w:rPr>
        <w:t xml:space="preserve">Tabel 1. Dimensionerne og de planetære grænser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42"/>
        <w:gridCol w:w="1995"/>
        <w:gridCol w:w="3719"/>
        <w:gridCol w:w="1814"/>
      </w:tblGrid>
      <w:tr>
        <w:trPr>
          <w:tblHeader/>
        </w:trPr>
        <w:tc>
          <w:tcPr>
            <w:tcW w:type="dxa" w:w="1542"/>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Dimension</w:t>
            </w:r>
          </w:p>
        </w:tc>
        <w:tc>
          <w:tcPr>
            <w:tcW w:type="dxa" w:w="1995"/>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Planetær grænse</w:t>
            </w:r>
          </w:p>
        </w:tc>
        <w:tc>
          <w:tcPr>
            <w:tcW w:type="dxa" w:w="3719"/>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Indikatorer</w:t>
            </w:r>
          </w:p>
        </w:tc>
        <w:tc>
          <w:tcPr>
            <w:tcW w:type="dxa" w:w="1814"/>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Sammenlægning</w:t>
            </w:r>
          </w:p>
        </w:tc>
      </w:tr>
      <w:tr>
        <w:trPr>
          <w:cantSplit/>
        </w:trPr>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Klimapåvirkning</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Klimaforandringer</w:t>
            </w:r>
          </w:p>
        </w:tc>
        <w:tc>
          <w:tcPr>
            <w:tcW w:type="dxa" w:w="371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Territoriale udledninger pr. indbygger; forbrugsbaseret aftryk pr. indbygger</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Den værste</w:t>
            </w:r>
          </w:p>
        </w:tc>
      </w:tr>
      <w:tr>
        <w:trPr>
          <w:cantSplit/>
        </w:trPr>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Forurening</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Nye stoffer (delvist)</w:t>
            </w:r>
          </w:p>
        </w:tc>
        <w:tc>
          <w:tcPr>
            <w:tcW w:type="dxa" w:w="371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Pesticidfund ved vandværker; nitrat i drikkevand; genanvendelse; husholdningsaffald</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Gennemsnit</w:t>
            </w:r>
          </w:p>
        </w:tc>
      </w:tr>
      <w:tr>
        <w:trPr>
          <w:cantSplit/>
        </w:trPr>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Luftkvalitet</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Aerosoler (delvist)</w:t>
            </w:r>
          </w:p>
        </w:tc>
        <w:tc>
          <w:tcPr>
            <w:tcW w:type="dxa" w:w="371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NO2 og PM2.5 i den luft, borgerne bor i</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Den værste</w:t>
            </w:r>
          </w:p>
        </w:tc>
      </w:tr>
      <w:tr>
        <w:trPr>
          <w:cantSplit/>
        </w:trPr>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Næringsstoffer</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Biogeokemiske strømme (kvælstof)</w:t>
            </w:r>
          </w:p>
        </w:tc>
        <w:tc>
          <w:tcPr>
            <w:tcW w:type="dxa" w:w="371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Kvælstof til kystvandene; kvælstofnedfald; vandområder i god tilstand</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Den værste</w:t>
            </w:r>
          </w:p>
        </w:tc>
      </w:tr>
      <w:tr>
        <w:trPr>
          <w:cantSplit/>
        </w:trPr>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Vand</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Ferskvand</w:t>
            </w:r>
          </w:p>
        </w:tc>
        <w:tc>
          <w:tcPr>
            <w:tcW w:type="dxa" w:w="371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Grundvandsindvinding i forhold til den bæredygtige ressource</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Én indikator</w:t>
            </w:r>
          </w:p>
        </w:tc>
      </w:tr>
      <w:tr>
        <w:trPr>
          <w:cantSplit/>
        </w:trPr>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Arealanvendelse</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Arealsystemet</w:t>
            </w:r>
          </w:p>
        </w:tc>
        <w:tc>
          <w:tcPr>
            <w:tcW w:type="dxa" w:w="371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Andel af landarealet, der er landbrug eller befæstet</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Én indikator</w:t>
            </w:r>
          </w:p>
        </w:tc>
      </w:tr>
      <w:tr>
        <w:trPr>
          <w:cantSplit/>
        </w:trPr>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Biodiversitet</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Biosfærens integritet</w:t>
            </w:r>
          </w:p>
        </w:tc>
        <w:tc>
          <w:tcPr>
            <w:tcW w:type="dxa" w:w="371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Andel med væsentlig og uerstattelig naturværdi (DCE's bioscore)</w:t>
            </w:r>
          </w:p>
        </w:tc>
        <w:tc>
          <w:tcPr>
            <w:tcW w:type="dxa" w:w="1814"/>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Den værste</w:t>
            </w:r>
          </w:p>
        </w:tc>
      </w:tr>
    </w:tbl>
    <w:p>
      <w:pPr>
        <w:spacing w:after="240" w:before="80" w:line="260"/>
      </w:pPr>
      <w:r>
        <w:rPr>
          <w:rFonts w:ascii="Arial" w:cs="Arial" w:eastAsia="Arial" w:hAnsi="Arial"/>
          <w:color w:val="595959"/>
          <w:sz w:val="17"/>
          <w:szCs w:val="17"/>
        </w:rPr>
        <w:t xml:space="preserve">Ozonlaget og havforsuring har ingen dimension, fordi de ikke giver mening pr. kommune. Affald og genanvendelse under Forurening dækker materialekredsløb, som ikke er en selvstændig grænse hos Richardson m.fl. (2023).</w:t>
      </w:r>
    </w:p>
    <w:p>
      <w:pPr>
        <w:pStyle w:val="Heading2"/>
      </w:pPr>
      <w:r>
        <w:t xml:space="preserve">3.2 Data og dækning</w:t>
      </w:r>
    </w:p>
    <w:p>
      <w:pPr>
        <w:pStyle w:val="Body"/>
      </w:pPr>
      <w:r>
        <w:t xml:space="preserve">Af de 1.470 mulige værdier (15 indikatorer gange 98 kommuner) findes 1.460. Pesticider og nitrat mangler for København, Brøndby, Dragør og Herlev, som ikke har aktive almene vandværker med en nyere analyse. Vand mangler for Samsø og Læsø, som ligger uden for den nationale grundvandsmodel. Vi gætter ikke på manglende tal.</w:t>
      </w:r>
    </w:p>
    <w:p>
      <w:pPr>
        <w:pStyle w:val="Body"/>
      </w:pPr>
      <w:r>
        <w:t xml:space="preserve">Datagrundlaget er af meget forskellig alder. Grundvandsanalyserne er fra 2026, luftkvaliteten fra 2024 og de territoriale udledninger fra 2023. Kvælstofbelastningen af kystvandene er opgjort for 2017-2021, biodiversitetskortet er fra 2021, og det forbrugsbaserede klimaaftryk bygger på et mønster fra 2011, som er skaleret op til 2024 (afsnit 5.1).</w:t>
      </w:r>
    </w:p>
    <w:p>
      <w:pPr>
        <w:pStyle w:val="Heading1"/>
      </w:pPr>
      <w:r>
        <w:t xml:space="preserve">4. Fra råtal til score</w:t>
      </w:r>
    </w:p>
    <w:p>
      <w:pPr>
        <w:pStyle w:val="Body"/>
      </w:pPr>
      <w:r>
        <w:t xml:space="preserve">Alle økologiske indikatorer regnes om til en score, hvor 0 er ingen belastning, og 100 er grænsen:</w:t>
      </w:r>
    </w:p>
    <w:p>
      <w:pPr>
        <w:spacing w:after="160" w:before="120"/>
        <w:jc w:val="center"/>
      </w:pPr>
      <w:r>
        <w:rPr>
          <w:rFonts w:ascii="Cambria Math" w:cs="Cambria Math" w:eastAsia="Cambria Math" w:hAnsi="Cambria Math"/>
          <w:sz w:val="21"/>
          <w:szCs w:val="21"/>
        </w:rPr>
        <w:t xml:space="preserve">score = kommunens værdi / grænse × 100</w:t>
      </w:r>
    </w:p>
    <w:p>
      <w:pPr>
        <w:pStyle w:val="Body"/>
      </w:pPr>
      <w:r>
        <w:t xml:space="preserve">Over 100 betyder, at grænsen er overskredet. Det er samme normalisering som i de internationale opgørelser (O'Neill m.fl. 2018; Fanning m.fl. 2022). Farverne er spejlvendt i forhold til den sociale ring: 85 eller derunder er grøn, over 85 til 100 er gul, og over 100 er rød.</w:t>
      </w:r>
    </w:p>
    <w:p>
      <w:pPr>
        <w:pStyle w:val="Body"/>
      </w:pPr>
      <w:r>
        <w:t xml:space="preserve">For andele, hvor et højt tal er godt (natur, genanvendelse, vandområder i god tilstand), regnes der på den del, der mangler. Målet om mindst 30 procent natur er det samme som højst 70 procent uden natur:</w:t>
      </w:r>
    </w:p>
    <w:p>
      <w:pPr>
        <w:spacing w:after="160" w:before="120"/>
        <w:jc w:val="center"/>
      </w:pPr>
      <w:r>
        <w:rPr>
          <w:rFonts w:ascii="Cambria Math" w:cs="Cambria Math" w:eastAsia="Cambria Math" w:hAnsi="Cambria Math"/>
          <w:sz w:val="21"/>
          <w:szCs w:val="21"/>
        </w:rPr>
        <w:t xml:space="preserve">score = (100 − andel) / (100 − mål) × 100</w:t>
      </w:r>
    </w:p>
    <w:p>
      <w:pPr>
        <w:pStyle w:val="Body"/>
      </w:pPr>
      <w:r>
        <w:t xml:space="preserve">En kommune uden natur får dermed 143 på målet om 30 procent. Indtil september 2026 brugte platformen i stedet mål divideret med andel. Den brøk vokser uden grænse, når andelen nærmer sig nul, og måtte klippes ved 300, som over halvdelen af kommunerne ramte på biodiversitet. Med den nuværende formel har ingen økologisk indikator brug for et loft.</w:t>
      </w:r>
    </w:p>
    <w:p>
      <w:pPr>
        <w:pStyle w:val="Body"/>
      </w:pPr>
      <w:r>
        <w:t xml:space="preserve">De økologiske scorer ændrer sig aldrig, når brugeren skifter sammenligningsgrundlag i den sociale ring. Planeten har ét budget. At give en landkommune grønt lys for kvælstof, fordi det er normalt for landkommuner, ville skjule netop den overskridelse, loftet skal vise.</w:t>
      </w:r>
    </w:p>
    <w:p>
      <w:pPr>
        <w:pStyle w:val="Heading1"/>
      </w:pPr>
      <w:r>
        <w:t xml:space="preserve">5. Grænserne, dimension for dimension</w:t>
      </w:r>
    </w:p>
    <w:p>
      <w:pPr>
        <w:pStyle w:val="Body"/>
      </w:pPr>
      <w:r>
        <w:t xml:space="preserve">Platformen vælger grænse efter en fast rækkefølge. Findes der en biofysisk grænse, som kan regnes ned på kommunen, bruges den. Findes der ikke det, bruges en vedtaget eller anbefalet grænse, fx fra WHO eller EU. Findes ingen af delene pr. kommune, bruges landsgennemsnittet, og dimensionen mærkes, så brugeren kan se det. Tabel 2 viser resultatet.</w:t>
      </w:r>
    </w:p>
    <w:p>
      <w:pPr>
        <w:keepNext/>
        <w:spacing w:after="80" w:before="200"/>
      </w:pPr>
      <w:r>
        <w:rPr>
          <w:rFonts w:ascii="Arial" w:cs="Arial" w:eastAsia="Arial" w:hAnsi="Arial"/>
          <w:b/>
          <w:bCs/>
          <w:color w:val="1A1A1A"/>
          <w:sz w:val="18"/>
          <w:szCs w:val="18"/>
        </w:rPr>
        <w:t xml:space="preserve">Tabel 2. Grænser og fordelingsprincipper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2721"/>
        <w:gridCol w:w="1995"/>
        <w:gridCol w:w="1996"/>
      </w:tblGrid>
      <w:tr>
        <w:trPr>
          <w:tblHeader/>
        </w:trPr>
        <w:tc>
          <w:tcPr>
            <w:tcW w:type="dxa" w:w="2358"/>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Indikator</w:t>
            </w:r>
          </w:p>
        </w:tc>
        <w:tc>
          <w:tcPr>
            <w:tcW w:type="dxa" w:w="2721"/>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Grænse</w:t>
            </w:r>
          </w:p>
        </w:tc>
        <w:tc>
          <w:tcPr>
            <w:tcW w:type="dxa" w:w="1995"/>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Type</w:t>
            </w:r>
          </w:p>
        </w:tc>
        <w:tc>
          <w:tcPr>
            <w:tcW w:type="dxa" w:w="1996"/>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Hvordan grænsen når kommunen</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Territoriale udledninger</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2,5 ton CO2e pr. person</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Mål (1,5 grader)</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Lige andel pr. person</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Forbrugsbaseret aftryk</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2,5 ton CO2e pr. person</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Mål (1,5 grader)</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Lige andel pr. person</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NO2</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10 µg/m³</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WHO-retningslinje</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Eksponering, hvor borgerne bor</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PM2.5</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5 µg/m³</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WHO-retningslinje</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Eksponering, hvor borgerne bor</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Kvælstof til kystvande</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Målbelastningen (100 %)</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Biofysisk, nedskaleret</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Vandopland</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Kvælstofnedfald</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10 kg N/ha/år</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Biofysisk (tålegrænse)</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Pr. hektar</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Vandområder i god tilstand</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Landets andel</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Landsgennemsnit</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(ingen)</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Grundvandsindvinding</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Kommunens andel af ressourcen</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Biofysisk, nedskaleret</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Efter grundvandsdannelse</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Antropiseret areal</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Danmark samlet (70,4 %)</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Landsgennemsnit</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(ingen)</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Væsentlig naturværdi</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30 % af arealet</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Politisk mål (EU)</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Samme andel for alle</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Uerstattelig naturværdi</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10 % af arealet</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Politisk mål (EU)</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Samme andel for alle</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Pesticidfund</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Landets andel (30,5 %)</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Landsgennemsnit</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(ingen)</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Nitrat i drikkevand</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6 mg/L</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Anbefalet grænse</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Samme grænse for alle</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Genanvendelse</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65 %</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Politisk mål (EU)</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Samme andel for alle</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Husholdningsaffald</w:t>
            </w:r>
          </w:p>
        </w:tc>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Landets niveau</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Landsgennemsnit</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(ingen)</w:t>
            </w:r>
          </w:p>
        </w:tc>
      </w:tr>
    </w:tbl>
    <w:p>
      <w:pPr>
        <w:spacing w:after="160"/>
      </w:pPr>
    </w:p>
    <w:p>
      <w:pPr>
        <w:pStyle w:val="Heading2"/>
      </w:pPr>
      <w:r>
        <w:t xml:space="preserve">5.1 Klimapåvirkning</w:t>
      </w:r>
    </w:p>
    <w:p>
      <w:pPr>
        <w:pStyle w:val="Body"/>
      </w:pPr>
      <w:r>
        <w:t xml:space="preserve">Dimensionen har to indikatorer. De territoriale udledninger er det, der udledes inden for kommunens grænser, opgjort af Klimaregnskabet.dk. Det forbrugsbaserede aftryk er borgernes samlede udledninger, også dem, der sker i andre lande ved produktion af de varer, danskerne køber. Begge måles mod 2,5 ton CO2e pr. person, som er det niveau, Hot or Cool Institute (2021) angiver for 2030 i et forløb, der holder opvarmningen på 1,5 grader. Grænsen fordeles som lige andel pr. person.</w:t>
      </w:r>
    </w:p>
    <w:p>
      <w:pPr>
        <w:pStyle w:val="Body"/>
      </w:pPr>
      <w:r>
        <w:t xml:space="preserve">Der findes ingen opgørelse af det forbrugsbaserede aftryk pr. kommune efter 2011. Platformen bruger derfor Osei-Owusu m.fl. (2020), som har beregnet det for alle kommuner i 2011, og skalerer alle kommuner med den samme faktor, nemlig udviklingen i Energistyrelsens nationale tal pr. indbygger fra 2011 til 2024 (faktor 0,7226). Forskellene mellem kommunerne er derfor forskellene fra 2011.</w:t>
      </w:r>
    </w:p>
    <w:p>
      <w:pPr>
        <w:pStyle w:val="Body"/>
      </w:pPr>
      <w:r>
        <w:t xml:space="preserve">Målet på 2,5 ton er udledt for husholdningernes forbrug. Det forbrugsbaserede tal på platformen omfatter også offentligt forbrug og investeringer, og det territoriale tal omfatter også produktion til eksport. Grænsen er derfor et fælles niveau pr. person og ikke et præcist budget for hver af de to opgørelser.</w:t>
      </w:r>
    </w:p>
    <w:p>
      <w:pPr>
        <w:pStyle w:val="Heading2"/>
      </w:pPr>
      <w:r>
        <w:t xml:space="preserve">5.2 Luftkvalitet</w:t>
      </w:r>
    </w:p>
    <w:p>
      <w:pPr>
        <w:pStyle w:val="Body"/>
      </w:pPr>
      <w:r>
        <w:t xml:space="preserve">Den planetære grænse for aerosoler handler om partiklernes påvirkning af klimasystemet på regional skala (Richardson m.fl. 2023). Den kan ikke meningsfuldt gøres op for en kommune. Platformen måler i stedet luftforurening som en belastning af borgernes sundhed og bruger WHO's retningslinjer fra 2021: 10 µg/m³ for NO2 og 5 µg/m³ for PM2.5 som årsgennemsnit (WHO 2021). WHO's retningslinjer er valgt frem for EU's grænseværdier, fordi de bygger direkte på sundhedseffekterne.</w:t>
      </w:r>
    </w:p>
    <w:p>
      <w:pPr>
        <w:pStyle w:val="Body"/>
      </w:pPr>
      <w:r>
        <w:t xml:space="preserve">Koncentrationerne kommer fra DCE's luftmodel i et net af 1×1 km. Kommunens tal er vægtet efter, hvor mange der bor i hver celle, så det beskriver den luft, borgerne faktisk bor i.</w:t>
      </w:r>
    </w:p>
    <w:p>
      <w:pPr>
        <w:pStyle w:val="Heading2"/>
      </w:pPr>
      <w:r>
        <w:t xml:space="preserve">5.3 Næringsstoffer</w:t>
      </w:r>
    </w:p>
    <w:p>
      <w:pPr>
        <w:pStyle w:val="Body"/>
      </w:pPr>
      <w:r>
        <w:t xml:space="preserve">Her findes det tydeligste eksempel på en biofysisk grænse, der kan regnes ned på en kommune. Vandområdeplanerne fastsætter for hvert kystvand en målbelastning: den mængde kvælstof, kystvandet kan tåle og stadig nå god økologisk tilstand. For hele landet er målbelastningen 37.900 ton kvælstof om året, mens den faktiske belastning er ca. 55.800 ton (Lind m.fl. 2025). Platformen henter tallene for hvert kystvand fra bilag 1.1 i vandområdeplanerne efter genbesøget (Styrelsen for Grøn Arealomlægning og Vandmiljø 2026) og kobler dem til kommunerne via de oplande, der afvander til hvert kystvand.</w:t>
      </w:r>
    </w:p>
    <w:p>
      <w:pPr>
        <w:pStyle w:val="Body"/>
      </w:pPr>
      <w:r>
        <w:t xml:space="preserve">Et areal afvander til sit eget kystvand og videre til de kystvande, der ligger længere ude. Platformen giver arealet den højeste overskridelse i den kæde og tager et gennemsnit over kommunens areal. Uden kæden ville Thisted ligge på ca. 177 i stedet for 203. Kystvandene længere inde i Limfjorden, fx Løgstør Bredning, får kvælstof fra hele oplandet opstrøms, også fra Thy, og deres overskridelse er større end Thisted Bredning.</w:t>
      </w:r>
    </w:p>
    <w:p>
      <w:pPr>
        <w:pStyle w:val="Body"/>
      </w:pPr>
      <w:r>
        <w:t xml:space="preserve">Den anden indikator er kvælstofnedfald fra luften, beregnet af DCE, målt mod en tålegrænse på 10 kg kvælstof pr. hektar om året. Det er midten af intervallet 5-15 kg for heder, klitter og klithede (Bobbink m.fl. 2022; Bak 2024). Den tredje er andelen af kommunens vandløb, søer og kystvande, der ikke er i god økologisk tilstand, målt mod landets andel. Den sidste er relativ, fordi kun ca. 6 procent af vandområderne i hele landet er i god tilstand, og målet (alle vandområder) ikke kan bruges som nævner.</w:t>
      </w:r>
    </w:p>
    <w:p>
      <w:pPr>
        <w:pStyle w:val="Heading2"/>
      </w:pPr>
      <w:r>
        <w:t xml:space="preserve">5.4 Vand</w:t>
      </w:r>
    </w:p>
    <w:p>
      <w:pPr>
        <w:pStyle w:val="Body"/>
      </w:pPr>
      <w:r>
        <w:t xml:space="preserve">GEUS har opgjort, hvor meget grundvand der bæredygtigt kan indvindes i Danmark: 1.104 mio. m³ om året (Henriksen m.fl. 2023). Opgørelsen tager bl.a. hensyn til vandløbene og vandområdeplanernes krav om, hvor meget af grundvandsdannelsen der må bruges. Platformen fordeler ressourcen på kommunerne efter, hvor meget vand der siver ned til grundvandet, beregnet med den nationale grundvandsmodel (DK-modellen) for 1991-2020. En kommune på sandjord med meget nedsivning får altså en større andel end en kommune på lerjord af samme størrelse.</w:t>
      </w:r>
    </w:p>
    <w:p>
      <w:pPr>
        <w:pStyle w:val="Body"/>
      </w:pPr>
      <w:r>
        <w:t xml:space="preserve">Scoren er kommunens grundvandsindvinding (vandværker, virksomheder og markvanding, gennemsnit af tre år) i procent af dens andel af ressourcen. Fordelingen er kontrolleret mod GEUS' egne tal for de store modelområder. Den rammer Sjælland (110 mod GEUS' 113 mio. m³), og Fyn og Jylland inden for ca. 20 procent. Danmark samlet udnyttede 63 procent af ressourcen i 2022-2024.</w:t>
      </w:r>
    </w:p>
    <w:p>
      <w:pPr>
        <w:pStyle w:val="Heading2"/>
      </w:pPr>
      <w:r>
        <w:t xml:space="preserve">5.5 Arealanvendelse</w:t>
      </w:r>
    </w:p>
    <w:p>
      <w:pPr>
        <w:pStyle w:val="Body"/>
      </w:pPr>
      <w:r>
        <w:t xml:space="preserve">Indikatoren er andelen af kommunens landareal, der er intensivt landbrug eller befæstet og bebygget, det såkaldte antropiserede areal (Dao m.fl. 2015; EEA 2020; Lind m.fl. 2025). Den planetære grænse er højst 15 procent. Danmark samlet ligger på 70,4 procent, og alle 98 kommuner ligger over 15 procent, fra 16 procent på Fanø til 90 procent på Frederiksberg.</w:t>
      </w:r>
    </w:p>
    <w:p>
      <w:pPr>
        <w:pStyle w:val="Body"/>
      </w:pPr>
      <w:r>
        <w:t xml:space="preserve">Målt mod 15 procent ville alle kommuner være røde, og en bykommune kan ikke blive til 85 procent natur. Platformen måler derfor mod Danmark samlet og viser grænsen på 15 procent som forklarende tekst. Det er den eneste dimension, der kun måles mod et gennemsnit.</w:t>
      </w:r>
    </w:p>
    <w:p>
      <w:pPr>
        <w:pStyle w:val="Heading2"/>
      </w:pPr>
      <w:r>
        <w:t xml:space="preserve">5.6 Biodiversitet</w:t>
      </w:r>
    </w:p>
    <w:p>
      <w:pPr>
        <w:pStyle w:val="Body"/>
      </w:pPr>
      <w:r>
        <w:t xml:space="preserve">Den planetære grænse for biodiversitet opgøres bl.a. med et indeks for, hvor meget af den oprindelige artsrigdom der er tilbage. For Danmark er det beregnet til 44 procent mod en grænse på 90 procent (Lind m.fl. 2025). Tallet kommer fra en global model med celler på ca. 430 km², større end mange kommuner, og kan ikke regnes ned.</w:t>
      </w:r>
    </w:p>
    <w:p>
      <w:pPr>
        <w:pStyle w:val="Body"/>
      </w:pPr>
      <w:r>
        <w:t xml:space="preserve">Platformen bruger i stedet DCE's biodiversitetskort, som vurderer hvert areal på 10×10 m efter dets værdi for truede arter. Indikatorerne er andelen af kommunen med væsentlig naturværdi, målt mod EU's mål om 30 procent, og andelen med uerstattelig naturværdi, målt mod målet om 10 procent strengt beskyttet natur (Europa-Kommissionen 2020). Det er politiske mål og ikke den planetære grænse. En kommune kan nå dem og være grøn uden at være inden for den biofysiske grænse.</w:t>
      </w:r>
    </w:p>
    <w:p>
      <w:pPr>
        <w:pStyle w:val="Heading2"/>
      </w:pPr>
      <w:r>
        <w:t xml:space="preserve">5.7 Forurening</w:t>
      </w:r>
    </w:p>
    <w:p>
      <w:pPr>
        <w:pStyle w:val="Body"/>
      </w:pPr>
      <w:r>
        <w:t xml:space="preserve">Forurening har fire indikatorer. Pesticider er andelen af kommunens aktive almene vandværker, hvor den seneste analyse (højst 10 år gammel) har fund af pesticider eller nedbrydningsprodukter. Andelen udglattes, så kommuner med få vandværker trækkes mod landsandelen (Kleinman 1973). Den måles mod landsandelen på 30,5 procent. Et fund er ikke det samme som en overskridelse af drikkevandskravet: de fleste fund ligger under kravværdien, og kravværdien er sat ud fra et forsigtighedsprincip og ikke ud fra stoffernes giftighed (Miljøstyrelsen 2025).</w:t>
      </w:r>
    </w:p>
    <w:p>
      <w:pPr>
        <w:pStyle w:val="Body"/>
      </w:pPr>
      <w:r>
        <w:t xml:space="preserve">Nitrat er gennemsnittet for kommunens aktive vandværker, vægtet efter hvor meget de må indvinde, og måles mod 6 mg/L. Genanvendelse er den andel af husholdningsaffaldet, der ikke indsamles til genanvendelse, målt mod de 35 procent, som EU's mål om 65 procent genanvendelse i 2035 tillader. Husholdningsaffald pr. person måles mod landets niveau. Affald og genanvendelse er medianen af tre år, fordi enkelte år har tydelige fejlindberetninger.</w:t>
      </w:r>
    </w:p>
    <w:p>
      <w:pPr>
        <w:pStyle w:val="Heading1"/>
      </w:pPr>
      <w:r>
        <w:t xml:space="preserve">6. Fra indikator til dimension</w:t>
      </w:r>
    </w:p>
    <w:p>
      <w:pPr>
        <w:pStyle w:val="Body"/>
      </w:pPr>
      <w:r>
        <w:t xml:space="preserve">Har en dimension flere indikatorer, er dens score den højeste, altså den værste, af indikatorernes scorer. Det følger logikken i de planetære grænser: er én delgrænse overskredet, er dimensionen overskredet. Et gennemsnit ville lade en god indikator skjule en overskredet grænse. Samme princip, kaldet "one out, all out", bruges i vandrammedirektivet, hvor et vandområdes tilstand bestemmes af det dårligste kvalitetselement (Lind m.fl. 2025).</w:t>
      </w:r>
    </w:p>
    <w:p>
      <w:pPr>
        <w:pStyle w:val="Body"/>
      </w:pPr>
      <w:r>
        <w:t xml:space="preserve">Forurening er undtagelsen og bruger et gennemsnit. De fire indikatorer måler vidt forskellige ting: pesticider i grundvandet, nitrat, affaldsmængder og genanvendelse. Med worst-of ville den værste af fire uafhængige kilder bestemme hele dimensionen.</w:t>
      </w:r>
    </w:p>
    <w:p>
      <w:pPr>
        <w:pStyle w:val="Body"/>
      </w:pPr>
      <w:r>
        <w:t xml:space="preserve">Platformen lægger ikke de syv dimensioner sammen til én samlet økologisk score. Den viser dem hver for sig.</w:t>
      </w:r>
    </w:p>
    <w:p>
      <w:pPr>
        <w:pStyle w:val="Heading1"/>
      </w:pPr>
      <w:r>
        <w:t xml:space="preserve">7. Hvor følsom er metoden?</w:t>
      </w:r>
    </w:p>
    <w:p>
      <w:pPr>
        <w:pStyle w:val="Heading2"/>
      </w:pPr>
      <w:r>
        <w:t xml:space="preserve">7.1 Hvordan ser loftet ud?</w:t>
      </w:r>
    </w:p>
    <w:p>
      <w:pPr>
        <w:pStyle w:val="Body"/>
      </w:pPr>
      <w:r>
        <w:t xml:space="preserve">Figur 1 viser alle 98 kommuners score i hver dimension. Klimapåvirkning, Luftkvalitet og Næringsstoffer er røde i alle kommuner. Klimascoren ligger mellem 378 og 1.007, fordi det forbrugsbaserede aftryk er 9,4-17,4 ton pr. person mod en grænse på 2,5. Biodiversitet er rød i 93 kommuner. Forurening, Vand og Arealanvendelse deler kommunerne.</w:t>
      </w:r>
    </w:p>
    <w:p>
      <w:pPr>
        <w:keepNext/>
        <w:spacing w:after="0" w:before="200"/>
        <w:jc w:val="center"/>
      </w:pPr>
      <w:r>
        <w:drawing>
          <wp:inline distT="0" distB="0" distL="0" distR="0">
            <wp:extent cx="5762625" cy="3409950"/>
            <wp:effectExtent t="0" r="0" b="0" l="0"/>
            <wp:docPr id="1" name="eco_dim.png" descr="Figur 1. Dimensionsscorer for de 98 kommuner. Hver prik er en kommune. Aksen er logaritmisk, så afstanden fra 10 til 100 er den samme som fra 100 til 1.000. Vand har 96 kommuner. Data: platformens masterfil, 25. september 2026." title="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409950"/>
                    </a:xfrm>
                    <a:prstGeom prst="rect">
                      <a:avLst/>
                    </a:prstGeom>
                  </pic:spPr>
                </pic:pic>
              </a:graphicData>
            </a:graphic>
          </wp:inline>
        </w:drawing>
      </w:r>
    </w:p>
    <w:p>
      <w:pPr>
        <w:spacing w:after="240" w:before="80" w:line="260"/>
      </w:pPr>
      <w:r>
        <w:rPr>
          <w:rFonts w:ascii="Arial" w:cs="Arial" w:eastAsia="Arial" w:hAnsi="Arial"/>
          <w:color w:val="595959"/>
          <w:sz w:val="17"/>
          <w:szCs w:val="17"/>
        </w:rPr>
        <w:t xml:space="preserve">Figur 1. Dimensionsscorer for de 98 kommuner. Hver prik er en kommune. Aksen er logaritmisk, så afstanden fra 10 til 100 er den samme som fra 100 til 1.000. Vand har 96 kommuner. Data: platformens masterfil, 25. september 2026.</w:t>
      </w:r>
    </w:p>
    <w:p>
      <w:pPr>
        <w:pStyle w:val="Body"/>
      </w:pPr>
      <w:r>
        <w:t xml:space="preserve">Ingen kommune overskrider færre end fire dimensioner. 19 kommuner overskrider fire, 42 overskrider fem, 33 overskrider seks, og 4 overskrider alle syv. Vand har den største spredning. Ishøj indvinder 14 gange sin andel af ressourcen og Frederiksberg 13 gange, mens Herlev ingen indvinding har.</w:t>
      </w:r>
    </w:p>
    <w:p>
      <w:pPr>
        <w:pStyle w:val="Heading2"/>
      </w:pPr>
      <w:r>
        <w:t xml:space="preserve">7.2 Hvilken indikator afgør dimensionen?</w:t>
      </w:r>
    </w:p>
    <w:p>
      <w:pPr>
        <w:pStyle w:val="Body"/>
      </w:pPr>
      <w:r>
        <w:t xml:space="preserve">Med worst-of afgøres en dimension af én indikator ad gangen. Tabel 3 viser, hvor ofte hver indikator er den værste.</w:t>
      </w:r>
    </w:p>
    <w:p>
      <w:pPr>
        <w:keepNext/>
        <w:spacing w:after="80" w:before="200"/>
      </w:pPr>
      <w:r>
        <w:rPr>
          <w:rFonts w:ascii="Arial" w:cs="Arial" w:eastAsia="Arial" w:hAnsi="Arial"/>
          <w:b/>
          <w:bCs/>
          <w:color w:val="1A1A1A"/>
          <w:sz w:val="18"/>
          <w:szCs w:val="18"/>
        </w:rPr>
        <w:t xml:space="preserve">Tabel 3. Den indikator, der afgør dimensionen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4716"/>
        <w:gridCol w:w="1996"/>
      </w:tblGrid>
      <w:tr>
        <w:trPr>
          <w:tblHeader/>
        </w:trPr>
        <w:tc>
          <w:tcPr>
            <w:tcW w:type="dxa" w:w="2358"/>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Dimension</w:t>
            </w:r>
          </w:p>
        </w:tc>
        <w:tc>
          <w:tcPr>
            <w:tcW w:type="dxa" w:w="4716"/>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Indikator</w:t>
            </w:r>
          </w:p>
        </w:tc>
        <w:tc>
          <w:tcPr>
            <w:tcW w:type="dxa" w:w="1996"/>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right"/>
            </w:pPr>
            <w:r>
              <w:rPr>
                <w:rFonts w:ascii="Arial" w:cs="Arial" w:eastAsia="Arial" w:hAnsi="Arial"/>
                <w:b/>
                <w:bCs/>
                <w:color w:val="1A1A1A"/>
                <w:sz w:val="17"/>
                <w:szCs w:val="17"/>
              </w:rPr>
              <w:t xml:space="preserve">Kommuner</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Klimapåvirkning</w:t>
            </w: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Forbrugsbaseret aftryk</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87</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Territoriale udledninger</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11</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Luftkvalitet</w:t>
            </w: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PM2.5</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98</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NO2</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Næringsstoffer</w:t>
            </w: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Kvælstof til kystvande</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80</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Vandområder i god tilstand</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10</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Kvælstofnedfald</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8</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Biodiversitet</w:t>
            </w: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Væsentlig naturværdi (30 %)</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96</w:t>
            </w:r>
          </w:p>
        </w:tc>
      </w:tr>
      <w:tr>
        <w:trPr>
          <w:cantSplit/>
        </w:trPr>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471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Uerstattelig naturværdi (10 %)</w:t>
            </w:r>
          </w:p>
        </w:tc>
        <w:tc>
          <w:tcPr>
            <w:tcW w:type="dxa" w:w="1996"/>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w:t>
            </w:r>
          </w:p>
        </w:tc>
      </w:tr>
    </w:tbl>
    <w:p>
      <w:pPr>
        <w:spacing w:after="160"/>
      </w:pPr>
    </w:p>
    <w:p>
      <w:pPr>
        <w:pStyle w:val="Body"/>
      </w:pPr>
      <w:r>
        <w:t xml:space="preserve">Luftkvalitet er i praksis PM2.5. NO2 ligger under WHO's grænse i alle kommuner og afgør aldrig dimensionen. Klimapåvirkning er i 87 kommuner det forbrugsbaserede estimat, og Biodiversitet er næsten altid målet om 30 procent. De indikatorer, der sjældent afgør noget, er stadig synlige på platformen og vil slå igennem, hvis de bliver værre end den nuværende værste.</w:t>
      </w:r>
    </w:p>
    <w:p>
      <w:pPr>
        <w:pStyle w:val="Heading2"/>
      </w:pPr>
      <w:r>
        <w:t xml:space="preserve">7.3 Worst-of eller gennemsnit?</w:t>
      </w:r>
    </w:p>
    <w:p>
      <w:pPr>
        <w:pStyle w:val="Body"/>
      </w:pPr>
      <w:r>
        <w:t xml:space="preserve">Figur 2 viser farverne med worst-of og med gennemsnit for de fem dimensioner, der har mere end én indikator.</w:t>
      </w:r>
    </w:p>
    <w:p>
      <w:pPr>
        <w:keepNext/>
        <w:spacing w:after="0" w:before="200"/>
        <w:jc w:val="center"/>
      </w:pPr>
      <w:r>
        <w:drawing>
          <wp:inline distT="0" distB="0" distL="0" distR="0">
            <wp:extent cx="5762625" cy="2790825"/>
            <wp:effectExtent t="0" r="0" b="0" l="0"/>
            <wp:docPr id="1" name="eco_worstof.png" descr="Figur 2. Antal kommuner med grøn, gul og rød dimensionsscore med worst-of og med gennemsnit. Platformens valg er markeret. Tal under 9 er ikke skrevet ind i søjlerne. Data: platformens masterfil, 25. september 2026." title="Fi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790825"/>
                    </a:xfrm>
                    <a:prstGeom prst="rect">
                      <a:avLst/>
                    </a:prstGeom>
                  </pic:spPr>
                </pic:pic>
              </a:graphicData>
            </a:graphic>
          </wp:inline>
        </w:drawing>
      </w:r>
    </w:p>
    <w:p>
      <w:pPr>
        <w:spacing w:after="240" w:before="80" w:line="260"/>
      </w:pPr>
      <w:r>
        <w:rPr>
          <w:rFonts w:ascii="Arial" w:cs="Arial" w:eastAsia="Arial" w:hAnsi="Arial"/>
          <w:color w:val="595959"/>
          <w:sz w:val="17"/>
          <w:szCs w:val="17"/>
        </w:rPr>
        <w:t xml:space="preserve">Figur 2. Antal kommuner med grøn, gul og rød dimensionsscore med worst-of og med gennemsnit. Platformens valg er markeret. Tal under 9 er ikke skrevet ind i søjlerne. Data: platformens masterfil, 25. september 2026.</w:t>
      </w:r>
    </w:p>
    <w:p>
      <w:pPr>
        <w:pStyle w:val="Body"/>
      </w:pPr>
      <w:r>
        <w:t xml:space="preserve">For Klimapåvirkning og Biodiversitet betyder valget næsten intet, fordi alle indikatorer er langt over grænsen. For Luftkvalitet betyder det alt. Med gennemsnit ville 16 kommuner være grønne og 51 gule, fordi NO2 ligger langt under WHO's grænse og trækker gennemsnittet ned. Med worst-of er alle røde, fordi PM2.5 overalt ligger over 5 µg/m³. For Forurening gælder det omvendte: platformens gennemsnit giver 24 grønne kommuner, mens worst-of ville gøre 95 røde.</w:t>
      </w:r>
    </w:p>
    <w:p>
      <w:pPr>
        <w:pStyle w:val="Heading2"/>
      </w:pPr>
      <w:r>
        <w:t xml:space="preserve">7.4 Hvad hvis grænsen lå et andet sted?</w:t>
      </w:r>
    </w:p>
    <w:p>
      <w:pPr>
        <w:pStyle w:val="Body"/>
      </w:pPr>
      <w:r>
        <w:t xml:space="preserve">Flere grænser er valg, som kunne være truffet anderledes. Tabel 4 viser, hvor mange kommuner der overskrider grænsen, hvis den flyttes.</w:t>
      </w:r>
    </w:p>
    <w:p>
      <w:pPr>
        <w:keepNext/>
        <w:spacing w:after="80" w:before="200"/>
      </w:pPr>
      <w:r>
        <w:rPr>
          <w:rFonts w:ascii="Arial" w:cs="Arial" w:eastAsia="Arial" w:hAnsi="Arial"/>
          <w:b/>
          <w:bCs/>
          <w:color w:val="1A1A1A"/>
          <w:sz w:val="18"/>
          <w:szCs w:val="18"/>
        </w:rPr>
        <w:t xml:space="preserve">Tabel 4. Antal kommuner over grænsen ved andre grænser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3991"/>
        <w:gridCol w:w="2358"/>
      </w:tblGrid>
      <w:tr>
        <w:trPr>
          <w:tblHeader/>
        </w:trPr>
        <w:tc>
          <w:tcPr>
            <w:tcW w:type="dxa" w:w="2721"/>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Indikator</w:t>
            </w:r>
          </w:p>
        </w:tc>
        <w:tc>
          <w:tcPr>
            <w:tcW w:type="dxa" w:w="3991"/>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7"/>
                <w:szCs w:val="17"/>
              </w:rPr>
              <w:t xml:space="preserve">Grænse</w:t>
            </w:r>
          </w:p>
        </w:tc>
        <w:tc>
          <w:tcPr>
            <w:tcW w:type="dxa" w:w="2358"/>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right"/>
            </w:pPr>
            <w:r>
              <w:rPr>
                <w:rFonts w:ascii="Arial" w:cs="Arial" w:eastAsia="Arial" w:hAnsi="Arial"/>
                <w:b/>
                <w:bCs/>
                <w:color w:val="1A1A1A"/>
                <w:sz w:val="17"/>
                <w:szCs w:val="17"/>
              </w:rPr>
              <w:t xml:space="preserve">Kommuner over</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Forbrugsbaseret aftryk</w:t>
            </w: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2,5 ton (platformen)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98</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3 ton (tidligere)</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98</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10 ton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94</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Territoriale udledninger</w:t>
            </w: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2,5 ton (platformen)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83</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5 ton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54</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Kvælstofnedfald</w:t>
            </w: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5 kg N/ha</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98</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10 kg N/ha (platformen)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62</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15 kg N/ha</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2</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Nitrat (94 kommuner)</w:t>
            </w: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6 mg/L (platformen)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12</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10 mg/L</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3</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50 mg/L (EU's drikkevandskrav)</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PM2.5</w:t>
            </w: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5 µg/m³ (WHO, platformen)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98</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10 µg/m³ (EU's grænseværdi fra 2030)</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0</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Antropiseret areal</w:t>
            </w: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Danmark samlet (platformen)</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56</w:t>
            </w:r>
          </w:p>
        </w:tc>
      </w:tr>
      <w:tr>
        <w:trPr>
          <w:cantSplit/>
        </w:trPr>
        <w:tc>
          <w:tcPr>
            <w:tcW w:type="dxa" w:w="272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p>
        </w:tc>
        <w:tc>
          <w:tcPr>
            <w:tcW w:type="dxa" w:w="399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7"/>
                <w:szCs w:val="17"/>
              </w:rPr>
              <w:t xml:space="preserve">15 % (planetær grænse)</w:t>
            </w:r>
          </w:p>
        </w:tc>
        <w:tc>
          <w:tcPr>
            <w:tcW w:type="dxa" w:w="235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right"/>
            </w:pPr>
            <w:r>
              <w:rPr>
                <w:rFonts w:ascii="Arial" w:cs="Arial" w:eastAsia="Arial" w:hAnsi="Arial"/>
                <w:b w:val="false"/>
                <w:bCs w:val="false"/>
                <w:color w:val="1A1A1A"/>
                <w:sz w:val="17"/>
                <w:szCs w:val="17"/>
              </w:rPr>
              <w:t xml:space="preserve">98</w:t>
            </w:r>
          </w:p>
        </w:tc>
      </w:tr>
    </w:tbl>
    <w:p>
      <w:pPr>
        <w:spacing w:after="160"/>
      </w:pPr>
    </w:p>
    <w:p>
      <w:pPr>
        <w:pStyle w:val="Body"/>
      </w:pPr>
      <w:r>
        <w:t xml:space="preserve">Klimadimensionen er rød, uanset hvor grænsen sættes inden for et rimeligt interval. Selv ved 10 ton er 94 kommuner over med det forbrugsbaserede aftryk. For kvælstofnedfald betyder grænsen meget for indikatoren, men næsten intet for dimensionen. Ved 5 kg er Næringsstoffer stadig rød i alle 98 kommuner, og ved 15 kg er den rød i 97, fordi kystvandene afgør dimensionen i 80 kommuner.</w:t>
      </w:r>
    </w:p>
    <w:p>
      <w:pPr>
        <w:pStyle w:val="Body"/>
      </w:pPr>
      <w:r>
        <w:t xml:space="preserve">For luft og nitrat afgør valget af grænse, om der overhovedet er et problem. Ingen kommune overskrider EU's kommende grænseværdi for PM2.5 eller drikkevandskravet for nitrat, men alle overskrider WHO's retningslinje for PM2.5, og 12 overskrider 6 mg/L nitrat. Platformen har valgt de strengeste grænser, fordi de bygger på sundhedseffekter. Det skal læseren vide, når en kommune står som rød på luftkvalitet.</w:t>
      </w:r>
    </w:p>
    <w:p>
      <w:pPr>
        <w:pStyle w:val="Heading2"/>
      </w:pPr>
      <w:r>
        <w:t xml:space="preserve">7.5 Hænger dimensionerne sammen?</w:t>
      </w:r>
    </w:p>
    <w:p>
      <w:pPr>
        <w:pStyle w:val="Body"/>
      </w:pPr>
      <w:r>
        <w:t xml:space="preserve">Dimensionerne er stort set uafhængige af hinanden. Medianen for korrelationerne mellem dem er 0,14. Kun Arealanvendelse og Biodiversitet følges tæt (0,76), hvilket giver mening: kommuner med meget landbrug og by har lidt natur. Kommunegruppen forklarer også kun lidt af forskellene, fra 1 procent for Arealanvendelse til 35 procent for Vand. Den økologiske ring er altså i langt mindre grad end den sociale ring et spørgsmål om by og land.</w:t>
      </w:r>
    </w:p>
    <w:p>
      <w:pPr>
        <w:pStyle w:val="Body"/>
      </w:pPr>
      <w:r>
        <w:t xml:space="preserve">Vi har også undersøgt, om kommuner med et stærkt socialt fundament presser det økologiske loft mere. Sammenhængen mellem antallet af grønne sociale kategorier og antallet af overskredne dimensioner er svag (rangkorrelation -0,13). Det forbrugsbaserede aftryk følger derimod indkomsten (0,52), hvilket er indbygget i estimatet fra 2011, som bygger på husholdningernes forbrug.</w:t>
      </w:r>
    </w:p>
    <w:p>
      <w:pPr>
        <w:pStyle w:val="Heading1"/>
      </w:pPr>
      <w:r>
        <w:t xml:space="preserve">8. Diskussion</w:t>
      </w:r>
    </w:p>
    <w:p>
      <w:pPr>
        <w:pStyle w:val="Heading2"/>
      </w:pPr>
      <w:r>
        <w:t xml:space="preserve">8.1 Hvorfor forskellige grænser for forskellige dimensioner?</w:t>
      </w:r>
    </w:p>
    <w:p>
      <w:pPr>
        <w:pStyle w:val="Body"/>
      </w:pPr>
      <w:r>
        <w:t xml:space="preserve">Den enkleste løsning ville være at fordele alle globale grænser ligeligt pr. indbygger, som O'Neill m.fl. (2018) gør for lande. Men de skriver selv, at en årlig grænse pr. person kan være en dårlig måde at forvalte ressourcer, der er bundet til et sted og en tid, fx ferskvand, hvor vandoplandet er den rigtige enhed. For en dansk kommune gælder det både vand og kvælstof. Grundvandet i Ishøj og kvælstoffet i Limfjorden er lokale problemer med lokale grænser, og Danmark har allerede fastlagt dem i vandområdeplanerne og GEUS' ressourceopgørelse. At bruge dem giver en grænse, som både er biofysisk begrundet og kendt af de fagfolk, der skal handle på den.</w:t>
      </w:r>
    </w:p>
    <w:p>
      <w:pPr>
        <w:pStyle w:val="Body"/>
      </w:pPr>
      <w:r>
        <w:t xml:space="preserve">Den blandede løsning har en pris. Loftet består af biofysiske grænser, sundhedsbaserede retningslinjer, politiske mål og landsgennemsnit. En rød score på biodiversitet betyder, at kommunen er under EU's mål om 30 procent natur. En rød score på næringsstoffer betyder, at kystvandet får mere kvælstof, end det kan tåle. Det er to forskellige udsagn. Platformen mærker derfor hver dimension som "mod mål", "blandet" eller (umærket) mod landsgennemsnit, men farven er den samme.</w:t>
      </w:r>
    </w:p>
    <w:p>
      <w:pPr>
        <w:pStyle w:val="Heading2"/>
      </w:pPr>
      <w:r>
        <w:t xml:space="preserve">8.2 Hvad betyder grøn på en relativ dimension?</w:t>
      </w:r>
    </w:p>
    <w:p>
      <w:pPr>
        <w:pStyle w:val="Body"/>
      </w:pPr>
      <w:r>
        <w:t xml:space="preserve">Arealanvendelse har 16 grønne kommuner, men alle 98 ligger over den planetære grænse på 15 procent, og de fleste langt over. En grøn score betyder her "mindre antropiseret end Danmark som helhed". Det samme gælder pesticider, husholdningsaffald og vandområdernes tilstand. Metodesiden og mærkningen siger det, men der er en reel risiko for, at en grøn farve bliver læst som "inden for grænsen". Vi har valgt relativ måling, fordi en absolut grænse enten ville gøre alle kommuner røde (areal) eller ikke kan bruges i en brøk, fordi målet er nul (pesticidfund) eller alle vandområder i god tilstand. Prisen er, at farven på de fire indikatorer ikke kan læses som en vurdering af planetens tålegrænse.</w:t>
      </w:r>
    </w:p>
    <w:p>
      <w:pPr>
        <w:pStyle w:val="Heading2"/>
      </w:pPr>
      <w:r>
        <w:t xml:space="preserve">8.3 Måler loftet stedet eller kommunen?</w:t>
      </w:r>
    </w:p>
    <w:p>
      <w:pPr>
        <w:pStyle w:val="Body"/>
      </w:pPr>
      <w:r>
        <w:t xml:space="preserve">Flere indikatorer beskriver det sted, kommunen ligger, mere end det, den selv gør. Kystvandsindikatoren beskriver det vand, kommunen afvander til, og omfatter kvælstof fra hele oplandet. Grundvandsindvindingen registreres, hvor vandet pumpes op, så små bykommuner med store kildepladser som Ishøj og Frederiksberg får meget høje tal, mens en bykommune uden egen indvinding som Herlev får 0, selv om dens borgere drikker vand fra andres grundvand. En stor del af partiklerne i dansk luft kommer fra andre lande.</w:t>
      </w:r>
    </w:p>
    <w:p>
      <w:pPr>
        <w:pStyle w:val="Body"/>
      </w:pPr>
      <w:r>
        <w:t xml:space="preserve">Det er et bevidst valg, men det skal forstås. Loftet viser den økologiske tilstand, kommunen er en del af. Det viser ikke kommunens ansvar for den, og en kommune kan ikke nødvendigvis flytte sin score alene. For kvælstof og vand kræver handling samarbejde på tværs af et opland.</w:t>
      </w:r>
    </w:p>
    <w:p>
      <w:pPr>
        <w:pStyle w:val="Heading2"/>
      </w:pPr>
      <w:r>
        <w:t xml:space="preserve">8.4 Worst-of skjuler fremskridt</w:t>
      </w:r>
    </w:p>
    <w:p>
      <w:pPr>
        <w:pStyle w:val="Body"/>
      </w:pPr>
      <w:r>
        <w:t xml:space="preserve">Når én indikator afgør dimensionen, er fremskridt på de andre usynlige i dimensionens score. I 87 af de 98 kommuner vil en halvering af de territoriale udledninger ikke flytte klimascoren, fordi det forbrugsbaserede estimat er højere. Af samme grund har klimadimensionen kun en retningspil i de 11 kommuner, hvor de territoriale udledninger afgør den. Delindikatorerne og deres pile er synlige på platformen, men den samlede farve siger intet om dem.</w:t>
      </w:r>
    </w:p>
    <w:p>
      <w:pPr>
        <w:pStyle w:val="Heading2"/>
      </w:pPr>
      <w:r>
        <w:t xml:space="preserve">8.5 Det forbrugsbaserede klimaaftryk er metodens svageste led</w:t>
      </w:r>
    </w:p>
    <w:p>
      <w:pPr>
        <w:pStyle w:val="Body"/>
      </w:pPr>
      <w:r>
        <w:t xml:space="preserve">Det forbrugsbaserede aftryk afgør klimadimensionen i 87 kommuner, men forskellene mellem kommunerne er fra 2011, og alle kommuner er skaleret med samme faktor. Tallet kan derfor ikke vise, at en kommune har gjort noget siden 2011, og rangordenen mellem kommunerne er 15 år gammel. At forbrugsaftrykket skal med, er vi ikke i tvivl om. Det er den eneste måde at vise den del af danskernes udledninger, der sker i andre lande. Men så længe der ikke findes nyere kommunetal, bør dimensionen læses med det forbehold, og de territoriale udledninger er det tal, kommunen kan følge over tid.</w:t>
      </w:r>
    </w:p>
    <w:p>
      <w:pPr>
        <w:pStyle w:val="Heading2"/>
      </w:pPr>
      <w:r>
        <w:t xml:space="preserve">8.6 Hvad der mangler</w:t>
      </w:r>
    </w:p>
    <w:p>
      <w:pPr>
        <w:pStyle w:val="Body"/>
      </w:pPr>
      <w:r>
        <w:t xml:space="preserve">Flere grænser og belastninger er ikke med. Ozonlaget og havforsuring giver ikke mening pr. kommune. Fosfor mangler, fordi målbelastningen for fosfor til kystvandene i vandområdeplanerne er sat lig den nuværende belastning, så der er ingen grænse at måle mod. Nye stoffer er kun dækket af pesticider og nitrat. PFAS og anden jordforurening er ikke med. Jordens sundhed, drænede landbrugsarealer og presset på kystnaturen mangler, fordi der ikke findes kommunetal. Forbrugsbaserede aftryk for areal, kvælstof og vand kræver økonomiske modeller på nationalt niveau og findes ikke pr. kommune.</w:t>
      </w:r>
    </w:p>
    <w:p>
      <w:pPr>
        <w:pStyle w:val="Body"/>
      </w:pPr>
      <w:r>
        <w:t xml:space="preserve">Platformen tager heller ikke stilling til historisk ansvar. Lind m.fl. (2025) viser, at Danmarks andel af flere globale budgetter reelt er brugt, hvis man regner tidligere udledninger med. Det er vigtigt for at forstå Danmarks samlede situation, men det kan ikke fordeles meningsfuldt på kommuner.</w:t>
      </w:r>
    </w:p>
    <w:p>
      <w:pPr>
        <w:pStyle w:val="Heading2"/>
      </w:pPr>
      <w:r>
        <w:t xml:space="preserve">8.7 Gamle data og manglende usikkerhed</w:t>
      </w:r>
    </w:p>
    <w:p>
      <w:pPr>
        <w:pStyle w:val="Body"/>
      </w:pPr>
      <w:r>
        <w:t xml:space="preserve">Kvælstofbelastningen af kystvandene er fra 2017-2021 og opdateres først med næste vandområdeplan. Biodiversitetskortet er fra 2021. De to dimensioner kan derfor ikke vise fremskridt i dag, og de har kun retningspil, hvor en anden indikator afgør dem. Platformen viser heller ingen usikkerhed. Luftkvaliteten er modelberegnet, grundvandsressourcen er fordelt efter en model, og kvælstofbelastningen bygger på modeller for hvert kystvand. Usikkerheden er ikke kvantificeret, og forskelle på få point bør ikke tillægges betydning.</w:t>
      </w:r>
    </w:p>
    <w:p>
      <w:pPr>
        <w:pStyle w:val="Heading2"/>
      </w:pPr>
      <w:r>
        <w:t xml:space="preserve">8.8 Hvad vi mener bør ændres</w:t>
      </w:r>
    </w:p>
    <w:p>
      <w:pPr>
        <w:pStyle w:val="Body"/>
      </w:pPr>
      <w:r>
        <w:t xml:space="preserve">Den største forbedring ville være et nyere forbrugsbaseret aftryk pr. kommune. Findes det ikke, bør platformen vise tydeligere, at klimadimensionen i de fleste kommuner er et skøn fra 2011. For vand bør ressourcen fordeles efter GEUS' egne tal for deloplande, hvis GEUS vil udlevere oplandenes afgrænsning. For kvælstofnedfald bør nedfaldet måles på selve naturarealerne og mod den tålegrænse, der passer til naturtypen. Og fosfor bør med, hvis søernes målbelastning kan bruges.</w:t>
      </w:r>
    </w:p>
    <w:p>
      <w:pPr>
        <w:pStyle w:val="Heading1"/>
      </w:pPr>
      <w:r>
        <w:t xml:space="preserve">9. Konklusion</w:t>
      </w:r>
    </w:p>
    <w:p>
      <w:pPr>
        <w:pStyle w:val="Body"/>
      </w:pPr>
      <w:r>
        <w:t xml:space="preserve">Den økologiske ring i Danmarks 98 Doughnuts måler 11 af 15 indikatorer mod en fast grænse og bruger danske, nedskalerede grænser, hvor de findes. Det gør loftet mere konkret for en kommune end en ren fordeling pr. indbygger af globale budgetter. Resultatet er tydeligt: alle kommuner overskrider mindst fire af syv dimensioner, og for klima er det uafhængigt af, hvor grænsen sættes.</w:t>
      </w:r>
    </w:p>
    <w:p>
      <w:pPr>
        <w:pStyle w:val="Body"/>
      </w:pPr>
      <w:r>
        <w:t xml:space="preserve">Testene viser også, hvor metoden er svag. Tre dimensioner afgøres i praksis af én indikator. Klimadimensionen hviler i de fleste kommuner på et estimat fra 2011. Flere indikatorer beskriver det sted, kommunen ligger, mere end det, den gør. Og fire indikatorer måles mod et landsgennemsnit, hvor en grøn farve ikke betyder, at grænsen er overholdt. Loftet bør derfor læses dimension for dimension og indikator for indikator, med blik for hvad hver grænse er.</w:t>
      </w:r>
    </w:p>
    <w:p>
      <w:pPr>
        <w:pStyle w:val="Heading2"/>
      </w:pPr>
      <w:r>
        <w:t xml:space="preserve">Om denne tekst</w:t>
      </w:r>
    </w:p>
    <w:p>
      <w:pPr>
        <w:pStyle w:val="Body"/>
      </w:pPr>
      <w:r>
        <w:t xml:space="preserve">Teksten er skrevet med hjælp fra kunstig intelligens på grundlag af projektets dokumentation og data. Alle tal er beregnet direkte på platformens masterfil ved det angivne tidspunkt, og alle referencer er slået op. Tabeller og figurer kan genskabes med scriptet </w:t>
      </w:r>
      <w:r>
        <w:rPr>
          <w:rFonts w:ascii="Consolas" w:cs="Consolas" w:eastAsia="Consolas" w:hAnsi="Consolas"/>
          <w:sz w:val="19"/>
          <w:szCs w:val="19"/>
        </w:rPr>
        <w:t xml:space="preserve">analyse_artikler.py</w:t>
      </w:r>
      <w:r>
        <w:t xml:space="preserve">, der ligger sammen med artiklen i projektets repository.</w:t>
      </w:r>
    </w:p>
    <w:p>
      <w:pPr>
        <w:pStyle w:val="Heading1"/>
      </w:pPr>
      <w:r>
        <w:t xml:space="preserve">Referencer</w:t>
      </w:r>
    </w:p>
    <w:p>
      <w:pPr>
        <w:pStyle w:val="Ref"/>
      </w:pPr>
      <w:r>
        <w:t xml:space="preserve">Bai, X., Hasan, S., Andersen, L.S. m.fl. (2024). Translating Earth system boundaries for cities and businesses. </w:t>
      </w:r>
      <w:r>
        <w:rPr>
          <w:i/>
          <w:iCs/>
        </w:rPr>
        <w:t xml:space="preserve">Nature Sustainability</w:t>
      </w:r>
      <w:r>
        <w:t xml:space="preserve">, 7, 108-119.</w:t>
      </w:r>
    </w:p>
    <w:p>
      <w:pPr>
        <w:pStyle w:val="Ref"/>
      </w:pPr>
      <w:r>
        <w:t xml:space="preserve">Bak, J. (2024). </w:t>
      </w:r>
      <w:r>
        <w:rPr>
          <w:i/>
          <w:iCs/>
        </w:rPr>
        <w:t xml:space="preserve">Opdatering af empirisk baserede tålegrænser</w:t>
      </w:r>
      <w:r>
        <w:t xml:space="preserve">. Fagligt notat 2024|16. Aarhus: DCE, Aarhus Universitet.</w:t>
      </w:r>
    </w:p>
    <w:p>
      <w:pPr>
        <w:pStyle w:val="Ref"/>
      </w:pPr>
      <w:r>
        <w:t xml:space="preserve">Bobbink, R., Loran, C. &amp; Tomassen, H. (red.) (2022). </w:t>
      </w:r>
      <w:r>
        <w:rPr>
          <w:i/>
          <w:iCs/>
        </w:rPr>
        <w:t xml:space="preserve">Review and revision of empirical critical loads of nitrogen for Europe</w:t>
      </w:r>
      <w:r>
        <w:t xml:space="preserve">. UBA Texte 110/2022. Dessau-Roßlau: Umweltbundesamt.</w:t>
      </w:r>
    </w:p>
    <w:p>
      <w:pPr>
        <w:pStyle w:val="Ref"/>
      </w:pPr>
      <w:r>
        <w:t xml:space="preserve">Dao, H. m.fl. (2015). </w:t>
      </w:r>
      <w:r>
        <w:rPr>
          <w:i/>
          <w:iCs/>
        </w:rPr>
        <w:t xml:space="preserve">Environmental Limits and Swiss Footprints Based on Planetary Boundaries</w:t>
      </w:r>
      <w:r>
        <w:t xml:space="preserve">. Genève: UNEP/GRID-Geneva og Université de Genève.</w:t>
      </w:r>
    </w:p>
    <w:p>
      <w:pPr>
        <w:pStyle w:val="Ref"/>
      </w:pPr>
      <w:r>
        <w:t xml:space="preserve">Dao, H., Peduzzi, P. &amp; Friot, D. (2018). National environmental limits and footprints based on the Planetary Boundaries framework: The case of Switzerland. </w:t>
      </w:r>
      <w:r>
        <w:rPr>
          <w:i/>
          <w:iCs/>
        </w:rPr>
        <w:t xml:space="preserve">Global Environmental Change</w:t>
      </w:r>
      <w:r>
        <w:t xml:space="preserve">, 52, 49-57.</w:t>
      </w:r>
    </w:p>
    <w:p>
      <w:pPr>
        <w:pStyle w:val="Ref"/>
      </w:pPr>
      <w:r>
        <w:t xml:space="preserve">Europa-Kommissionen (2020). </w:t>
      </w:r>
      <w:r>
        <w:rPr>
          <w:i/>
          <w:iCs/>
        </w:rPr>
        <w:t xml:space="preserve">EU's biodiversitetsstrategi for 2030: Naturen skal tilbage i vores liv</w:t>
      </w:r>
      <w:r>
        <w:t xml:space="preserve">. COM(2020) 380.</w:t>
      </w:r>
    </w:p>
    <w:p>
      <w:pPr>
        <w:pStyle w:val="Ref"/>
      </w:pPr>
      <w:r>
        <w:t xml:space="preserve">European Environment Agency (2020). </w:t>
      </w:r>
      <w:r>
        <w:rPr>
          <w:i/>
          <w:iCs/>
        </w:rPr>
        <w:t xml:space="preserve">Is Europe living within the limits of our planet? An assessment of Europe's environmental footprints in relation to planetary boundaries</w:t>
      </w:r>
      <w:r>
        <w:t xml:space="preserve">. EEA Report 01/2020.</w:t>
      </w:r>
    </w:p>
    <w:p>
      <w:pPr>
        <w:pStyle w:val="Ref"/>
      </w:pPr>
      <w:r>
        <w:t xml:space="preserve">Fanning, A.L., O'Neill, D.W., Hickel, J. &amp; Roux, N. (2022). The social shortfall and ecological overshoot of nations. </w:t>
      </w:r>
      <w:r>
        <w:rPr>
          <w:i/>
          <w:iCs/>
        </w:rPr>
        <w:t xml:space="preserve">Nature Sustainability</w:t>
      </w:r>
      <w:r>
        <w:t xml:space="preserve">, 5, 26-36.</w:t>
      </w:r>
    </w:p>
    <w:p>
      <w:pPr>
        <w:pStyle w:val="Ref"/>
      </w:pPr>
      <w:r>
        <w:t xml:space="preserve">Häyhä, T., Lucas, P.L., van Vuuren, D.P., Cornell, S.E. &amp; Hoff, H. (2016). From Planetary Boundaries to national fair shares of the global safe operating space: How can the scales be bridged? </w:t>
      </w:r>
      <w:r>
        <w:rPr>
          <w:i/>
          <w:iCs/>
        </w:rPr>
        <w:t xml:space="preserve">Global Environmental Change</w:t>
      </w:r>
      <w:r>
        <w:t xml:space="preserve">, 40, 60-72.</w:t>
      </w:r>
    </w:p>
    <w:p>
      <w:pPr>
        <w:pStyle w:val="Ref"/>
      </w:pPr>
      <w:r>
        <w:t xml:space="preserve">Henriksen, H.J., Ondracek, M. &amp; Troldborg, L. (2023). </w:t>
      </w:r>
      <w:r>
        <w:rPr>
          <w:i/>
          <w:iCs/>
        </w:rPr>
        <w:t xml:space="preserve">Vandressourceopgørelse: Datarapport</w:t>
      </w:r>
      <w:r>
        <w:t xml:space="preserve">. GEUS rapport 2023/08. København: GEUS.</w:t>
      </w:r>
    </w:p>
    <w:p>
      <w:pPr>
        <w:pStyle w:val="Ref"/>
      </w:pPr>
      <w:r>
        <w:t xml:space="preserve">Hjalsted, A.W., Laurent, A., Andersen, M.M., Olsen, K.H., Ryberg, M. &amp; Hauschild, M. (2021). Sharing the safe operating space: Exploring ethical allocation principles to operationalize the planetary boundaries and assess absolute sustainability at individual and industrial sector levels. </w:t>
      </w:r>
      <w:r>
        <w:rPr>
          <w:i/>
          <w:iCs/>
        </w:rPr>
        <w:t xml:space="preserve">Journal of Industrial Ecology</w:t>
      </w:r>
      <w:r>
        <w:t xml:space="preserve">, 25(1), 6-19.</w:t>
      </w:r>
    </w:p>
    <w:p>
      <w:pPr>
        <w:pStyle w:val="Ref"/>
      </w:pPr>
      <w:r>
        <w:t xml:space="preserve">Hot or Cool Institute (2021). </w:t>
      </w:r>
      <w:r>
        <w:rPr>
          <w:i/>
          <w:iCs/>
        </w:rPr>
        <w:t xml:space="preserve">1.5-Degree Lifestyles: Towards a Fair Consumption Space for All</w:t>
      </w:r>
      <w:r>
        <w:t xml:space="preserve">. Berlin: Hot or Cool Institute.</w:t>
      </w:r>
    </w:p>
    <w:p>
      <w:pPr>
        <w:pStyle w:val="Ref"/>
      </w:pPr>
      <w:r>
        <w:t xml:space="preserve">Kleinman, J.C. (1973). Proportions with extraneous variance: Single and independent samples. </w:t>
      </w:r>
      <w:r>
        <w:rPr>
          <w:i/>
          <w:iCs/>
        </w:rPr>
        <w:t xml:space="preserve">Journal of the American Statistical Association</w:t>
      </w:r>
      <w:r>
        <w:t xml:space="preserve">, 68, 46-54.</w:t>
      </w:r>
    </w:p>
    <w:p>
      <w:pPr>
        <w:pStyle w:val="Ref"/>
      </w:pPr>
      <w:r>
        <w:t xml:space="preserve">Lind, A., Friis, C. &amp; Vea, E. (2025). </w:t>
      </w:r>
      <w:r>
        <w:rPr>
          <w:i/>
          <w:iCs/>
        </w:rPr>
        <w:t xml:space="preserve">Downscaling the planetary boundaries to national level: The case of Denmark</w:t>
      </w:r>
      <w:r>
        <w:t xml:space="preserve">. Teknisk rapport. København: CONCITO.</w:t>
      </w:r>
    </w:p>
    <w:p>
      <w:pPr>
        <w:pStyle w:val="Ref"/>
      </w:pPr>
      <w:r>
        <w:t xml:space="preserve">Miljøstyrelsen (2025). </w:t>
      </w:r>
      <w:r>
        <w:rPr>
          <w:i/>
          <w:iCs/>
        </w:rPr>
        <w:t xml:space="preserve">Befolkningen kan have tillid til den danske vandforsyning</w:t>
      </w:r>
      <w:r>
        <w:t xml:space="preserve">. Nyhed, januar 2025.</w:t>
      </w:r>
    </w:p>
    <w:p>
      <w:pPr>
        <w:pStyle w:val="Ref"/>
      </w:pPr>
      <w:r>
        <w:t xml:space="preserve">O'Neill, D.W., Fanning, A.L., Lamb, W.F. &amp; Steinberger, J.K. (2018). A good life for all within planetary boundaries. </w:t>
      </w:r>
      <w:r>
        <w:rPr>
          <w:i/>
          <w:iCs/>
        </w:rPr>
        <w:t xml:space="preserve">Nature Sustainability</w:t>
      </w:r>
      <w:r>
        <w:t xml:space="preserve">, 1(2), 88-95.</w:t>
      </w:r>
    </w:p>
    <w:p>
      <w:pPr>
        <w:pStyle w:val="Ref"/>
      </w:pPr>
      <w:r>
        <w:t xml:space="preserve">Osei-Owusu, A.K., Thomsen, M., Lindahl, J., Javakhishvili Larsen, N. &amp; Caro, D. (2020). Tracking the carbon emissions of Denmark's five regions from a producer and consumer perspective. </w:t>
      </w:r>
      <w:r>
        <w:rPr>
          <w:i/>
          <w:iCs/>
        </w:rPr>
        <w:t xml:space="preserve">Ecological Economics</w:t>
      </w:r>
      <w:r>
        <w:t xml:space="preserve">, 177, 106778.</w:t>
      </w:r>
    </w:p>
    <w:p>
      <w:pPr>
        <w:pStyle w:val="Ref"/>
      </w:pPr>
      <w:r>
        <w:t xml:space="preserve">Raworth, K. (2017). </w:t>
      </w:r>
      <w:r>
        <w:rPr>
          <w:i/>
          <w:iCs/>
        </w:rPr>
        <w:t xml:space="preserve">Doughnut Economics: Seven Ways to Think Like a 21st-Century Economist</w:t>
      </w:r>
      <w:r>
        <w:t xml:space="preserve">. London: Random House Business.</w:t>
      </w:r>
    </w:p>
    <w:p>
      <w:pPr>
        <w:pStyle w:val="Ref"/>
      </w:pPr>
      <w:r>
        <w:t xml:space="preserve">Richardson, K., Steffen, W., Lucht, W. m.fl. (2023). Earth beyond six of nine planetary boundaries. </w:t>
      </w:r>
      <w:r>
        <w:rPr>
          <w:i/>
          <w:iCs/>
        </w:rPr>
        <w:t xml:space="preserve">Science Advances</w:t>
      </w:r>
      <w:r>
        <w:t xml:space="preserve">, 9(37), eadh2458.</w:t>
      </w:r>
    </w:p>
    <w:p>
      <w:pPr>
        <w:pStyle w:val="Ref"/>
      </w:pPr>
      <w:r>
        <w:t xml:space="preserve">Rockström, J., Steffen, W., Noone, K. m.fl. (2009). A safe operating space for humanity. </w:t>
      </w:r>
      <w:r>
        <w:rPr>
          <w:i/>
          <w:iCs/>
        </w:rPr>
        <w:t xml:space="preserve">Nature</w:t>
      </w:r>
      <w:r>
        <w:t xml:space="preserve">, 461, 472-475.</w:t>
      </w:r>
    </w:p>
    <w:p>
      <w:pPr>
        <w:pStyle w:val="Ref"/>
      </w:pPr>
      <w:r>
        <w:t xml:space="preserve">Ryberg, M.W., Andersen, M.M., Owsianiak, M. &amp; Hauschild, M.Z. (2020). Downscaling the planetary boundaries in absolute environmental sustainability assessments: A review. </w:t>
      </w:r>
      <w:r>
        <w:rPr>
          <w:i/>
          <w:iCs/>
        </w:rPr>
        <w:t xml:space="preserve">Journal of Cleaner Production</w:t>
      </w:r>
      <w:r>
        <w:t xml:space="preserve">, 276, 123287.</w:t>
      </w:r>
    </w:p>
    <w:p>
      <w:pPr>
        <w:pStyle w:val="Ref"/>
      </w:pPr>
      <w:r>
        <w:t xml:space="preserve">Steffen, W., Richardson, K., Rockström, J. m.fl. (2015). Planetary boundaries: Guiding human development on a changing planet. </w:t>
      </w:r>
      <w:r>
        <w:rPr>
          <w:i/>
          <w:iCs/>
        </w:rPr>
        <w:t xml:space="preserve">Science</w:t>
      </w:r>
      <w:r>
        <w:t xml:space="preserve">, 347(6223), 1259855.</w:t>
      </w:r>
    </w:p>
    <w:p>
      <w:pPr>
        <w:pStyle w:val="Ref"/>
      </w:pPr>
      <w:r>
        <w:t xml:space="preserve">Styrelsen for Grøn Arealomlægning og Vandmiljø (2026). </w:t>
      </w:r>
      <w:r>
        <w:rPr>
          <w:i/>
          <w:iCs/>
        </w:rPr>
        <w:t xml:space="preserve">Vandområdeplanerne 2021-2027 efter genbesøget</w:t>
      </w:r>
      <w:r>
        <w:t xml:space="preserve">, bilag 1.1. Revideret april 2026.</w:t>
      </w:r>
    </w:p>
    <w:p>
      <w:pPr>
        <w:pStyle w:val="Ref"/>
      </w:pPr>
      <w:r>
        <w:t xml:space="preserve">World Health Organization (2021). </w:t>
      </w:r>
      <w:r>
        <w:rPr>
          <w:i/>
          <w:iCs/>
        </w:rPr>
        <w:t xml:space="preserve">WHO global air quality guidelines: Particulate matter (PM2.5 and PM10), ozone, nitrogen dioxide, sulfur dioxide and carbon monoxide</w:t>
      </w:r>
      <w:r>
        <w:t xml:space="preserve">. Genève: WHO.</w:t>
      </w:r>
    </w:p>
    <w:p>
      <w:pPr>
        <w:pageBreakBefore/>
      </w:pPr>
    </w:p>
    <w:p>
      <w:pPr>
        <w:pStyle w:val="Heading1"/>
      </w:pPr>
      <w:r>
        <w:t xml:space="preserve">Bilag A. De 15 økologiske indikatorer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61"/>
        <w:gridCol w:w="2268"/>
        <w:gridCol w:w="1995"/>
        <w:gridCol w:w="1179"/>
        <w:gridCol w:w="1542"/>
        <w:gridCol w:w="725"/>
      </w:tblGrid>
      <w:tr>
        <w:trPr>
          <w:tblHeader/>
        </w:trPr>
        <w:tc>
          <w:tcPr>
            <w:tcW w:type="dxa" w:w="1361"/>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Dimension</w:t>
            </w:r>
          </w:p>
        </w:tc>
        <w:tc>
          <w:tcPr>
            <w:tcW w:type="dxa" w:w="2268"/>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Indikator</w:t>
            </w:r>
          </w:p>
        </w:tc>
        <w:tc>
          <w:tcPr>
            <w:tcW w:type="dxa" w:w="1995"/>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Kilde</w:t>
            </w:r>
          </w:p>
        </w:tc>
        <w:tc>
          <w:tcPr>
            <w:tcW w:type="dxa" w:w="1179"/>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Grænse</w:t>
            </w:r>
          </w:p>
        </w:tc>
        <w:tc>
          <w:tcPr>
            <w:tcW w:type="dxa" w:w="1542"/>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Score</w:t>
            </w:r>
          </w:p>
        </w:tc>
        <w:tc>
          <w:tcPr>
            <w:tcW w:type="dxa" w:w="725"/>
            <w:tcBorders>
              <w:top w:val="single" w:color="BFBFBF" w:sz="4"/>
              <w:left w:val="none" w:color="FFFFFF" w:sz="0"/>
              <w:bottom w:val="single" w:color="BFBFBF" w:sz="4"/>
              <w:right w:val="none" w:color="FFFFFF" w:sz="0"/>
            </w:tcBorders>
            <w:shd w:fill="F2F2F2" w:color="auto" w:val="clear"/>
            <w:tcMar>
              <w:top w:type="dxa" w:w="50"/>
              <w:left w:type="dxa" w:w="80"/>
              <w:bottom w:type="dxa" w:w="50"/>
              <w:right w:type="dxa" w:w="80"/>
            </w:tcMar>
          </w:tcPr>
          <w:p>
            <w:pPr>
              <w:spacing w:after="0" w:line="250"/>
              <w:jc w:val="left"/>
            </w:pPr>
            <w:r>
              <w:rPr>
                <w:rFonts w:ascii="Arial" w:cs="Arial" w:eastAsia="Arial" w:hAnsi="Arial"/>
                <w:b/>
                <w:bCs/>
                <w:color w:val="1A1A1A"/>
                <w:sz w:val="15"/>
                <w:szCs w:val="15"/>
              </w:rPr>
              <w:t xml:space="preserve">Dataår</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Klimapåvirkning</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Territoriale udledninger</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Klimaregnskabet.dk</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2,5 ton CO₂e/person</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2023</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Klimapåvirkning</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Forbrugsbaseret CO₂ (inkl. import)</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Osei-Owusu et al. 2020 + ENS Global Afrapportering</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2,5 ton CO₂e/person</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Forurening</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Pesticidfund ved almene vandværker</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GEUS Jupiter</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2026</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Forurening</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Nitrat i drikkevand</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GEUS Jupiter</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6 mg/L</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2026</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Forurening</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Genanvendelse (husholdning)</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LABY25</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65 %</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(100 − andel) / (100 −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2021-2023</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Forurening</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Affald pr. person</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LABY25</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2021-2023</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Luftkvalitet</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NO₂ (kvælstofdioxid)</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DCE/AU UBM via Miljøportal WFS</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 µg/m³</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Luftkvalitet</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PM2.5 (fine partikler)</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DCE/AU UBM via Miljøportal WFS</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5 µg/m³</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Næringsstoffer</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Kvælstof til kystvande ift. målbelastning</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Vandområdeplanerne efter genbesøget 2026</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100 %</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2017-2021</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Næringsstoffer</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Kvælstofnedfald fra luften</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DCE DEHM-modellen</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 kg N/ha</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2022-2024</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Næringsstoffer</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Vandområder i god økologisk tilstand (VP3)</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Vandområdeplan 3 (VP3 2e2025)</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(100 − andel) / (100 −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2025</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Vand</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Grundvandsindvinding mod den bæredygtige ressource</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VANDIND + GEUS 2023 + HIP</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100 %</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2022-2024</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Arealanvendelse</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Antropiseret areal (landbrug og befæstet)</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DST AREALDK2</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Landstal</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værdi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2024</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Biodiversitet</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Væsentlig naturværdi (bioscore ≥8)</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DCE Biodiversitetskort (bioscore)</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30 %</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(100 − andel) / (100 −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2021</w:t>
            </w:r>
          </w:p>
        </w:tc>
      </w:tr>
      <w:tr>
        <w:trPr>
          <w:cantSplit/>
        </w:trPr>
        <w:tc>
          <w:tcPr>
            <w:tcW w:type="dxa" w:w="1361"/>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Biodiversitet</w:t>
            </w:r>
          </w:p>
        </w:tc>
        <w:tc>
          <w:tcPr>
            <w:tcW w:type="dxa" w:w="2268"/>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Uerstattelig naturværdi (bioscore ≥12)</w:t>
            </w:r>
          </w:p>
        </w:tc>
        <w:tc>
          <w:tcPr>
            <w:tcW w:type="dxa" w:w="199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DCE Biodiversitetskort (bioscore)</w:t>
            </w:r>
          </w:p>
        </w:tc>
        <w:tc>
          <w:tcPr>
            <w:tcW w:type="dxa" w:w="1179"/>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10 %</w:t>
            </w:r>
          </w:p>
        </w:tc>
        <w:tc>
          <w:tcPr>
            <w:tcW w:type="dxa" w:w="1542"/>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(100 − andel) / (100 − grænse) × 100</w:t>
            </w:r>
          </w:p>
        </w:tc>
        <w:tc>
          <w:tcPr>
            <w:tcW w:type="dxa" w:w="725"/>
            <w:tcBorders>
              <w:top w:val="none" w:color="FFFFFF" w:sz="0"/>
              <w:left w:val="none" w:color="FFFFFF" w:sz="0"/>
              <w:bottom w:val="single" w:color="BFBFBF" w:sz="4"/>
              <w:right w:val="none" w:color="FFFFFF" w:sz="0"/>
            </w:tcBorders>
            <w:tcMar>
              <w:top w:type="dxa" w:w="50"/>
              <w:left w:type="dxa" w:w="80"/>
              <w:bottom w:type="dxa" w:w="50"/>
              <w:right w:type="dxa" w:w="80"/>
            </w:tcMar>
          </w:tcPr>
          <w:p>
            <w:pPr>
              <w:spacing w:after="0" w:line="250"/>
              <w:jc w:val="left"/>
            </w:pPr>
            <w:r>
              <w:rPr>
                <w:rFonts w:ascii="Arial" w:cs="Arial" w:eastAsia="Arial" w:hAnsi="Arial"/>
                <w:b w:val="false"/>
                <w:bCs w:val="false"/>
                <w:color w:val="1A1A1A"/>
                <w:sz w:val="15"/>
                <w:szCs w:val="15"/>
              </w:rPr>
              <w:t xml:space="preserve">2021</w:t>
            </w:r>
          </w:p>
        </w:tc>
      </w:tr>
    </w:tbl>
    <w:p>
      <w:pPr>
        <w:spacing w:after="240" w:before="80" w:line="260"/>
      </w:pPr>
      <w:r>
        <w:rPr>
          <w:rFonts w:ascii="Arial" w:cs="Arial" w:eastAsia="Arial" w:hAnsi="Arial"/>
          <w:color w:val="595959"/>
          <w:sz w:val="17"/>
          <w:szCs w:val="17"/>
        </w:rPr>
        <w:t xml:space="preserve">Landstal: Danmark som helhed. Pesticider og vandområder bruger landets andel, affald og antropiseret areal landets niveau. Ingen økologisk indikator har et loft.</w:t>
      </w:r>
    </w:p>
    <w:sectPr>
      <w:headerReference w:type="default" r:id="rId7"/>
      <w:footerReference w:type="default" r:id="rId8"/>
      <w:pgSz w:w="11906" w:h="16838" w:orient="portrait"/>
      <w:pgMar w:top="1418" w:right="1418" w:bottom="1418" w:left="1418" w:header="70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Side </w:t>
      <w:fldChar w:fldCharType="begin"/>
      <w:instrText xml:space="preserve">PAGE</w:instrText>
      <w:fldChar w:fldCharType="separate"/>
      <w:fldChar w:fldCharType="end"/>
      <w:t xml:space="preserve"> af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5"/>
        <w:szCs w:val="15"/>
      </w:rPr>
      <w:t xml:space="preserve">Danmarks 98 Doughnuts: den økologiske 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abstractNum w:abstractNumId="7" w15:restartNumberingAfterBreak="0">
    <w:multiLevelType w:val="hybridMultilevel"/>
    <w:lvl w:ilvl="0" w15:tentative="1">
      <w:start w:val="1"/>
      <w:numFmt w:val="decimal"/>
      <w:lvlText w:val="%1."/>
      <w:lvlJc w:val="left"/>
      <w:pPr>
        <w:ind w:left="567" w:hanging="340"/>
      </w:pPr>
    </w:lvl>
  </w:abstractNum>
  <w:abstractNum w:abstractNumId="8" w15:restartNumberingAfterBreak="0">
    <w:multiLevelType w:val="hybridMultilevel"/>
    <w:lvl w:ilvl="0" w15:tentative="1">
      <w:start w:val="1"/>
      <w:numFmt w:val="decimal"/>
      <w:lvlText w:val="%1."/>
      <w:lvlJc w:val="left"/>
      <w:pPr>
        <w:ind w:left="567" w:hanging="340"/>
      </w:pPr>
    </w:lvl>
  </w:abstractNum>
  <w:abstractNum w:abstractNumId="9" w15:restartNumberingAfterBreak="0">
    <w:multiLevelType w:val="hybridMultilevel"/>
    <w:lvl w:ilvl="0" w15:tentative="1">
      <w:start w:val="1"/>
      <w:numFmt w:val="decimal"/>
      <w:lvlText w:val="%1."/>
      <w:lvlJc w:val="left"/>
      <w:pPr>
        <w:ind w:left="567" w:hanging="340"/>
      </w:pPr>
    </w:lvl>
  </w:abstractNum>
  <w:abstractNum w:abstractNumId="10" w15:restartNumberingAfterBreak="0">
    <w:multiLevelType w:val="hybridMultilevel"/>
    <w:lvl w:ilvl="0" w15:tentative="1">
      <w:start w:val="1"/>
      <w:numFmt w:val="decimal"/>
      <w:lvlText w:val="%1."/>
      <w:lvlJc w:val="left"/>
      <w:pPr>
        <w:ind w:left="567" w:hanging="340"/>
      </w:pPr>
    </w:lvl>
  </w:abstractNum>
  <w:abstractNum w:abstractNumId="11" w15:restartNumberingAfterBreak="0">
    <w:multiLevelType w:val="hybridMultilevel"/>
    <w:lvl w:ilvl="0" w15:tentative="1">
      <w:start w:val="1"/>
      <w:numFmt w:val="decimal"/>
      <w:lvlText w:val="%1."/>
      <w:lvlJc w:val="left"/>
      <w:pPr>
        <w:ind w:left="567" w:hanging="340"/>
      </w:pPr>
    </w:lvl>
  </w:abstractNum>
  <w:abstractNum w:abstractNumId="12" w15:restartNumberingAfterBreak="0">
    <w:multiLevelType w:val="hybridMultilevel"/>
    <w:lvl w:ilvl="0" w15:tentative="1">
      <w:start w:val="1"/>
      <w:numFmt w:val="decimal"/>
      <w:lvlText w:val="%1."/>
      <w:lvlJc w:val="left"/>
      <w:pPr>
        <w:ind w:left="567" w:hanging="340"/>
      </w:pPr>
    </w:lvl>
  </w:abstractNum>
  <w:abstractNum w:abstractNumId="13" w15:restartNumberingAfterBreak="0">
    <w:multiLevelType w:val="hybridMultilevel"/>
    <w:lvl w:ilvl="0" w15:tentative="1">
      <w:start w:val="1"/>
      <w:numFmt w:val="decimal"/>
      <w:lvlText w:val="%1."/>
      <w:lvlJc w:val="left"/>
      <w:pPr>
        <w:ind w:left="567" w:hanging="340"/>
      </w:pPr>
    </w:lvl>
  </w:abstractNum>
  <w:abstractNum w:abstractNumId="14"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Body"/>
    <w:qFormat/>
    <w:pPr>
      <w:keepNext/>
      <w:spacing w:after="140" w:before="360"/>
      <w:outlineLvl w:val="0"/>
    </w:pPr>
    <w:rPr>
      <w:rFonts w:ascii="Arial" w:cs="Arial" w:eastAsia="Arial" w:hAnsi="Arial"/>
      <w:b/>
      <w:bCs/>
      <w:color w:val="1A1A1A"/>
      <w:sz w:val="28"/>
      <w:szCs w:val="28"/>
    </w:rPr>
  </w:style>
  <w:style w:type="paragraph" w:styleId="Heading2">
    <w:name w:val="Heading 2"/>
    <w:basedOn w:val="Normal"/>
    <w:next w:val="Body"/>
    <w:qFormat/>
    <w:pPr>
      <w:keepNext/>
      <w:spacing w:after="100" w:before="260"/>
      <w:outlineLvl w:val="1"/>
    </w:pPr>
    <w:rPr>
      <w:rFonts w:ascii="Arial" w:cs="Arial" w:eastAsia="Arial" w:hAnsi="Arial"/>
      <w:b/>
      <w:bCs/>
      <w:color w:val="1A1A1A"/>
      <w:sz w:val="23"/>
      <w:szCs w:val="23"/>
    </w:rPr>
  </w:style>
  <w:style w:type="paragraph" w:styleId="Heading3">
    <w:name w:val="Heading 3"/>
    <w:basedOn w:val="Normal"/>
    <w:next w:val="Body"/>
    <w:qFormat/>
    <w:pPr>
      <w:keepNext/>
      <w:spacing w:after="80" w:before="200"/>
      <w:outlineLvl w:val="2"/>
    </w:pPr>
    <w:rPr>
      <w:rFonts w:ascii="Arial" w:cs="Arial" w:eastAsia="Arial" w:hAnsi="Arial"/>
      <w:b/>
      <w:bCs/>
      <w:i w:val="false"/>
      <w:iCs w:val="false"/>
      <w:color w:val="595959"/>
      <w:sz w:val="21"/>
      <w:szCs w:val="21"/>
    </w:rPr>
  </w:style>
  <w:style w:type="paragraph" w:styleId="Body">
    <w:name w:val="Body"/>
    <w:basedOn w:val="Normal"/>
    <w:qFormat/>
    <w:pPr>
      <w:spacing w:after="140" w:line="300"/>
      <w:jc w:val="left"/>
    </w:pPr>
    <w:rPr>
      <w:rFonts w:ascii="Georgia" w:cs="Georgia" w:eastAsia="Georgia" w:hAnsi="Georgia"/>
      <w:sz w:val="21"/>
      <w:szCs w:val="21"/>
    </w:rPr>
  </w:style>
  <w:style w:type="paragraph" w:styleId="Abstract">
    <w:name w:val="Abstract"/>
    <w:basedOn w:val="Normal"/>
    <w:pPr>
      <w:spacing w:after="120" w:line="290"/>
      <w:ind w:left="340" w:right="340"/>
    </w:pPr>
    <w:rPr>
      <w:rFonts w:ascii="Georgia" w:cs="Georgia" w:eastAsia="Georgia" w:hAnsi="Georgia"/>
      <w:color w:val="333333"/>
      <w:sz w:val="20"/>
      <w:szCs w:val="20"/>
    </w:rPr>
  </w:style>
  <w:style w:type="paragraph" w:styleId="Ref">
    <w:name w:val="Reference"/>
    <w:basedOn w:val="Normal"/>
    <w:pPr>
      <w:spacing w:after="90" w:line="270"/>
      <w:ind w:left="400" w:hanging="400"/>
    </w:pPr>
    <w:rPr>
      <w:rFonts w:ascii="Georgia" w:cs="Georgia" w:eastAsia="Georgia" w:hAnsi="Georgi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4b5ff9b18ed0d0d45a6954d3ae530d1021a735.png"/><Relationship Id="rId10" Type="http://schemas.openxmlformats.org/officeDocument/2006/relationships/image" Target="media/6fbc2e51159b036773b239305281fc8df406eb5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 økologisk loft for 98 kommuner</dc:title>
  <dc:creator>Klimateamet, Thisted Kommune</dc:creator>
  <dc:description>Hvordan planetens grænser er regnet ned på danske kommuner i Danmarks 98 Doughnuts, og hvor det ikke kan lade sig gøre</dc:description>
  <cp:lastModifiedBy>Un-named</cp:lastModifiedBy>
  <cp:revision>1</cp:revision>
  <dcterms:created xsi:type="dcterms:W3CDTF">2026-09-25T18:05:12.885Z</dcterms:created>
  <dcterms:modified xsi:type="dcterms:W3CDTF">2026-09-25T18:05:12.885Z</dcterms:modified>
</cp:coreProperties>
</file>

<file path=docProps/custom.xml><?xml version="1.0" encoding="utf-8"?>
<Properties xmlns="http://schemas.openxmlformats.org/officeDocument/2006/custom-properties" xmlns:vt="http://schemas.openxmlformats.org/officeDocument/2006/docPropsVTypes"/>
</file>