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AE1" w:rsidRDefault="00100AE1" w:rsidP="00100AE1">
      <w:pPr>
        <w:spacing w:line="360" w:lineRule="exact"/>
        <w:rPr>
          <w:szCs w:val="21"/>
        </w:rPr>
      </w:pPr>
      <w:r>
        <w:rPr>
          <w:rFonts w:hint="eastAsia"/>
          <w:szCs w:val="21"/>
        </w:rPr>
        <w:t>拟购置罗克韦尔自动化</w:t>
      </w:r>
      <w:r>
        <w:rPr>
          <w:rFonts w:hint="eastAsia"/>
          <w:szCs w:val="21"/>
        </w:rPr>
        <w:t>E2000</w:t>
      </w:r>
      <w:r>
        <w:rPr>
          <w:rFonts w:hint="eastAsia"/>
          <w:szCs w:val="21"/>
        </w:rPr>
        <w:t>系列工业数据中心一套。</w:t>
      </w:r>
    </w:p>
    <w:p w:rsidR="00100AE1" w:rsidRPr="00CD4AEB" w:rsidRDefault="00100AE1" w:rsidP="00100AE1">
      <w:pPr>
        <w:spacing w:line="360" w:lineRule="exact"/>
        <w:rPr>
          <w:szCs w:val="21"/>
        </w:rPr>
      </w:pPr>
      <w:r>
        <w:rPr>
          <w:rFonts w:hint="eastAsia"/>
          <w:szCs w:val="21"/>
        </w:rPr>
        <w:t>包含：</w:t>
      </w:r>
    </w:p>
    <w:p w:rsidR="00100AE1" w:rsidRPr="00614311" w:rsidRDefault="00100AE1" w:rsidP="00100AE1">
      <w:pPr>
        <w:pStyle w:val="Default"/>
        <w:numPr>
          <w:ilvl w:val="0"/>
          <w:numId w:val="2"/>
        </w:numPr>
        <w:jc w:val="both"/>
        <w:rPr>
          <w:rFonts w:ascii="Times New Roman" w:eastAsia="宋体" w:hAnsi="Times New Roman" w:cs="Times New Roman"/>
          <w:color w:val="auto"/>
          <w:kern w:val="2"/>
          <w:sz w:val="21"/>
          <w:szCs w:val="21"/>
        </w:rPr>
      </w:pPr>
      <w:r w:rsidRPr="00614311">
        <w:rPr>
          <w:rFonts w:ascii="Times New Roman" w:eastAsia="宋体" w:hAnsi="Times New Roman" w:cs="Times New Roman"/>
          <w:color w:val="auto"/>
          <w:kern w:val="2"/>
          <w:sz w:val="21"/>
          <w:szCs w:val="21"/>
        </w:rPr>
        <w:t xml:space="preserve">2 </w:t>
      </w:r>
      <w:r w:rsidRPr="00614311">
        <w:rPr>
          <w:rFonts w:ascii="Times New Roman" w:eastAsia="宋体" w:hAnsi="Times New Roman" w:cs="Times New Roman" w:hint="eastAsia"/>
          <w:color w:val="auto"/>
          <w:kern w:val="2"/>
          <w:sz w:val="21"/>
          <w:szCs w:val="21"/>
        </w:rPr>
        <w:t>台服务器</w:t>
      </w:r>
    </w:p>
    <w:p w:rsidR="00100AE1" w:rsidRPr="00614311" w:rsidRDefault="00100AE1" w:rsidP="00100AE1">
      <w:pPr>
        <w:pStyle w:val="Default"/>
        <w:numPr>
          <w:ilvl w:val="0"/>
          <w:numId w:val="2"/>
        </w:numPr>
        <w:jc w:val="both"/>
        <w:rPr>
          <w:rFonts w:ascii="Times New Roman" w:eastAsia="宋体" w:hAnsi="Times New Roman" w:cs="Times New Roman"/>
          <w:color w:val="auto"/>
          <w:kern w:val="2"/>
          <w:sz w:val="21"/>
          <w:szCs w:val="21"/>
        </w:rPr>
      </w:pPr>
      <w:r w:rsidRPr="00614311">
        <w:rPr>
          <w:rFonts w:ascii="Times New Roman" w:eastAsia="宋体" w:hAnsi="Times New Roman" w:cs="Times New Roman" w:hint="eastAsia"/>
          <w:color w:val="auto"/>
          <w:kern w:val="2"/>
          <w:sz w:val="21"/>
          <w:szCs w:val="21"/>
        </w:rPr>
        <w:t>可扩展为</w:t>
      </w:r>
      <w:r w:rsidRPr="00614311">
        <w:rPr>
          <w:rFonts w:ascii="Times New Roman" w:eastAsia="宋体" w:hAnsi="Times New Roman" w:cs="Times New Roman"/>
          <w:color w:val="auto"/>
          <w:kern w:val="2"/>
          <w:sz w:val="21"/>
          <w:szCs w:val="21"/>
        </w:rPr>
        <w:t xml:space="preserve"> 3 </w:t>
      </w:r>
      <w:r w:rsidRPr="00614311">
        <w:rPr>
          <w:rFonts w:ascii="Times New Roman" w:eastAsia="宋体" w:hAnsi="Times New Roman" w:cs="Times New Roman" w:hint="eastAsia"/>
          <w:color w:val="auto"/>
          <w:kern w:val="2"/>
          <w:sz w:val="21"/>
          <w:szCs w:val="21"/>
        </w:rPr>
        <w:t>台服务器</w:t>
      </w:r>
    </w:p>
    <w:p w:rsidR="00100AE1" w:rsidRPr="00614311" w:rsidRDefault="00100AE1" w:rsidP="00100AE1">
      <w:pPr>
        <w:pStyle w:val="Default"/>
        <w:numPr>
          <w:ilvl w:val="0"/>
          <w:numId w:val="2"/>
        </w:numPr>
        <w:jc w:val="both"/>
        <w:rPr>
          <w:rFonts w:ascii="Times New Roman" w:eastAsia="宋体" w:hAnsi="Times New Roman" w:cs="Times New Roman"/>
          <w:color w:val="auto"/>
          <w:kern w:val="2"/>
          <w:sz w:val="21"/>
          <w:szCs w:val="21"/>
        </w:rPr>
      </w:pPr>
      <w:r w:rsidRPr="00614311">
        <w:rPr>
          <w:rFonts w:ascii="Times New Roman" w:eastAsia="宋体" w:hAnsi="Times New Roman" w:cs="Times New Roman"/>
          <w:color w:val="auto"/>
          <w:kern w:val="2"/>
          <w:sz w:val="21"/>
          <w:szCs w:val="21"/>
        </w:rPr>
        <w:t xml:space="preserve">5 TB </w:t>
      </w:r>
      <w:r w:rsidRPr="00614311">
        <w:rPr>
          <w:rFonts w:ascii="Times New Roman" w:eastAsia="宋体" w:hAnsi="Times New Roman" w:cs="Times New Roman" w:hint="eastAsia"/>
          <w:color w:val="auto"/>
          <w:kern w:val="2"/>
          <w:sz w:val="21"/>
          <w:szCs w:val="21"/>
        </w:rPr>
        <w:t>可用存储</w:t>
      </w:r>
    </w:p>
    <w:p w:rsidR="00100AE1" w:rsidRPr="00614311" w:rsidRDefault="00100AE1" w:rsidP="00100AE1">
      <w:pPr>
        <w:pStyle w:val="Default"/>
        <w:numPr>
          <w:ilvl w:val="0"/>
          <w:numId w:val="2"/>
        </w:numPr>
        <w:jc w:val="both"/>
        <w:rPr>
          <w:rFonts w:ascii="Times New Roman" w:eastAsia="宋体" w:hAnsi="Times New Roman" w:cs="Times New Roman"/>
          <w:color w:val="auto"/>
          <w:kern w:val="2"/>
          <w:sz w:val="21"/>
          <w:szCs w:val="21"/>
        </w:rPr>
      </w:pPr>
      <w:r w:rsidRPr="00614311">
        <w:rPr>
          <w:rFonts w:ascii="Times New Roman" w:eastAsia="宋体" w:hAnsi="Times New Roman" w:cs="Times New Roman" w:hint="eastAsia"/>
          <w:color w:val="auto"/>
          <w:kern w:val="2"/>
          <w:sz w:val="21"/>
          <w:szCs w:val="21"/>
        </w:rPr>
        <w:t>可扩展为</w:t>
      </w:r>
      <w:r w:rsidRPr="00614311">
        <w:rPr>
          <w:rFonts w:ascii="Times New Roman" w:eastAsia="宋体" w:hAnsi="Times New Roman" w:cs="Times New Roman"/>
          <w:color w:val="auto"/>
          <w:kern w:val="2"/>
          <w:sz w:val="21"/>
          <w:szCs w:val="21"/>
        </w:rPr>
        <w:t xml:space="preserve"> 25 </w:t>
      </w:r>
      <w:proofErr w:type="gramStart"/>
      <w:r w:rsidRPr="00614311">
        <w:rPr>
          <w:rFonts w:ascii="Times New Roman" w:eastAsia="宋体" w:hAnsi="Times New Roman" w:cs="Times New Roman" w:hint="eastAsia"/>
          <w:color w:val="auto"/>
          <w:kern w:val="2"/>
          <w:sz w:val="21"/>
          <w:szCs w:val="21"/>
        </w:rPr>
        <w:t>个</w:t>
      </w:r>
      <w:proofErr w:type="gramEnd"/>
      <w:r w:rsidRPr="00614311">
        <w:rPr>
          <w:rFonts w:ascii="Times New Roman" w:eastAsia="宋体" w:hAnsi="Times New Roman" w:cs="Times New Roman" w:hint="eastAsia"/>
          <w:color w:val="auto"/>
          <w:kern w:val="2"/>
          <w:sz w:val="21"/>
          <w:szCs w:val="21"/>
        </w:rPr>
        <w:t>以上的存储磁盘</w:t>
      </w:r>
    </w:p>
    <w:p w:rsidR="00100AE1" w:rsidRPr="00614311" w:rsidRDefault="00100AE1" w:rsidP="00100AE1">
      <w:pPr>
        <w:pStyle w:val="Default"/>
        <w:numPr>
          <w:ilvl w:val="0"/>
          <w:numId w:val="2"/>
        </w:numPr>
        <w:jc w:val="both"/>
        <w:rPr>
          <w:rFonts w:ascii="Times New Roman" w:eastAsia="宋体" w:hAnsi="Times New Roman" w:cs="Times New Roman"/>
          <w:color w:val="auto"/>
          <w:kern w:val="2"/>
          <w:sz w:val="21"/>
          <w:szCs w:val="21"/>
        </w:rPr>
      </w:pPr>
      <w:proofErr w:type="spellStart"/>
      <w:r w:rsidRPr="00614311">
        <w:rPr>
          <w:rFonts w:ascii="Times New Roman" w:eastAsia="宋体" w:hAnsi="Times New Roman" w:cs="Times New Roman"/>
          <w:color w:val="auto"/>
          <w:kern w:val="2"/>
          <w:sz w:val="21"/>
          <w:szCs w:val="21"/>
        </w:rPr>
        <w:t>vSphere</w:t>
      </w:r>
      <w:proofErr w:type="spellEnd"/>
      <w:r w:rsidRPr="00614311">
        <w:rPr>
          <w:rFonts w:ascii="Times New Roman" w:eastAsia="宋体" w:hAnsi="Times New Roman" w:cs="Times New Roman"/>
          <w:color w:val="auto"/>
          <w:kern w:val="2"/>
          <w:sz w:val="21"/>
          <w:szCs w:val="21"/>
        </w:rPr>
        <w:t xml:space="preserve"> Standard</w:t>
      </w:r>
    </w:p>
    <w:p w:rsidR="00100AE1" w:rsidRPr="00614311" w:rsidRDefault="00100AE1" w:rsidP="00100AE1">
      <w:pPr>
        <w:pStyle w:val="Default"/>
        <w:numPr>
          <w:ilvl w:val="0"/>
          <w:numId w:val="2"/>
        </w:numPr>
        <w:jc w:val="both"/>
        <w:rPr>
          <w:rFonts w:ascii="Times New Roman" w:eastAsia="宋体" w:hAnsi="Times New Roman" w:cs="Times New Roman"/>
          <w:color w:val="auto"/>
          <w:kern w:val="2"/>
          <w:sz w:val="21"/>
          <w:szCs w:val="21"/>
        </w:rPr>
      </w:pPr>
      <w:r w:rsidRPr="00614311">
        <w:rPr>
          <w:rFonts w:ascii="Times New Roman" w:eastAsia="宋体" w:hAnsi="Times New Roman" w:cs="Times New Roman"/>
          <w:color w:val="auto"/>
          <w:kern w:val="2"/>
          <w:sz w:val="21"/>
          <w:szCs w:val="21"/>
        </w:rPr>
        <w:t xml:space="preserve">24 </w:t>
      </w:r>
      <w:proofErr w:type="gramStart"/>
      <w:r w:rsidRPr="00614311">
        <w:rPr>
          <w:rFonts w:ascii="Times New Roman" w:eastAsia="宋体" w:hAnsi="Times New Roman" w:cs="Times New Roman" w:hint="eastAsia"/>
          <w:color w:val="auto"/>
          <w:kern w:val="2"/>
          <w:sz w:val="21"/>
          <w:szCs w:val="21"/>
        </w:rPr>
        <w:t>个</w:t>
      </w:r>
      <w:proofErr w:type="gramEnd"/>
      <w:r w:rsidRPr="00614311">
        <w:rPr>
          <w:rFonts w:ascii="Times New Roman" w:eastAsia="宋体" w:hAnsi="Times New Roman" w:cs="Times New Roman" w:hint="eastAsia"/>
          <w:color w:val="auto"/>
          <w:kern w:val="2"/>
          <w:sz w:val="21"/>
          <w:szCs w:val="21"/>
        </w:rPr>
        <w:t>机架单元</w:t>
      </w:r>
    </w:p>
    <w:p w:rsidR="00100AE1" w:rsidRPr="00614311" w:rsidRDefault="00100AE1" w:rsidP="00100AE1">
      <w:pPr>
        <w:pStyle w:val="Default"/>
        <w:numPr>
          <w:ilvl w:val="0"/>
          <w:numId w:val="2"/>
        </w:numPr>
        <w:jc w:val="both"/>
        <w:rPr>
          <w:rFonts w:ascii="Times New Roman" w:eastAsia="宋体" w:hAnsi="Times New Roman" w:cs="Times New Roman"/>
          <w:color w:val="auto"/>
          <w:kern w:val="2"/>
          <w:sz w:val="21"/>
          <w:szCs w:val="21"/>
        </w:rPr>
      </w:pPr>
      <w:r w:rsidRPr="00614311">
        <w:rPr>
          <w:rFonts w:ascii="Times New Roman" w:eastAsia="宋体" w:hAnsi="Times New Roman" w:cs="Times New Roman" w:hint="eastAsia"/>
          <w:color w:val="auto"/>
          <w:kern w:val="2"/>
          <w:sz w:val="21"/>
          <w:szCs w:val="21"/>
        </w:rPr>
        <w:t>操作系统许可证</w:t>
      </w:r>
    </w:p>
    <w:p w:rsidR="00100AE1" w:rsidRDefault="00100AE1" w:rsidP="00100AE1">
      <w:pPr>
        <w:pStyle w:val="Default"/>
        <w:numPr>
          <w:ilvl w:val="0"/>
          <w:numId w:val="2"/>
        </w:numPr>
        <w:jc w:val="both"/>
        <w:rPr>
          <w:rFonts w:ascii="Times New Roman" w:eastAsia="宋体" w:hAnsi="Times New Roman" w:cs="Times New Roman"/>
          <w:color w:val="auto"/>
          <w:kern w:val="2"/>
          <w:sz w:val="21"/>
          <w:szCs w:val="21"/>
        </w:rPr>
      </w:pPr>
      <w:r w:rsidRPr="00614311">
        <w:rPr>
          <w:rFonts w:ascii="Times New Roman" w:eastAsia="宋体" w:hAnsi="Times New Roman" w:cs="Times New Roman"/>
          <w:color w:val="auto"/>
          <w:kern w:val="2"/>
          <w:sz w:val="21"/>
          <w:szCs w:val="21"/>
        </w:rPr>
        <w:t xml:space="preserve">1 </w:t>
      </w:r>
      <w:r w:rsidRPr="00614311">
        <w:rPr>
          <w:rFonts w:ascii="Times New Roman" w:eastAsia="宋体" w:hAnsi="Times New Roman" w:cs="Times New Roman" w:hint="eastAsia"/>
          <w:color w:val="auto"/>
          <w:kern w:val="2"/>
          <w:sz w:val="21"/>
          <w:szCs w:val="21"/>
        </w:rPr>
        <w:t>年硬件</w:t>
      </w:r>
      <w:r w:rsidRPr="00614311">
        <w:rPr>
          <w:rFonts w:ascii="Times New Roman" w:eastAsia="宋体" w:hAnsi="Times New Roman" w:cs="Times New Roman"/>
          <w:color w:val="auto"/>
          <w:kern w:val="2"/>
          <w:sz w:val="21"/>
          <w:szCs w:val="21"/>
        </w:rPr>
        <w:t>/</w:t>
      </w:r>
      <w:r w:rsidRPr="00614311">
        <w:rPr>
          <w:rFonts w:ascii="Times New Roman" w:eastAsia="宋体" w:hAnsi="Times New Roman" w:cs="Times New Roman" w:hint="eastAsia"/>
          <w:color w:val="auto"/>
          <w:kern w:val="2"/>
          <w:sz w:val="21"/>
          <w:szCs w:val="21"/>
        </w:rPr>
        <w:t>软件保修</w:t>
      </w:r>
    </w:p>
    <w:p w:rsidR="00100AE1" w:rsidRPr="00614311" w:rsidRDefault="00100AE1" w:rsidP="00100AE1">
      <w:pPr>
        <w:pStyle w:val="Default"/>
        <w:ind w:left="420"/>
        <w:jc w:val="center"/>
        <w:rPr>
          <w:rFonts w:ascii="Times New Roman" w:eastAsia="宋体" w:hAnsi="Times New Roman" w:cs="Times New Roman"/>
          <w:color w:val="auto"/>
          <w:kern w:val="2"/>
          <w:sz w:val="21"/>
          <w:szCs w:val="21"/>
        </w:rPr>
      </w:pPr>
      <w:r>
        <w:rPr>
          <w:rFonts w:ascii="Times New Roman" w:eastAsia="宋体" w:hAnsi="Times New Roman" w:cs="Times New Roman"/>
          <w:noProof/>
          <w:color w:val="auto"/>
          <w:kern w:val="2"/>
          <w:sz w:val="21"/>
          <w:szCs w:val="21"/>
        </w:rPr>
        <w:drawing>
          <wp:inline distT="0" distB="0" distL="0" distR="0" wp14:anchorId="28FC0138" wp14:editId="66C781C8">
            <wp:extent cx="670560" cy="1676400"/>
            <wp:effectExtent l="19050" t="0" r="0" b="0"/>
            <wp:docPr id="11" name="图片 1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stretch>
                      <a:fillRect/>
                    </a:stretch>
                  </pic:blipFill>
                  <pic:spPr>
                    <a:xfrm>
                      <a:off x="0" y="0"/>
                      <a:ext cx="670560" cy="1676400"/>
                    </a:xfrm>
                    <a:prstGeom prst="rect">
                      <a:avLst/>
                    </a:prstGeom>
                  </pic:spPr>
                </pic:pic>
              </a:graphicData>
            </a:graphic>
          </wp:inline>
        </w:drawing>
      </w:r>
      <w:r>
        <w:rPr>
          <w:rFonts w:ascii="Times New Roman" w:eastAsia="宋体" w:hAnsi="Times New Roman" w:cs="Times New Roman"/>
          <w:noProof/>
          <w:color w:val="auto"/>
          <w:kern w:val="2"/>
          <w:sz w:val="21"/>
          <w:szCs w:val="21"/>
        </w:rPr>
        <w:drawing>
          <wp:inline distT="0" distB="0" distL="0" distR="0" wp14:anchorId="0ECAB797" wp14:editId="11F1DED8">
            <wp:extent cx="3413170" cy="2187744"/>
            <wp:effectExtent l="19050" t="0" r="0" b="0"/>
            <wp:docPr id="12" name="图片 1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stretch>
                      <a:fillRect/>
                    </a:stretch>
                  </pic:blipFill>
                  <pic:spPr>
                    <a:xfrm>
                      <a:off x="0" y="0"/>
                      <a:ext cx="3411916" cy="2186940"/>
                    </a:xfrm>
                    <a:prstGeom prst="rect">
                      <a:avLst/>
                    </a:prstGeom>
                  </pic:spPr>
                </pic:pic>
              </a:graphicData>
            </a:graphic>
          </wp:inline>
        </w:drawing>
      </w:r>
    </w:p>
    <w:p w:rsidR="00100AE1" w:rsidRPr="00100AE1" w:rsidRDefault="00100AE1" w:rsidP="00100AE1">
      <w:pPr>
        <w:pStyle w:val="Pa2"/>
        <w:spacing w:line="240" w:lineRule="auto"/>
        <w:ind w:firstLineChars="200" w:firstLine="420"/>
        <w:rPr>
          <w:rFonts w:asciiTheme="minorEastAsia" w:eastAsiaTheme="minorEastAsia" w:hAnsiTheme="minorEastAsia" w:cs="Times New Roman"/>
          <w:kern w:val="2"/>
          <w:sz w:val="21"/>
          <w:szCs w:val="21"/>
        </w:rPr>
      </w:pPr>
      <w:r w:rsidRPr="00100AE1">
        <w:rPr>
          <w:rFonts w:asciiTheme="minorEastAsia" w:eastAsiaTheme="minorEastAsia" w:hAnsiTheme="minorEastAsia" w:cs="Times New Roman" w:hint="eastAsia"/>
          <w:kern w:val="2"/>
          <w:sz w:val="21"/>
          <w:szCs w:val="21"/>
        </w:rPr>
        <w:t>虚拟化已被广泛应用为信息技术行业的标准，目前正在制造和生产行业逐渐兴起。如今，通过应用虚拟化，可以实现以下优势：</w:t>
      </w:r>
    </w:p>
    <w:p w:rsidR="00100AE1" w:rsidRPr="00100AE1" w:rsidRDefault="00100AE1" w:rsidP="00100AE1">
      <w:pPr>
        <w:pStyle w:val="Pa2"/>
        <w:spacing w:line="240" w:lineRule="auto"/>
        <w:ind w:firstLineChars="200" w:firstLine="420"/>
        <w:rPr>
          <w:rFonts w:asciiTheme="minorEastAsia" w:eastAsiaTheme="minorEastAsia" w:hAnsiTheme="minorEastAsia" w:cs="Times New Roman"/>
          <w:kern w:val="2"/>
          <w:sz w:val="21"/>
          <w:szCs w:val="21"/>
        </w:rPr>
      </w:pPr>
      <w:r w:rsidRPr="00100AE1">
        <w:rPr>
          <w:rFonts w:asciiTheme="minorEastAsia" w:eastAsiaTheme="minorEastAsia" w:hAnsiTheme="minorEastAsia" w:cs="Times New Roman" w:hint="eastAsia"/>
          <w:kern w:val="2"/>
          <w:sz w:val="21"/>
          <w:szCs w:val="21"/>
        </w:rPr>
        <w:t>减小服务器体积、延长应用寿命、通过管理和恢复功能提高基础设施可靠性</w:t>
      </w:r>
    </w:p>
    <w:p w:rsidR="00100AE1" w:rsidRPr="00100AE1" w:rsidRDefault="00100AE1" w:rsidP="00100AE1">
      <w:pPr>
        <w:pStyle w:val="Pa2"/>
        <w:spacing w:line="240" w:lineRule="auto"/>
        <w:ind w:firstLineChars="200" w:firstLine="420"/>
        <w:rPr>
          <w:rFonts w:asciiTheme="minorEastAsia" w:eastAsiaTheme="minorEastAsia" w:hAnsiTheme="minorEastAsia" w:cs="Times New Roman"/>
          <w:kern w:val="2"/>
          <w:sz w:val="21"/>
          <w:szCs w:val="21"/>
        </w:rPr>
      </w:pPr>
      <w:r w:rsidRPr="00100AE1">
        <w:rPr>
          <w:rFonts w:asciiTheme="minorEastAsia" w:eastAsiaTheme="minorEastAsia" w:hAnsiTheme="minorEastAsia" w:cs="Times New Roman" w:hint="eastAsia"/>
          <w:kern w:val="2"/>
          <w:sz w:val="21"/>
          <w:szCs w:val="21"/>
        </w:rPr>
        <w:t>工业数据中心可以通过</w:t>
      </w:r>
      <w:proofErr w:type="gramStart"/>
      <w:r w:rsidRPr="00100AE1">
        <w:rPr>
          <w:rFonts w:asciiTheme="minorEastAsia" w:eastAsiaTheme="minorEastAsia" w:hAnsiTheme="minorEastAsia" w:cs="Times New Roman" w:hint="eastAsia"/>
          <w:kern w:val="2"/>
          <w:sz w:val="21"/>
          <w:szCs w:val="21"/>
        </w:rPr>
        <w:t>预设计</w:t>
      </w:r>
      <w:proofErr w:type="gramEnd"/>
      <w:r w:rsidRPr="00100AE1">
        <w:rPr>
          <w:rFonts w:asciiTheme="minorEastAsia" w:eastAsiaTheme="minorEastAsia" w:hAnsiTheme="minorEastAsia" w:cs="Times New Roman" w:hint="eastAsia"/>
          <w:kern w:val="2"/>
          <w:sz w:val="21"/>
          <w:szCs w:val="21"/>
        </w:rPr>
        <w:t>的可扩展基础设施产品，帮助低业务成本。脱离虚拟化服务器运行多个操作系统和多个应用时所需的全部硬件都包含在成本中。</w:t>
      </w:r>
    </w:p>
    <w:p w:rsidR="00100AE1" w:rsidRPr="00100AE1" w:rsidRDefault="00100AE1" w:rsidP="00100AE1">
      <w:pPr>
        <w:widowControl/>
        <w:ind w:firstLineChars="200" w:firstLine="420"/>
        <w:jc w:val="left"/>
        <w:rPr>
          <w:rFonts w:asciiTheme="minorEastAsia" w:eastAsiaTheme="minorEastAsia" w:hAnsiTheme="minorEastAsia"/>
          <w:b/>
          <w:szCs w:val="21"/>
        </w:rPr>
      </w:pPr>
      <w:r w:rsidRPr="00100AE1">
        <w:rPr>
          <w:rFonts w:asciiTheme="minorEastAsia" w:eastAsiaTheme="minorEastAsia" w:hAnsiTheme="minorEastAsia" w:hint="eastAsia"/>
          <w:szCs w:val="21"/>
        </w:rPr>
        <w:t>工业数据中心作为一套</w:t>
      </w:r>
      <w:proofErr w:type="gramStart"/>
      <w:r w:rsidRPr="00100AE1">
        <w:rPr>
          <w:rFonts w:asciiTheme="minorEastAsia" w:eastAsiaTheme="minorEastAsia" w:hAnsiTheme="minorEastAsia" w:hint="eastAsia"/>
          <w:szCs w:val="21"/>
        </w:rPr>
        <w:t>预设计</w:t>
      </w:r>
      <w:proofErr w:type="gramEnd"/>
      <w:r w:rsidRPr="00100AE1">
        <w:rPr>
          <w:rFonts w:asciiTheme="minorEastAsia" w:eastAsiaTheme="minorEastAsia" w:hAnsiTheme="minorEastAsia" w:hint="eastAsia"/>
          <w:szCs w:val="21"/>
        </w:rPr>
        <w:t>解决方案，旨在简化业务向虚拟化环境转换的过程，从而节省时间和成本。通常情况下，订购五台设备需要五份订单，并且还需要雇佣合格的专业安装人员来帮助启动和运行设备，而工业数据中心则与此不同，它汇聚了来自行业领先企业的设备，这些设备专门针对制造和生产行业经过预先配置。所有设备装运时都已预先装配。专业技术人员将亲临现场调试系统。</w:t>
      </w:r>
    </w:p>
    <w:p w:rsidR="00100AE1" w:rsidRPr="00100AE1" w:rsidRDefault="00100AE1" w:rsidP="00100AE1">
      <w:pPr>
        <w:widowControl/>
        <w:spacing w:line="120" w:lineRule="auto"/>
        <w:ind w:firstLineChars="200" w:firstLine="422"/>
        <w:jc w:val="center"/>
        <w:rPr>
          <w:rFonts w:asciiTheme="minorEastAsia" w:eastAsiaTheme="minorEastAsia" w:hAnsiTheme="minorEastAsia"/>
          <w:b/>
          <w:szCs w:val="21"/>
        </w:rPr>
      </w:pPr>
    </w:p>
    <w:p w:rsidR="00100AE1" w:rsidRPr="00100AE1" w:rsidRDefault="00100AE1" w:rsidP="00100AE1">
      <w:pPr>
        <w:widowControl/>
        <w:spacing w:line="120" w:lineRule="auto"/>
        <w:ind w:firstLineChars="200" w:firstLine="422"/>
        <w:jc w:val="center"/>
        <w:rPr>
          <w:rFonts w:asciiTheme="minorEastAsia" w:eastAsiaTheme="minorEastAsia" w:hAnsiTheme="minorEastAsia"/>
          <w:b/>
          <w:szCs w:val="21"/>
        </w:rPr>
      </w:pPr>
    </w:p>
    <w:p w:rsidR="00100AE1" w:rsidRPr="00100AE1" w:rsidRDefault="00100AE1" w:rsidP="00100AE1">
      <w:pPr>
        <w:widowControl/>
        <w:spacing w:line="120" w:lineRule="auto"/>
        <w:ind w:firstLineChars="200" w:firstLine="422"/>
        <w:jc w:val="center"/>
        <w:rPr>
          <w:rFonts w:asciiTheme="minorEastAsia" w:eastAsiaTheme="minorEastAsia" w:hAnsiTheme="minorEastAsia"/>
          <w:b/>
          <w:szCs w:val="21"/>
        </w:rPr>
      </w:pPr>
    </w:p>
    <w:p w:rsidR="00100AE1" w:rsidRPr="00100AE1" w:rsidRDefault="00100AE1" w:rsidP="00100AE1">
      <w:pPr>
        <w:widowControl/>
        <w:spacing w:line="120" w:lineRule="auto"/>
        <w:ind w:firstLineChars="200" w:firstLine="422"/>
        <w:jc w:val="center"/>
        <w:rPr>
          <w:rFonts w:asciiTheme="minorEastAsia" w:eastAsiaTheme="minorEastAsia" w:hAnsiTheme="minorEastAsia"/>
          <w:b/>
          <w:szCs w:val="21"/>
        </w:rPr>
      </w:pPr>
    </w:p>
    <w:p w:rsidR="00100AE1" w:rsidRDefault="00100AE1" w:rsidP="00205D60">
      <w:pPr>
        <w:widowControl/>
        <w:jc w:val="center"/>
        <w:rPr>
          <w:b/>
          <w:sz w:val="28"/>
          <w:szCs w:val="28"/>
        </w:rPr>
      </w:pPr>
    </w:p>
    <w:p w:rsidR="00100AE1" w:rsidRDefault="00100AE1" w:rsidP="00205D60">
      <w:pPr>
        <w:widowControl/>
        <w:jc w:val="center"/>
        <w:rPr>
          <w:b/>
          <w:sz w:val="28"/>
          <w:szCs w:val="28"/>
        </w:rPr>
      </w:pPr>
    </w:p>
    <w:p w:rsidR="00100AE1" w:rsidRDefault="00100AE1" w:rsidP="00205D60">
      <w:pPr>
        <w:widowControl/>
        <w:jc w:val="center"/>
        <w:rPr>
          <w:b/>
          <w:sz w:val="28"/>
          <w:szCs w:val="28"/>
        </w:rPr>
      </w:pPr>
    </w:p>
    <w:p w:rsidR="00100AE1" w:rsidRDefault="00100AE1" w:rsidP="00205D60">
      <w:pPr>
        <w:widowControl/>
        <w:jc w:val="center"/>
        <w:rPr>
          <w:rFonts w:hint="eastAsia"/>
          <w:b/>
          <w:sz w:val="28"/>
          <w:szCs w:val="28"/>
        </w:rPr>
      </w:pPr>
    </w:p>
    <w:p w:rsidR="00A312C9" w:rsidRPr="00CD4AEB" w:rsidRDefault="00A312C9" w:rsidP="00205D60">
      <w:pPr>
        <w:widowControl/>
        <w:jc w:val="center"/>
        <w:rPr>
          <w:b/>
          <w:sz w:val="28"/>
          <w:szCs w:val="28"/>
        </w:rPr>
      </w:pPr>
      <w:r w:rsidRPr="00CD4AEB">
        <w:rPr>
          <w:b/>
          <w:sz w:val="28"/>
          <w:szCs w:val="28"/>
        </w:rPr>
        <w:lastRenderedPageBreak/>
        <w:t>项目支出预算明细表</w:t>
      </w:r>
    </w:p>
    <w:p w:rsidR="00A312C9" w:rsidRPr="00CD4AEB" w:rsidRDefault="00A312C9" w:rsidP="00A312C9">
      <w:pPr>
        <w:spacing w:before="100" w:beforeAutospacing="1" w:afterLines="50" w:after="156"/>
        <w:jc w:val="right"/>
        <w:rPr>
          <w:szCs w:val="21"/>
        </w:rPr>
      </w:pPr>
      <w:r w:rsidRPr="00CD4AEB">
        <w:rPr>
          <w:szCs w:val="21"/>
        </w:rPr>
        <w:t xml:space="preserve">                        </w:t>
      </w:r>
      <w:r w:rsidRPr="00CD4AEB">
        <w:rPr>
          <w:szCs w:val="21"/>
        </w:rPr>
        <w:t>单位：</w:t>
      </w:r>
      <w:r w:rsidR="00100AE1">
        <w:rPr>
          <w:rFonts w:hint="eastAsia"/>
          <w:szCs w:val="21"/>
        </w:rPr>
        <w:t>8</w:t>
      </w:r>
      <w:r w:rsidR="00205D60">
        <w:rPr>
          <w:rFonts w:hint="eastAsia"/>
          <w:szCs w:val="21"/>
        </w:rPr>
        <w:t>0</w:t>
      </w:r>
      <w:r w:rsidRPr="00CD4AEB">
        <w:rPr>
          <w:szCs w:val="21"/>
        </w:rPr>
        <w:t>万元</w:t>
      </w:r>
    </w:p>
    <w:tbl>
      <w:tblPr>
        <w:tblW w:w="85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
        <w:gridCol w:w="598"/>
        <w:gridCol w:w="1042"/>
        <w:gridCol w:w="4051"/>
        <w:gridCol w:w="2359"/>
      </w:tblGrid>
      <w:tr w:rsidR="00A312C9" w:rsidRPr="00CD4AEB" w:rsidTr="000B140A">
        <w:trPr>
          <w:trHeight w:val="605"/>
        </w:trPr>
        <w:tc>
          <w:tcPr>
            <w:tcW w:w="522" w:type="dxa"/>
            <w:vMerge w:val="restart"/>
            <w:shd w:val="clear" w:color="auto" w:fill="auto"/>
            <w:vAlign w:val="center"/>
          </w:tcPr>
          <w:p w:rsidR="00A312C9" w:rsidRPr="00CD4AEB" w:rsidRDefault="00A312C9" w:rsidP="000B140A">
            <w:pPr>
              <w:spacing w:before="100" w:beforeAutospacing="1" w:afterLines="50" w:after="156"/>
              <w:rPr>
                <w:sz w:val="26"/>
                <w:szCs w:val="26"/>
              </w:rPr>
            </w:pPr>
            <w:r w:rsidRPr="00CD4AEB">
              <w:rPr>
                <w:sz w:val="26"/>
                <w:szCs w:val="26"/>
              </w:rPr>
              <w:t>项</w:t>
            </w:r>
            <w:r w:rsidRPr="00CD4AEB">
              <w:rPr>
                <w:sz w:val="26"/>
                <w:szCs w:val="26"/>
              </w:rPr>
              <w:t xml:space="preserve">  </w:t>
            </w:r>
            <w:r w:rsidRPr="00CD4AEB">
              <w:rPr>
                <w:sz w:val="26"/>
                <w:szCs w:val="26"/>
              </w:rPr>
              <w:t>目支出预算及测算依据</w:t>
            </w:r>
          </w:p>
        </w:tc>
        <w:tc>
          <w:tcPr>
            <w:tcW w:w="598" w:type="dxa"/>
            <w:vMerge w:val="restart"/>
            <w:shd w:val="clear" w:color="auto" w:fill="auto"/>
            <w:vAlign w:val="center"/>
          </w:tcPr>
          <w:p w:rsidR="00A312C9" w:rsidRPr="00CD4AEB" w:rsidRDefault="00A312C9" w:rsidP="000B140A">
            <w:pPr>
              <w:spacing w:before="100" w:beforeAutospacing="1" w:afterLines="50" w:after="156"/>
              <w:rPr>
                <w:szCs w:val="21"/>
              </w:rPr>
            </w:pPr>
            <w:r w:rsidRPr="00CD4AEB">
              <w:rPr>
                <w:szCs w:val="21"/>
              </w:rPr>
              <w:t>项目支出明细预算</w:t>
            </w:r>
          </w:p>
        </w:tc>
        <w:tc>
          <w:tcPr>
            <w:tcW w:w="5093" w:type="dxa"/>
            <w:gridSpan w:val="2"/>
            <w:shd w:val="clear" w:color="auto" w:fill="auto"/>
            <w:vAlign w:val="center"/>
          </w:tcPr>
          <w:p w:rsidR="00A312C9" w:rsidRPr="00CD4AEB" w:rsidRDefault="00A312C9" w:rsidP="000B140A">
            <w:pPr>
              <w:rPr>
                <w:szCs w:val="21"/>
              </w:rPr>
            </w:pPr>
            <w:r w:rsidRPr="00CD4AEB">
              <w:rPr>
                <w:szCs w:val="21"/>
              </w:rPr>
              <w:t>明细支出项目</w:t>
            </w:r>
          </w:p>
        </w:tc>
        <w:tc>
          <w:tcPr>
            <w:tcW w:w="2359" w:type="dxa"/>
            <w:shd w:val="clear" w:color="auto" w:fill="auto"/>
            <w:vAlign w:val="center"/>
          </w:tcPr>
          <w:p w:rsidR="00A312C9" w:rsidRPr="00CD4AEB" w:rsidRDefault="00A312C9" w:rsidP="000B140A">
            <w:pPr>
              <w:rPr>
                <w:szCs w:val="21"/>
              </w:rPr>
            </w:pPr>
            <w:r w:rsidRPr="00CD4AEB">
              <w:rPr>
                <w:szCs w:val="21"/>
              </w:rPr>
              <w:t>金额</w:t>
            </w:r>
          </w:p>
        </w:tc>
      </w:tr>
      <w:tr w:rsidR="00A312C9" w:rsidRPr="00CD4AEB" w:rsidTr="000B140A">
        <w:trPr>
          <w:trHeight w:val="556"/>
        </w:trPr>
        <w:tc>
          <w:tcPr>
            <w:tcW w:w="522" w:type="dxa"/>
            <w:vMerge/>
            <w:shd w:val="clear" w:color="auto" w:fill="auto"/>
            <w:vAlign w:val="center"/>
          </w:tcPr>
          <w:p w:rsidR="00A312C9" w:rsidRPr="00CD4AEB" w:rsidRDefault="00A312C9" w:rsidP="000B140A">
            <w:pPr>
              <w:spacing w:before="100" w:beforeAutospacing="1" w:afterLines="50" w:after="156"/>
              <w:rPr>
                <w:szCs w:val="21"/>
              </w:rPr>
            </w:pPr>
          </w:p>
        </w:tc>
        <w:tc>
          <w:tcPr>
            <w:tcW w:w="598" w:type="dxa"/>
            <w:vMerge/>
            <w:shd w:val="clear" w:color="auto" w:fill="auto"/>
            <w:vAlign w:val="center"/>
          </w:tcPr>
          <w:p w:rsidR="00A312C9" w:rsidRPr="00CD4AEB" w:rsidRDefault="00A312C9" w:rsidP="000B140A">
            <w:pPr>
              <w:spacing w:before="100" w:beforeAutospacing="1" w:afterLines="50" w:after="156"/>
              <w:rPr>
                <w:szCs w:val="21"/>
              </w:rPr>
            </w:pPr>
          </w:p>
        </w:tc>
        <w:tc>
          <w:tcPr>
            <w:tcW w:w="5093" w:type="dxa"/>
            <w:gridSpan w:val="2"/>
            <w:shd w:val="clear" w:color="auto" w:fill="auto"/>
            <w:vAlign w:val="center"/>
          </w:tcPr>
          <w:p w:rsidR="00A312C9" w:rsidRPr="00CD4AEB" w:rsidRDefault="00A312C9" w:rsidP="000B140A">
            <w:pPr>
              <w:rPr>
                <w:szCs w:val="21"/>
              </w:rPr>
            </w:pPr>
            <w:r w:rsidRPr="00CD4AEB">
              <w:rPr>
                <w:szCs w:val="21"/>
              </w:rPr>
              <w:t>合</w:t>
            </w:r>
            <w:r w:rsidRPr="00CD4AEB">
              <w:rPr>
                <w:szCs w:val="21"/>
              </w:rPr>
              <w:t xml:space="preserve">  </w:t>
            </w:r>
            <w:r w:rsidRPr="00CD4AEB">
              <w:rPr>
                <w:szCs w:val="21"/>
              </w:rPr>
              <w:t>计</w:t>
            </w:r>
          </w:p>
        </w:tc>
        <w:tc>
          <w:tcPr>
            <w:tcW w:w="2359" w:type="dxa"/>
            <w:shd w:val="clear" w:color="auto" w:fill="auto"/>
            <w:vAlign w:val="center"/>
          </w:tcPr>
          <w:p w:rsidR="00A312C9" w:rsidRPr="00CD4AEB" w:rsidRDefault="00A312C9" w:rsidP="000B140A">
            <w:pPr>
              <w:spacing w:before="100" w:beforeAutospacing="1" w:afterLines="50" w:after="156"/>
              <w:rPr>
                <w:b/>
                <w:szCs w:val="21"/>
              </w:rPr>
            </w:pPr>
          </w:p>
        </w:tc>
      </w:tr>
      <w:tr w:rsidR="006D46E9" w:rsidRPr="00CD4AEB" w:rsidTr="006D46E9">
        <w:trPr>
          <w:trHeight w:val="449"/>
        </w:trPr>
        <w:tc>
          <w:tcPr>
            <w:tcW w:w="522" w:type="dxa"/>
            <w:vMerge/>
            <w:shd w:val="clear" w:color="auto" w:fill="auto"/>
            <w:vAlign w:val="center"/>
          </w:tcPr>
          <w:p w:rsidR="006D46E9" w:rsidRPr="00CD4AEB" w:rsidRDefault="006D46E9" w:rsidP="006D46E9">
            <w:pPr>
              <w:spacing w:before="100" w:beforeAutospacing="1" w:afterLines="50" w:after="156"/>
              <w:rPr>
                <w:szCs w:val="21"/>
              </w:rPr>
            </w:pPr>
          </w:p>
        </w:tc>
        <w:tc>
          <w:tcPr>
            <w:tcW w:w="598" w:type="dxa"/>
            <w:vMerge/>
            <w:shd w:val="clear" w:color="auto" w:fill="auto"/>
            <w:vAlign w:val="center"/>
          </w:tcPr>
          <w:p w:rsidR="006D46E9" w:rsidRPr="00CD4AEB" w:rsidRDefault="006D46E9" w:rsidP="000B140A">
            <w:pPr>
              <w:spacing w:before="100" w:beforeAutospacing="1" w:afterLines="50" w:after="156"/>
              <w:rPr>
                <w:szCs w:val="21"/>
              </w:rPr>
            </w:pPr>
          </w:p>
        </w:tc>
        <w:tc>
          <w:tcPr>
            <w:tcW w:w="1042" w:type="dxa"/>
            <w:shd w:val="clear" w:color="auto" w:fill="auto"/>
            <w:vAlign w:val="center"/>
          </w:tcPr>
          <w:p w:rsidR="006D46E9" w:rsidRPr="00CD4AEB" w:rsidRDefault="006D46E9" w:rsidP="00100AE1">
            <w:pPr>
              <w:jc w:val="center"/>
              <w:rPr>
                <w:b/>
                <w:bCs/>
                <w:szCs w:val="21"/>
              </w:rPr>
            </w:pPr>
            <w:r w:rsidRPr="00CD4AEB">
              <w:rPr>
                <w:color w:val="000000"/>
                <w:kern w:val="0"/>
                <w:szCs w:val="21"/>
              </w:rPr>
              <w:t>2</w:t>
            </w:r>
          </w:p>
        </w:tc>
        <w:tc>
          <w:tcPr>
            <w:tcW w:w="4051" w:type="dxa"/>
            <w:shd w:val="clear" w:color="auto" w:fill="auto"/>
            <w:vAlign w:val="center"/>
          </w:tcPr>
          <w:p w:rsidR="006D46E9" w:rsidRPr="00100AE1" w:rsidRDefault="006D46E9" w:rsidP="00100AE1">
            <w:pPr>
              <w:pStyle w:val="Pa14"/>
              <w:spacing w:after="360"/>
              <w:jc w:val="center"/>
              <w:rPr>
                <w:rFonts w:ascii="Times New Roman" w:eastAsia="宋体" w:hAnsi="Times New Roman" w:cs="Times New Roman" w:hint="eastAsia"/>
                <w:kern w:val="2"/>
                <w:sz w:val="21"/>
              </w:rPr>
            </w:pPr>
            <w:bookmarkStart w:id="0" w:name="_GoBack"/>
            <w:bookmarkEnd w:id="0"/>
            <w:r w:rsidRPr="006D46E9">
              <w:rPr>
                <w:rFonts w:ascii="Times New Roman" w:eastAsia="宋体" w:hAnsi="Times New Roman" w:cs="Times New Roman"/>
                <w:kern w:val="2"/>
                <w:sz w:val="21"/>
              </w:rPr>
              <w:t xml:space="preserve">E2000 </w:t>
            </w:r>
            <w:r w:rsidRPr="006D46E9">
              <w:rPr>
                <w:rFonts w:ascii="Times New Roman" w:eastAsia="宋体" w:hAnsi="Times New Roman" w:cs="Times New Roman" w:hint="eastAsia"/>
                <w:kern w:val="2"/>
                <w:sz w:val="21"/>
              </w:rPr>
              <w:t>工业数据中心</w:t>
            </w:r>
          </w:p>
        </w:tc>
        <w:tc>
          <w:tcPr>
            <w:tcW w:w="2359" w:type="dxa"/>
            <w:shd w:val="clear" w:color="auto" w:fill="auto"/>
            <w:vAlign w:val="center"/>
          </w:tcPr>
          <w:p w:rsidR="006D46E9" w:rsidRPr="00CD4AEB" w:rsidRDefault="00205D60" w:rsidP="00100AE1">
            <w:pPr>
              <w:jc w:val="center"/>
            </w:pPr>
            <w:r>
              <w:rPr>
                <w:rFonts w:hint="eastAsia"/>
              </w:rPr>
              <w:t>80</w:t>
            </w:r>
          </w:p>
        </w:tc>
      </w:tr>
    </w:tbl>
    <w:p w:rsidR="00A312C9" w:rsidRDefault="00A312C9" w:rsidP="00A312C9">
      <w:pPr>
        <w:pStyle w:val="Default"/>
      </w:pPr>
    </w:p>
    <w:p w:rsidR="00A312C9" w:rsidRDefault="00A312C9" w:rsidP="006D46E9">
      <w:pPr>
        <w:pStyle w:val="Pa2"/>
        <w:spacing w:before="40" w:after="100"/>
        <w:jc w:val="both"/>
      </w:pPr>
      <w:r>
        <w:t xml:space="preserve"> </w:t>
      </w:r>
    </w:p>
    <w:p w:rsidR="00A312C9" w:rsidRPr="00A312C9" w:rsidRDefault="00A312C9"/>
    <w:sectPr w:rsidR="00A312C9" w:rsidRPr="00A312C9" w:rsidSect="009F01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康黑体">
    <w:altName w:val="Arial Unicode MS"/>
    <w:panose1 w:val="00000000000000000000"/>
    <w:charset w:val="86"/>
    <w:family w:val="swiss"/>
    <w:notTrueType/>
    <w:pitch w:val="default"/>
    <w:sig w:usb0="00000001" w:usb1="080E0000" w:usb2="00000010" w:usb3="00000000" w:csb0="00040000" w:csb1="00000000"/>
  </w:font>
  <w:font w:name="Myriad Pro">
    <w:altName w:val="Arial Unicode MS"/>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1767"/>
    <w:multiLevelType w:val="hybridMultilevel"/>
    <w:tmpl w:val="10F85AB4"/>
    <w:lvl w:ilvl="0" w:tplc="1E82D356">
      <w:start w:val="1"/>
      <w:numFmt w:val="japaneseCounting"/>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5E67E0"/>
    <w:multiLevelType w:val="hybridMultilevel"/>
    <w:tmpl w:val="4D8684A2"/>
    <w:lvl w:ilvl="0" w:tplc="C416275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1EFB468B"/>
    <w:multiLevelType w:val="hybridMultilevel"/>
    <w:tmpl w:val="BA42E8E0"/>
    <w:lvl w:ilvl="0" w:tplc="542691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1572DCE"/>
    <w:multiLevelType w:val="hybridMultilevel"/>
    <w:tmpl w:val="F7D2ECC2"/>
    <w:lvl w:ilvl="0" w:tplc="8668A9A0">
      <w:start w:val="1"/>
      <w:numFmt w:val="decimal"/>
      <w:lvlText w:val="%1、"/>
      <w:lvlJc w:val="left"/>
      <w:pPr>
        <w:ind w:left="1171" w:hanging="756"/>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4">
    <w:nsid w:val="55E02CFF"/>
    <w:multiLevelType w:val="hybridMultilevel"/>
    <w:tmpl w:val="D86A1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9926184"/>
    <w:multiLevelType w:val="hybridMultilevel"/>
    <w:tmpl w:val="68496D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C9"/>
    <w:rsid w:val="00100AE1"/>
    <w:rsid w:val="00205D60"/>
    <w:rsid w:val="00614311"/>
    <w:rsid w:val="006D46E9"/>
    <w:rsid w:val="00866843"/>
    <w:rsid w:val="009F0151"/>
    <w:rsid w:val="00A312C9"/>
    <w:rsid w:val="00A34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CAF82E-26FF-41C7-B3F5-9F74039F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2C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312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312C9"/>
    <w:pPr>
      <w:widowControl w:val="0"/>
      <w:autoSpaceDE w:val="0"/>
      <w:autoSpaceDN w:val="0"/>
      <w:adjustRightInd w:val="0"/>
    </w:pPr>
    <w:rPr>
      <w:rFonts w:ascii="华康黑体" w:eastAsia="华康黑体" w:cs="华康黑体"/>
      <w:color w:val="000000"/>
      <w:kern w:val="0"/>
      <w:sz w:val="24"/>
      <w:szCs w:val="24"/>
    </w:rPr>
  </w:style>
  <w:style w:type="paragraph" w:customStyle="1" w:styleId="Pa2">
    <w:name w:val="Pa2"/>
    <w:basedOn w:val="Default"/>
    <w:next w:val="Default"/>
    <w:uiPriority w:val="99"/>
    <w:rsid w:val="00A312C9"/>
    <w:pPr>
      <w:spacing w:line="201" w:lineRule="atLeast"/>
    </w:pPr>
    <w:rPr>
      <w:rFonts w:cstheme="minorBidi"/>
      <w:color w:val="auto"/>
    </w:rPr>
  </w:style>
  <w:style w:type="character" w:customStyle="1" w:styleId="A30">
    <w:name w:val="A3"/>
    <w:uiPriority w:val="99"/>
    <w:rsid w:val="00614311"/>
    <w:rPr>
      <w:rFonts w:cs="Myriad Pro"/>
      <w:color w:val="000000"/>
      <w:sz w:val="20"/>
      <w:szCs w:val="20"/>
    </w:rPr>
  </w:style>
  <w:style w:type="paragraph" w:styleId="a4">
    <w:name w:val="List Paragraph"/>
    <w:basedOn w:val="a"/>
    <w:uiPriority w:val="34"/>
    <w:qFormat/>
    <w:rsid w:val="00614311"/>
    <w:pPr>
      <w:ind w:firstLineChars="200" w:firstLine="420"/>
    </w:pPr>
  </w:style>
  <w:style w:type="paragraph" w:styleId="a5">
    <w:name w:val="Balloon Text"/>
    <w:basedOn w:val="a"/>
    <w:link w:val="Char"/>
    <w:uiPriority w:val="99"/>
    <w:semiHidden/>
    <w:unhideWhenUsed/>
    <w:rsid w:val="006D46E9"/>
    <w:rPr>
      <w:sz w:val="18"/>
      <w:szCs w:val="18"/>
    </w:rPr>
  </w:style>
  <w:style w:type="character" w:customStyle="1" w:styleId="Char">
    <w:name w:val="批注框文本 Char"/>
    <w:basedOn w:val="a0"/>
    <w:link w:val="a5"/>
    <w:uiPriority w:val="99"/>
    <w:semiHidden/>
    <w:rsid w:val="006D46E9"/>
    <w:rPr>
      <w:rFonts w:ascii="Times New Roman" w:eastAsia="宋体" w:hAnsi="Times New Roman" w:cs="Times New Roman"/>
      <w:sz w:val="18"/>
      <w:szCs w:val="18"/>
    </w:rPr>
  </w:style>
  <w:style w:type="paragraph" w:customStyle="1" w:styleId="Pa14">
    <w:name w:val="Pa14"/>
    <w:basedOn w:val="Default"/>
    <w:next w:val="Default"/>
    <w:uiPriority w:val="99"/>
    <w:rsid w:val="006D46E9"/>
    <w:pPr>
      <w:spacing w:line="201" w:lineRule="atLeast"/>
    </w:pPr>
    <w:rPr>
      <w:rFonts w:ascii="Myriad Pro" w:eastAsia="Myriad Pro"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C719E-36E0-4A89-8B15-CCCDEB5AB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xiaobo chen</dc:creator>
  <cp:keywords/>
  <dc:description/>
  <cp:lastModifiedBy>xiaobo chen</cp:lastModifiedBy>
  <cp:revision>3</cp:revision>
  <dcterms:created xsi:type="dcterms:W3CDTF">2015-11-13T00:19:00Z</dcterms:created>
  <dcterms:modified xsi:type="dcterms:W3CDTF">2015-11-13T00:25:00Z</dcterms:modified>
</cp:coreProperties>
</file>