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55" w:rsidRDefault="00392655" w:rsidP="00392655">
      <w:pPr>
        <w:rPr>
          <w:rFonts w:hint="eastAsia"/>
        </w:rPr>
      </w:pPr>
      <w:proofErr w:type="gramStart"/>
      <w:r>
        <w:rPr>
          <w:rFonts w:hint="eastAsia"/>
        </w:rPr>
        <w:t>创客交叉</w:t>
      </w:r>
      <w:proofErr w:type="gramEnd"/>
      <w:r>
        <w:rPr>
          <w:rFonts w:hint="eastAsia"/>
        </w:rPr>
        <w:t>融合信息平台</w:t>
      </w:r>
    </w:p>
    <w:p w:rsidR="009E6A28" w:rsidRDefault="00392655" w:rsidP="00392655">
      <w:r>
        <w:rPr>
          <w:rFonts w:hint="eastAsia"/>
        </w:rPr>
        <w:t>结合创新创意与实践教学</w:t>
      </w:r>
      <w:proofErr w:type="gramStart"/>
      <w:r>
        <w:rPr>
          <w:rFonts w:hint="eastAsia"/>
        </w:rPr>
        <w:t>的创客学习活动</w:t>
      </w:r>
      <w:proofErr w:type="gramEnd"/>
      <w:r>
        <w:rPr>
          <w:rFonts w:hint="eastAsia"/>
        </w:rPr>
        <w:t>在近年的若干课程项目中取得了明显的成效。学校领导及相关部门</w:t>
      </w:r>
      <w:proofErr w:type="gramStart"/>
      <w:r>
        <w:rPr>
          <w:rFonts w:hint="eastAsia"/>
        </w:rPr>
        <w:t>对创客学习活动</w:t>
      </w:r>
      <w:proofErr w:type="gramEnd"/>
      <w:r>
        <w:rPr>
          <w:rFonts w:hint="eastAsia"/>
        </w:rPr>
        <w:t>的进一步设计与课程体系建设给予高度重视，要求制定相应工作计划并予以实施。结合学校</w:t>
      </w:r>
      <w:r>
        <w:rPr>
          <w:rFonts w:hint="eastAsia"/>
        </w:rPr>
        <w:t>985</w:t>
      </w:r>
      <w:proofErr w:type="gramStart"/>
      <w:r>
        <w:rPr>
          <w:rFonts w:hint="eastAsia"/>
        </w:rPr>
        <w:t>三期项目</w:t>
      </w:r>
      <w:proofErr w:type="gramEnd"/>
      <w:r>
        <w:rPr>
          <w:rFonts w:hint="eastAsia"/>
        </w:rPr>
        <w:t>要求，跨院系交叉融合的信息平台将成为覆盖全校范围、面向</w:t>
      </w:r>
      <w:proofErr w:type="gramStart"/>
      <w:r>
        <w:rPr>
          <w:rFonts w:hint="eastAsia"/>
        </w:rPr>
        <w:t>全球创客社区</w:t>
      </w:r>
      <w:proofErr w:type="gramEnd"/>
      <w:r>
        <w:rPr>
          <w:rFonts w:hint="eastAsia"/>
        </w:rPr>
        <w:t>的一个知识内容聚集与管理的枢纽。</w:t>
      </w:r>
      <w:proofErr w:type="gramStart"/>
      <w:r>
        <w:rPr>
          <w:rFonts w:hint="eastAsia"/>
        </w:rPr>
        <w:t>未来创客活动</w:t>
      </w:r>
      <w:proofErr w:type="gramEnd"/>
      <w:r>
        <w:rPr>
          <w:rFonts w:hint="eastAsia"/>
        </w:rPr>
        <w:t>将以清华为核心，整合全球分布式学习资源。为进一步拓展学校师生的学习内容来源，建立紧密的全球智慧互动机制，促进清华大学与全球各顶尖教学科研机构针对实体产品及项目的面对面交流，</w:t>
      </w:r>
      <w:proofErr w:type="gramStart"/>
      <w:r>
        <w:rPr>
          <w:rFonts w:hint="eastAsia"/>
        </w:rPr>
        <w:t>创客平台</w:t>
      </w:r>
      <w:proofErr w:type="gramEnd"/>
      <w:r>
        <w:rPr>
          <w:rFonts w:hint="eastAsia"/>
        </w:rPr>
        <w:t>还需要提供完善的视频会议</w:t>
      </w:r>
      <w:proofErr w:type="gramStart"/>
      <w:r>
        <w:rPr>
          <w:rFonts w:hint="eastAsia"/>
        </w:rPr>
        <w:t>及网真系统</w:t>
      </w:r>
      <w:proofErr w:type="gramEnd"/>
      <w:r>
        <w:rPr>
          <w:rFonts w:hint="eastAsia"/>
        </w:rPr>
        <w:t>。整套信息平台将提升传统实践教学体系的内容管理模式，并提升全校性跨学科基础工业实践教学内容的水平，向系统化项目为导向学习进一步发展。同时该平台将为学生学习过程评价与项目团队检视提供基础服务，促进产学研结合和多师多生学习效果的度量与评估。</w:t>
      </w:r>
    </w:p>
    <w:p w:rsidR="00392655" w:rsidRDefault="00392655" w:rsidP="00392655"/>
    <w:p w:rsidR="00392655" w:rsidRDefault="00392655" w:rsidP="00392655">
      <w:pPr>
        <w:rPr>
          <w:rFonts w:hint="eastAsia"/>
        </w:rPr>
      </w:pPr>
      <w:proofErr w:type="gramStart"/>
      <w:r>
        <w:rPr>
          <w:rFonts w:hint="eastAsia"/>
        </w:rPr>
        <w:t>创客交叉</w:t>
      </w:r>
      <w:proofErr w:type="gramEnd"/>
      <w:r>
        <w:rPr>
          <w:rFonts w:hint="eastAsia"/>
        </w:rPr>
        <w:t>融合信息平台</w:t>
      </w:r>
    </w:p>
    <w:p w:rsidR="00392655" w:rsidRDefault="00392655" w:rsidP="00392655">
      <w:pPr>
        <w:rPr>
          <w:rFonts w:hint="eastAsia"/>
        </w:rPr>
      </w:pPr>
      <w:proofErr w:type="gramStart"/>
      <w:r>
        <w:rPr>
          <w:rFonts w:hint="eastAsia"/>
        </w:rPr>
        <w:t>创客平台</w:t>
      </w:r>
      <w:proofErr w:type="gramEnd"/>
      <w:r>
        <w:rPr>
          <w:rFonts w:hint="eastAsia"/>
        </w:rPr>
        <w:t>以跨学科、跨地域、分布式、可重组的理念进行设计与建设。提供项目管理、团队管理、学习数据采集与存储、</w:t>
      </w:r>
      <w:proofErr w:type="gramStart"/>
      <w:r>
        <w:rPr>
          <w:rFonts w:hint="eastAsia"/>
        </w:rPr>
        <w:t>网真视频</w:t>
      </w:r>
      <w:proofErr w:type="gramEnd"/>
      <w:r>
        <w:rPr>
          <w:rFonts w:hint="eastAsia"/>
        </w:rPr>
        <w:t>会议、内容出版等模块，主要功能为：</w:t>
      </w:r>
    </w:p>
    <w:p w:rsidR="00392655" w:rsidRDefault="00392655" w:rsidP="00392655">
      <w:pPr>
        <w:rPr>
          <w:rFonts w:hint="eastAsia"/>
        </w:rPr>
      </w:pPr>
      <w:r>
        <w:rPr>
          <w:rFonts w:hint="eastAsia"/>
        </w:rPr>
        <w:t>（</w:t>
      </w:r>
      <w:r>
        <w:rPr>
          <w:rFonts w:hint="eastAsia"/>
        </w:rPr>
        <w:t>1</w:t>
      </w:r>
      <w:r>
        <w:rPr>
          <w:rFonts w:hint="eastAsia"/>
        </w:rPr>
        <w:t>）项目管理：从项目全生命周期的角度，提供模块化在线服务，包括设计方法论、知识产权管理、合约制定、法律法</w:t>
      </w:r>
      <w:proofErr w:type="gramStart"/>
      <w:r>
        <w:rPr>
          <w:rFonts w:hint="eastAsia"/>
        </w:rPr>
        <w:t>务</w:t>
      </w:r>
      <w:proofErr w:type="gramEnd"/>
      <w:r>
        <w:rPr>
          <w:rFonts w:hint="eastAsia"/>
        </w:rPr>
        <w:t>、媒体公关等标准流程及模板。这些内容直接服务</w:t>
      </w:r>
      <w:proofErr w:type="gramStart"/>
      <w:r>
        <w:rPr>
          <w:rFonts w:hint="eastAsia"/>
        </w:rPr>
        <w:t>于系列</w:t>
      </w:r>
      <w:proofErr w:type="gramEnd"/>
      <w:r>
        <w:rPr>
          <w:rFonts w:hint="eastAsia"/>
        </w:rPr>
        <w:t>课程教学以及学生实践项目。</w:t>
      </w:r>
    </w:p>
    <w:p w:rsidR="00392655" w:rsidRDefault="00392655" w:rsidP="00392655">
      <w:pPr>
        <w:rPr>
          <w:rFonts w:hint="eastAsia"/>
        </w:rPr>
      </w:pPr>
      <w:r>
        <w:rPr>
          <w:rFonts w:hint="eastAsia"/>
        </w:rPr>
        <w:t>（</w:t>
      </w:r>
      <w:r>
        <w:rPr>
          <w:rFonts w:hint="eastAsia"/>
        </w:rPr>
        <w:t>2</w:t>
      </w:r>
      <w:r>
        <w:rPr>
          <w:rFonts w:hint="eastAsia"/>
        </w:rPr>
        <w:t>）团队管理：全校各院系各年级学生通过本平台进行学习和交流，逐渐匹配并形成项目团队，随后团队可以通过本平台进行任务委派、分布式协作、日程管理、人力资源管理等工作。</w:t>
      </w:r>
    </w:p>
    <w:p w:rsidR="00392655" w:rsidRDefault="00392655" w:rsidP="00392655">
      <w:pPr>
        <w:rPr>
          <w:rFonts w:hint="eastAsia"/>
        </w:rPr>
      </w:pPr>
      <w:r>
        <w:rPr>
          <w:rFonts w:hint="eastAsia"/>
        </w:rPr>
        <w:t>（</w:t>
      </w:r>
      <w:r>
        <w:rPr>
          <w:rFonts w:hint="eastAsia"/>
        </w:rPr>
        <w:t>3</w:t>
      </w:r>
      <w:r>
        <w:rPr>
          <w:rFonts w:hint="eastAsia"/>
        </w:rPr>
        <w:t>）学习数据采集与存储：学生在学习过程中产生、编辑、交换的数据将通过平台来进行管理，连同元数据存储在本平台上，作为后续教学内容的参考，以及学习过程分析的依据。</w:t>
      </w:r>
    </w:p>
    <w:p w:rsidR="00392655" w:rsidRDefault="00392655" w:rsidP="00392655">
      <w:pPr>
        <w:rPr>
          <w:rFonts w:hint="eastAsia"/>
        </w:rPr>
      </w:pPr>
      <w:r>
        <w:rPr>
          <w:rFonts w:hint="eastAsia"/>
        </w:rPr>
        <w:t>（</w:t>
      </w:r>
      <w:r>
        <w:rPr>
          <w:rFonts w:hint="eastAsia"/>
        </w:rPr>
        <w:t>4</w:t>
      </w:r>
      <w:r>
        <w:rPr>
          <w:rFonts w:hint="eastAsia"/>
        </w:rPr>
        <w:t>）</w:t>
      </w:r>
      <w:proofErr w:type="gramStart"/>
      <w:r>
        <w:rPr>
          <w:rFonts w:hint="eastAsia"/>
        </w:rPr>
        <w:t>网真视频</w:t>
      </w:r>
      <w:proofErr w:type="gramEnd"/>
      <w:r>
        <w:rPr>
          <w:rFonts w:hint="eastAsia"/>
        </w:rPr>
        <w:t>会议：包括沉浸</w:t>
      </w:r>
      <w:proofErr w:type="gramStart"/>
      <w:r>
        <w:rPr>
          <w:rFonts w:hint="eastAsia"/>
        </w:rPr>
        <w:t>式网真、协作室</w:t>
      </w:r>
      <w:proofErr w:type="gramEnd"/>
      <w:r>
        <w:rPr>
          <w:rFonts w:hint="eastAsia"/>
        </w:rPr>
        <w:t>终端、智能桌面终端、手持式移动视频会议终端等各个级别的全球互联平台。为保证高质量的数据传送，本系统需要建立一个在校的服务器系统。此外该系统还可面向周边地区的公众开放提供全球视频协作服务。</w:t>
      </w:r>
    </w:p>
    <w:p w:rsidR="00392655" w:rsidRDefault="00392655" w:rsidP="00392655">
      <w:r>
        <w:rPr>
          <w:rFonts w:hint="eastAsia"/>
        </w:rPr>
        <w:t>（</w:t>
      </w:r>
      <w:r>
        <w:rPr>
          <w:rFonts w:hint="eastAsia"/>
        </w:rPr>
        <w:t>5</w:t>
      </w:r>
      <w:r>
        <w:rPr>
          <w:rFonts w:hint="eastAsia"/>
        </w:rPr>
        <w:t>）内容出版：包括内容创意与设计、媒体制作、</w:t>
      </w:r>
      <w:proofErr w:type="gramStart"/>
      <w:r>
        <w:rPr>
          <w:rFonts w:hint="eastAsia"/>
        </w:rPr>
        <w:t>创客学习活动</w:t>
      </w:r>
      <w:proofErr w:type="gramEnd"/>
      <w:r>
        <w:rPr>
          <w:rFonts w:hint="eastAsia"/>
        </w:rPr>
        <w:t>成果展示与发布等平台。结合</w:t>
      </w:r>
      <w:proofErr w:type="gramStart"/>
      <w:r>
        <w:rPr>
          <w:rFonts w:hint="eastAsia"/>
        </w:rPr>
        <w:t>分布式创客活动</w:t>
      </w:r>
      <w:proofErr w:type="gramEnd"/>
      <w:r>
        <w:rPr>
          <w:rFonts w:hint="eastAsia"/>
        </w:rPr>
        <w:t>，这些集中的讨论设施、媒体工作站主机、媒体内容存储、高清晰投影系统是内容整合的重要保证。</w:t>
      </w:r>
    </w:p>
    <w:p w:rsidR="00392655" w:rsidRDefault="00392655" w:rsidP="00392655"/>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425"/>
        <w:gridCol w:w="5528"/>
        <w:gridCol w:w="709"/>
        <w:tblGridChange w:id="0">
          <w:tblGrid>
            <w:gridCol w:w="1560"/>
            <w:gridCol w:w="425"/>
            <w:gridCol w:w="5528"/>
            <w:gridCol w:w="709"/>
          </w:tblGrid>
        </w:tblGridChange>
      </w:tblGrid>
      <w:tr w:rsidR="00392655" w:rsidRPr="00392655" w:rsidTr="00301C9F">
        <w:trPr>
          <w:trHeight w:val="486"/>
        </w:trPr>
        <w:tc>
          <w:tcPr>
            <w:tcW w:w="1560" w:type="dxa"/>
            <w:vMerge w:val="restart"/>
            <w:shd w:val="clear" w:color="auto" w:fill="auto"/>
            <w:vAlign w:val="center"/>
          </w:tcPr>
          <w:p w:rsidR="00392655" w:rsidRPr="00392655" w:rsidRDefault="00392655" w:rsidP="00392655">
            <w:pPr>
              <w:jc w:val="center"/>
              <w:rPr>
                <w:rFonts w:ascii="宋体" w:eastAsia="宋体" w:hAnsi="宋体" w:cs="Times New Roman" w:hint="eastAsia"/>
                <w:b/>
                <w:bCs/>
                <w:szCs w:val="21"/>
              </w:rPr>
            </w:pPr>
            <w:proofErr w:type="gramStart"/>
            <w:r w:rsidRPr="00392655">
              <w:rPr>
                <w:rFonts w:ascii="Times New Roman" w:eastAsia="宋体" w:hAnsi="Times New Roman" w:cs="Times New Roman" w:hint="eastAsia"/>
                <w:szCs w:val="24"/>
              </w:rPr>
              <w:t>创客交叉</w:t>
            </w:r>
            <w:proofErr w:type="gramEnd"/>
            <w:r w:rsidRPr="00392655">
              <w:rPr>
                <w:rFonts w:ascii="Times New Roman" w:eastAsia="宋体" w:hAnsi="Times New Roman" w:cs="Times New Roman" w:hint="eastAsia"/>
                <w:szCs w:val="24"/>
              </w:rPr>
              <w:t>融合</w:t>
            </w:r>
            <w:r w:rsidRPr="00392655">
              <w:rPr>
                <w:rFonts w:ascii="Times New Roman" w:eastAsia="宋体" w:hAnsi="Times New Roman" w:cs="Times New Roman"/>
                <w:szCs w:val="24"/>
              </w:rPr>
              <w:t>信息平台</w:t>
            </w:r>
          </w:p>
        </w:tc>
        <w:tc>
          <w:tcPr>
            <w:tcW w:w="425"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1</w:t>
            </w:r>
          </w:p>
        </w:tc>
        <w:tc>
          <w:tcPr>
            <w:tcW w:w="5528"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宋体" w:hint="eastAsia"/>
                <w:sz w:val="22"/>
              </w:rPr>
              <w:t>共享存储，NAS存储个人多媒体数据和</w:t>
            </w:r>
            <w:r w:rsidRPr="00392655">
              <w:rPr>
                <w:rFonts w:ascii="宋体" w:eastAsia="宋体" w:hAnsi="宋体" w:cs="宋体"/>
                <w:sz w:val="22"/>
              </w:rPr>
              <w:t>基础架构</w:t>
            </w:r>
            <w:r w:rsidRPr="00392655">
              <w:rPr>
                <w:rFonts w:ascii="宋体" w:eastAsia="宋体" w:hAnsi="宋体" w:cs="宋体" w:hint="eastAsia"/>
                <w:sz w:val="22"/>
              </w:rPr>
              <w:t>服务器，5TB</w:t>
            </w:r>
          </w:p>
        </w:tc>
        <w:tc>
          <w:tcPr>
            <w:tcW w:w="709" w:type="dxa"/>
            <w:shd w:val="clear" w:color="auto" w:fill="auto"/>
            <w:vAlign w:val="center"/>
          </w:tcPr>
          <w:p w:rsidR="00392655" w:rsidRPr="00392655" w:rsidRDefault="00392655" w:rsidP="00392655">
            <w:pPr>
              <w:jc w:val="right"/>
              <w:rPr>
                <w:rFonts w:ascii="宋体" w:eastAsia="宋体" w:hAnsi="宋体" w:cs="宋体" w:hint="eastAsia"/>
                <w:b/>
                <w:bCs/>
                <w:sz w:val="22"/>
              </w:rPr>
            </w:pPr>
            <w:r w:rsidRPr="00392655">
              <w:rPr>
                <w:rFonts w:ascii="宋体" w:eastAsia="宋体" w:hAnsi="宋体" w:cs="宋体" w:hint="eastAsia"/>
                <w:sz w:val="22"/>
              </w:rPr>
              <w:t>1</w:t>
            </w:r>
            <w:r w:rsidRPr="00392655">
              <w:rPr>
                <w:rFonts w:ascii="宋体" w:eastAsia="宋体" w:hAnsi="宋体" w:cs="宋体"/>
                <w:sz w:val="22"/>
              </w:rPr>
              <w:t>6</w:t>
            </w:r>
          </w:p>
        </w:tc>
      </w:tr>
      <w:tr w:rsidR="00392655" w:rsidRPr="00392655" w:rsidDel="0037091B" w:rsidTr="00301C9F">
        <w:trPr>
          <w:trHeight w:val="375"/>
        </w:trPr>
        <w:tc>
          <w:tcPr>
            <w:tcW w:w="1560" w:type="dxa"/>
            <w:vMerge/>
            <w:shd w:val="clear" w:color="auto" w:fill="auto"/>
            <w:vAlign w:val="center"/>
          </w:tcPr>
          <w:p w:rsidR="00392655" w:rsidRPr="00392655" w:rsidDel="0037091B" w:rsidRDefault="00392655" w:rsidP="00392655">
            <w:pPr>
              <w:rPr>
                <w:rFonts w:ascii="宋体" w:eastAsia="宋体" w:hAnsi="宋体" w:cs="Times New Roman" w:hint="eastAsia"/>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2</w:t>
            </w:r>
            <w:bookmarkStart w:id="1" w:name="_GoBack"/>
            <w:bookmarkEnd w:id="1"/>
          </w:p>
        </w:tc>
        <w:tc>
          <w:tcPr>
            <w:tcW w:w="5528"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思科</w:t>
            </w:r>
            <w:r w:rsidRPr="00392655">
              <w:rPr>
                <w:rFonts w:ascii="宋体" w:eastAsia="宋体" w:hAnsi="宋体" w:cs="Times New Roman"/>
                <w:bCs/>
                <w:szCs w:val="21"/>
              </w:rPr>
              <w:t>TX9000</w:t>
            </w:r>
            <w:proofErr w:type="gramStart"/>
            <w:r w:rsidRPr="00392655">
              <w:rPr>
                <w:rFonts w:ascii="宋体" w:eastAsia="宋体" w:hAnsi="宋体" w:cs="Times New Roman" w:hint="eastAsia"/>
                <w:bCs/>
                <w:szCs w:val="21"/>
              </w:rPr>
              <w:t>网真</w:t>
            </w:r>
            <w:r w:rsidRPr="00392655">
              <w:rPr>
                <w:rFonts w:ascii="宋体" w:eastAsia="宋体" w:hAnsi="宋体" w:cs="Times New Roman"/>
                <w:bCs/>
                <w:szCs w:val="21"/>
              </w:rPr>
              <w:t>系统</w:t>
            </w:r>
            <w:proofErr w:type="gramEnd"/>
            <w:r w:rsidRPr="00392655">
              <w:rPr>
                <w:rFonts w:ascii="宋体" w:eastAsia="宋体" w:hAnsi="宋体" w:cs="Times New Roman" w:hint="eastAsia"/>
                <w:bCs/>
                <w:szCs w:val="21"/>
              </w:rPr>
              <w:t>，</w:t>
            </w:r>
            <w:proofErr w:type="gramStart"/>
            <w:r w:rsidRPr="00392655">
              <w:rPr>
                <w:rFonts w:ascii="宋体" w:eastAsia="宋体" w:hAnsi="宋体" w:cs="Times New Roman" w:hint="eastAsia"/>
                <w:bCs/>
                <w:szCs w:val="21"/>
              </w:rPr>
              <w:t>高清全动态</w:t>
            </w:r>
            <w:proofErr w:type="gramEnd"/>
            <w:r w:rsidRPr="00392655">
              <w:rPr>
                <w:rFonts w:ascii="宋体" w:eastAsia="宋体" w:hAnsi="宋体" w:cs="Times New Roman" w:hint="eastAsia"/>
                <w:bCs/>
                <w:szCs w:val="21"/>
              </w:rPr>
              <w:t>内容共享，三个</w:t>
            </w:r>
            <w:r w:rsidRPr="00392655">
              <w:rPr>
                <w:rFonts w:ascii="宋体" w:eastAsia="宋体" w:hAnsi="宋体" w:cs="Times New Roman"/>
                <w:bCs/>
                <w:szCs w:val="21"/>
              </w:rPr>
              <w:t>并发高清视频</w:t>
            </w:r>
            <w:r w:rsidRPr="00392655">
              <w:rPr>
                <w:rFonts w:ascii="宋体" w:eastAsia="宋体" w:hAnsi="宋体" w:cs="Times New Roman" w:hint="eastAsia"/>
                <w:bCs/>
                <w:szCs w:val="21"/>
              </w:rPr>
              <w:t>流</w:t>
            </w:r>
            <w:r w:rsidRPr="00392655">
              <w:rPr>
                <w:rFonts w:ascii="宋体" w:eastAsia="宋体" w:hAnsi="宋体" w:cs="Times New Roman"/>
                <w:bCs/>
                <w:szCs w:val="21"/>
              </w:rPr>
              <w:t>，声场定位，</w:t>
            </w:r>
            <w:r w:rsidRPr="00392655">
              <w:rPr>
                <w:rFonts w:ascii="宋体" w:eastAsia="宋体" w:hAnsi="宋体" w:cs="Times New Roman" w:hint="eastAsia"/>
                <w:bCs/>
                <w:szCs w:val="21"/>
              </w:rPr>
              <w:t>低</w:t>
            </w:r>
            <w:r w:rsidRPr="00392655">
              <w:rPr>
                <w:rFonts w:ascii="宋体" w:eastAsia="宋体" w:hAnsi="宋体" w:cs="Times New Roman"/>
                <w:bCs/>
                <w:szCs w:val="21"/>
              </w:rPr>
              <w:t>带宽</w:t>
            </w:r>
            <w:r w:rsidRPr="00392655">
              <w:rPr>
                <w:rFonts w:ascii="宋体" w:eastAsia="宋体" w:hAnsi="宋体" w:cs="Times New Roman" w:hint="eastAsia"/>
                <w:bCs/>
                <w:szCs w:val="21"/>
              </w:rPr>
              <w:t>占用量</w:t>
            </w:r>
          </w:p>
        </w:tc>
        <w:tc>
          <w:tcPr>
            <w:tcW w:w="709" w:type="dxa"/>
            <w:shd w:val="clear" w:color="auto" w:fill="auto"/>
            <w:vAlign w:val="center"/>
          </w:tcPr>
          <w:p w:rsidR="00392655" w:rsidRPr="00392655" w:rsidDel="0037091B" w:rsidRDefault="00392655" w:rsidP="00392655">
            <w:pPr>
              <w:jc w:val="right"/>
              <w:rPr>
                <w:rFonts w:ascii="宋体" w:eastAsia="宋体" w:hAnsi="宋体" w:cs="宋体" w:hint="eastAsia"/>
                <w:bCs/>
                <w:sz w:val="22"/>
              </w:rPr>
            </w:pPr>
            <w:r w:rsidRPr="00392655">
              <w:rPr>
                <w:rFonts w:ascii="宋体" w:eastAsia="宋体" w:hAnsi="宋体" w:cs="宋体" w:hint="eastAsia"/>
                <w:bCs/>
                <w:sz w:val="22"/>
              </w:rPr>
              <w:t>102</w:t>
            </w:r>
          </w:p>
        </w:tc>
      </w:tr>
      <w:tr w:rsidR="00392655" w:rsidRPr="00392655" w:rsidDel="0037091B" w:rsidTr="00301C9F">
        <w:trPr>
          <w:trHeight w:val="300"/>
        </w:trPr>
        <w:tc>
          <w:tcPr>
            <w:tcW w:w="1560" w:type="dxa"/>
            <w:vMerge/>
            <w:shd w:val="clear" w:color="auto" w:fill="auto"/>
            <w:vAlign w:val="center"/>
          </w:tcPr>
          <w:p w:rsidR="00392655" w:rsidRPr="00392655" w:rsidDel="0037091B" w:rsidRDefault="00392655" w:rsidP="00392655">
            <w:pPr>
              <w:rPr>
                <w:rFonts w:ascii="宋体" w:eastAsia="宋体" w:hAnsi="宋体" w:cs="Times New Roman" w:hint="eastAsia"/>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3</w:t>
            </w:r>
          </w:p>
        </w:tc>
        <w:tc>
          <w:tcPr>
            <w:tcW w:w="5528"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Sanyo</w:t>
            </w:r>
            <w:r w:rsidRPr="00392655">
              <w:rPr>
                <w:rFonts w:ascii="宋体" w:eastAsia="宋体" w:hAnsi="宋体" w:cs="Times New Roman"/>
                <w:bCs/>
                <w:szCs w:val="21"/>
              </w:rPr>
              <w:t xml:space="preserve"> ZM5000</w:t>
            </w:r>
            <w:r w:rsidRPr="00392655">
              <w:rPr>
                <w:rFonts w:ascii="宋体" w:eastAsia="宋体" w:hAnsi="宋体" w:cs="Times New Roman" w:hint="eastAsia"/>
                <w:bCs/>
                <w:szCs w:val="21"/>
              </w:rPr>
              <w:t>全高清</w:t>
            </w:r>
            <w:r w:rsidRPr="00392655">
              <w:rPr>
                <w:rFonts w:ascii="宋体" w:eastAsia="宋体" w:hAnsi="宋体" w:cs="Times New Roman"/>
                <w:bCs/>
                <w:szCs w:val="21"/>
              </w:rPr>
              <w:t>投影，</w:t>
            </w:r>
            <w:r w:rsidRPr="00392655">
              <w:rPr>
                <w:rFonts w:ascii="宋体" w:eastAsia="宋体" w:hAnsi="宋体" w:cs="Times New Roman" w:hint="eastAsia"/>
                <w:bCs/>
                <w:szCs w:val="21"/>
              </w:rPr>
              <w:t>5000流明</w:t>
            </w:r>
          </w:p>
        </w:tc>
        <w:tc>
          <w:tcPr>
            <w:tcW w:w="709" w:type="dxa"/>
            <w:shd w:val="clear" w:color="auto" w:fill="auto"/>
            <w:vAlign w:val="center"/>
          </w:tcPr>
          <w:p w:rsidR="00392655" w:rsidRPr="00392655" w:rsidDel="0037091B" w:rsidRDefault="00392655" w:rsidP="00392655">
            <w:pPr>
              <w:jc w:val="right"/>
              <w:rPr>
                <w:rFonts w:ascii="宋体" w:eastAsia="宋体" w:hAnsi="宋体" w:cs="宋体" w:hint="eastAsia"/>
                <w:bCs/>
                <w:sz w:val="22"/>
              </w:rPr>
            </w:pPr>
            <w:r w:rsidRPr="00392655">
              <w:rPr>
                <w:rFonts w:ascii="宋体" w:eastAsia="宋体" w:hAnsi="宋体" w:cs="宋体" w:hint="eastAsia"/>
                <w:bCs/>
                <w:sz w:val="22"/>
              </w:rPr>
              <w:t>5.8</w:t>
            </w:r>
          </w:p>
        </w:tc>
      </w:tr>
      <w:tr w:rsidR="00392655" w:rsidRPr="00392655" w:rsidDel="0037091B" w:rsidTr="00301C9F">
        <w:trPr>
          <w:trHeight w:val="254"/>
        </w:trPr>
        <w:tc>
          <w:tcPr>
            <w:tcW w:w="1560" w:type="dxa"/>
            <w:vMerge/>
            <w:shd w:val="clear" w:color="auto" w:fill="auto"/>
            <w:vAlign w:val="center"/>
          </w:tcPr>
          <w:p w:rsidR="00392655" w:rsidRPr="00392655" w:rsidDel="0037091B" w:rsidRDefault="00392655" w:rsidP="00392655">
            <w:pPr>
              <w:rPr>
                <w:rFonts w:ascii="宋体" w:eastAsia="宋体" w:hAnsi="宋体" w:cs="Times New Roman" w:hint="eastAsia"/>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4</w:t>
            </w:r>
          </w:p>
        </w:tc>
        <w:tc>
          <w:tcPr>
            <w:tcW w:w="5528"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 xml:space="preserve">Barco </w:t>
            </w:r>
            <w:proofErr w:type="spellStart"/>
            <w:r w:rsidRPr="00392655">
              <w:rPr>
                <w:rFonts w:ascii="宋体" w:eastAsia="宋体" w:hAnsi="宋体" w:cs="Times New Roman"/>
                <w:bCs/>
                <w:szCs w:val="21"/>
              </w:rPr>
              <w:t>ClickShare</w:t>
            </w:r>
            <w:proofErr w:type="spellEnd"/>
            <w:proofErr w:type="gramStart"/>
            <w:r w:rsidRPr="00392655">
              <w:rPr>
                <w:rFonts w:ascii="宋体" w:eastAsia="宋体" w:hAnsi="宋体" w:cs="Times New Roman" w:hint="eastAsia"/>
                <w:bCs/>
                <w:szCs w:val="21"/>
              </w:rPr>
              <w:t>无线会议</w:t>
            </w:r>
            <w:proofErr w:type="gramEnd"/>
            <w:r w:rsidRPr="00392655">
              <w:rPr>
                <w:rFonts w:ascii="宋体" w:eastAsia="宋体" w:hAnsi="宋体" w:cs="Times New Roman"/>
                <w:bCs/>
                <w:szCs w:val="21"/>
              </w:rPr>
              <w:t>系统，</w:t>
            </w:r>
            <w:r w:rsidRPr="00392655">
              <w:rPr>
                <w:rFonts w:ascii="宋体" w:eastAsia="宋体" w:hAnsi="宋体" w:cs="Times New Roman" w:hint="eastAsia"/>
                <w:bCs/>
                <w:szCs w:val="21"/>
              </w:rPr>
              <w:t>四个分享</w:t>
            </w:r>
            <w:r w:rsidRPr="00392655">
              <w:rPr>
                <w:rFonts w:ascii="宋体" w:eastAsia="宋体" w:hAnsi="宋体" w:cs="Times New Roman"/>
                <w:bCs/>
                <w:szCs w:val="21"/>
              </w:rPr>
              <w:t>内容通道，64</w:t>
            </w:r>
            <w:r w:rsidRPr="00392655">
              <w:rPr>
                <w:rFonts w:ascii="宋体" w:eastAsia="宋体" w:hAnsi="宋体" w:cs="Times New Roman" w:hint="eastAsia"/>
                <w:bCs/>
                <w:szCs w:val="21"/>
              </w:rPr>
              <w:t>输入源，</w:t>
            </w:r>
            <w:r w:rsidRPr="00392655">
              <w:rPr>
                <w:rFonts w:ascii="宋体" w:eastAsia="宋体" w:hAnsi="宋体" w:cs="Times New Roman"/>
                <w:bCs/>
                <w:szCs w:val="21"/>
              </w:rPr>
              <w:t>全平台兼容</w:t>
            </w:r>
          </w:p>
        </w:tc>
        <w:tc>
          <w:tcPr>
            <w:tcW w:w="709" w:type="dxa"/>
            <w:shd w:val="clear" w:color="auto" w:fill="auto"/>
            <w:vAlign w:val="center"/>
          </w:tcPr>
          <w:p w:rsidR="00392655" w:rsidRPr="00392655" w:rsidDel="0037091B" w:rsidRDefault="00392655" w:rsidP="00392655">
            <w:pPr>
              <w:jc w:val="right"/>
              <w:rPr>
                <w:rFonts w:ascii="宋体" w:eastAsia="宋体" w:hAnsi="宋体" w:cs="宋体" w:hint="eastAsia"/>
                <w:bCs/>
                <w:sz w:val="22"/>
              </w:rPr>
            </w:pPr>
            <w:r w:rsidRPr="00392655">
              <w:rPr>
                <w:rFonts w:ascii="宋体" w:eastAsia="宋体" w:hAnsi="宋体" w:cs="宋体" w:hint="eastAsia"/>
                <w:bCs/>
                <w:sz w:val="22"/>
              </w:rPr>
              <w:t>4.5</w:t>
            </w:r>
          </w:p>
        </w:tc>
      </w:tr>
      <w:tr w:rsidR="00392655" w:rsidRPr="00392655" w:rsidDel="0037091B" w:rsidTr="00301C9F">
        <w:trPr>
          <w:trHeight w:val="900"/>
        </w:trPr>
        <w:tc>
          <w:tcPr>
            <w:tcW w:w="1560" w:type="dxa"/>
            <w:vMerge/>
            <w:shd w:val="clear" w:color="auto" w:fill="auto"/>
            <w:vAlign w:val="center"/>
          </w:tcPr>
          <w:p w:rsidR="00392655" w:rsidRPr="00392655" w:rsidDel="0037091B" w:rsidRDefault="00392655" w:rsidP="00392655">
            <w:pPr>
              <w:rPr>
                <w:rFonts w:ascii="宋体" w:eastAsia="宋体" w:hAnsi="宋体" w:cs="Times New Roman" w:hint="eastAsia"/>
                <w:b/>
                <w:bCs/>
                <w:szCs w:val="21"/>
              </w:rPr>
            </w:pPr>
          </w:p>
        </w:tc>
        <w:tc>
          <w:tcPr>
            <w:tcW w:w="425"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5</w:t>
            </w:r>
          </w:p>
        </w:tc>
        <w:tc>
          <w:tcPr>
            <w:tcW w:w="5528" w:type="dxa"/>
            <w:shd w:val="clear" w:color="auto" w:fill="auto"/>
            <w:vAlign w:val="center"/>
          </w:tcPr>
          <w:p w:rsidR="00392655" w:rsidRPr="00392655" w:rsidRDefault="00392655" w:rsidP="00392655">
            <w:pPr>
              <w:rPr>
                <w:rFonts w:ascii="宋体" w:eastAsia="宋体" w:hAnsi="宋体" w:cs="Times New Roman" w:hint="eastAsia"/>
                <w:bCs/>
                <w:szCs w:val="21"/>
              </w:rPr>
            </w:pPr>
            <w:r w:rsidRPr="00392655">
              <w:rPr>
                <w:rFonts w:ascii="宋体" w:eastAsia="宋体" w:hAnsi="宋体" w:cs="Times New Roman" w:hint="eastAsia"/>
                <w:bCs/>
                <w:szCs w:val="21"/>
              </w:rPr>
              <w:t>Mac系统</w:t>
            </w:r>
            <w:r w:rsidRPr="00392655">
              <w:rPr>
                <w:rFonts w:ascii="宋体" w:eastAsia="宋体" w:hAnsi="宋体" w:cs="Times New Roman"/>
                <w:bCs/>
                <w:szCs w:val="21"/>
              </w:rPr>
              <w:t>HD剪辑工作站，</w:t>
            </w:r>
            <w:r w:rsidRPr="00392655">
              <w:rPr>
                <w:rFonts w:ascii="宋体" w:eastAsia="宋体" w:hAnsi="宋体" w:cs="Times New Roman" w:hint="eastAsia"/>
                <w:bCs/>
                <w:szCs w:val="21"/>
              </w:rPr>
              <w:t>LSI</w:t>
            </w:r>
            <w:r w:rsidRPr="00392655">
              <w:rPr>
                <w:rFonts w:ascii="宋体" w:eastAsia="宋体" w:hAnsi="宋体" w:cs="Times New Roman"/>
                <w:bCs/>
                <w:szCs w:val="21"/>
              </w:rPr>
              <w:t xml:space="preserve"> </w:t>
            </w:r>
            <w:r w:rsidRPr="00392655">
              <w:rPr>
                <w:rFonts w:ascii="宋体" w:eastAsia="宋体" w:hAnsi="宋体" w:cs="Times New Roman" w:hint="eastAsia"/>
                <w:bCs/>
                <w:szCs w:val="21"/>
              </w:rPr>
              <w:t>SAS磁盘阵列</w:t>
            </w:r>
            <w:r w:rsidRPr="00392655">
              <w:rPr>
                <w:rFonts w:ascii="宋体" w:eastAsia="宋体" w:hAnsi="宋体" w:cs="Times New Roman"/>
                <w:bCs/>
                <w:szCs w:val="21"/>
              </w:rPr>
              <w:t>卡</w:t>
            </w:r>
            <w:r w:rsidRPr="00392655">
              <w:rPr>
                <w:rFonts w:ascii="宋体" w:eastAsia="宋体" w:hAnsi="宋体" w:cs="Times New Roman" w:hint="eastAsia"/>
                <w:bCs/>
                <w:szCs w:val="21"/>
              </w:rPr>
              <w:t>，</w:t>
            </w:r>
            <w:proofErr w:type="gramStart"/>
            <w:r w:rsidRPr="00392655">
              <w:rPr>
                <w:rFonts w:ascii="宋体" w:eastAsia="宋体" w:hAnsi="宋体" w:cs="Times New Roman" w:hint="eastAsia"/>
                <w:bCs/>
                <w:szCs w:val="21"/>
              </w:rPr>
              <w:t>六核</w:t>
            </w:r>
            <w:proofErr w:type="gramEnd"/>
            <w:r w:rsidRPr="00392655">
              <w:rPr>
                <w:rFonts w:ascii="宋体" w:eastAsia="宋体" w:hAnsi="宋体" w:cs="Times New Roman" w:hint="eastAsia"/>
                <w:bCs/>
                <w:szCs w:val="21"/>
              </w:rPr>
              <w:t xml:space="preserve"> 3.2GHz Intel Core i7 CPU，NVIDIA </w:t>
            </w:r>
            <w:proofErr w:type="spellStart"/>
            <w:r w:rsidRPr="00392655">
              <w:rPr>
                <w:rFonts w:ascii="宋体" w:eastAsia="宋体" w:hAnsi="宋体" w:cs="Times New Roman" w:hint="eastAsia"/>
                <w:bCs/>
                <w:szCs w:val="21"/>
              </w:rPr>
              <w:t>Geforce</w:t>
            </w:r>
            <w:proofErr w:type="spellEnd"/>
            <w:r w:rsidRPr="00392655">
              <w:rPr>
                <w:rFonts w:ascii="宋体" w:eastAsia="宋体" w:hAnsi="宋体" w:cs="Times New Roman" w:hint="eastAsia"/>
                <w:bCs/>
                <w:szCs w:val="21"/>
              </w:rPr>
              <w:t xml:space="preserve"> GTX 650 显卡</w:t>
            </w:r>
          </w:p>
        </w:tc>
        <w:tc>
          <w:tcPr>
            <w:tcW w:w="709" w:type="dxa"/>
            <w:shd w:val="clear" w:color="auto" w:fill="auto"/>
            <w:vAlign w:val="center"/>
          </w:tcPr>
          <w:p w:rsidR="00392655" w:rsidRPr="00392655" w:rsidDel="0037091B" w:rsidRDefault="00392655" w:rsidP="00392655">
            <w:pPr>
              <w:jc w:val="right"/>
              <w:rPr>
                <w:rFonts w:ascii="宋体" w:eastAsia="宋体" w:hAnsi="宋体" w:cs="宋体" w:hint="eastAsia"/>
                <w:bCs/>
                <w:sz w:val="22"/>
              </w:rPr>
            </w:pPr>
            <w:r w:rsidRPr="00392655">
              <w:rPr>
                <w:rFonts w:ascii="宋体" w:eastAsia="宋体" w:hAnsi="宋体" w:cs="宋体" w:hint="eastAsia"/>
                <w:bCs/>
                <w:sz w:val="22"/>
              </w:rPr>
              <w:t>3.7</w:t>
            </w:r>
          </w:p>
        </w:tc>
      </w:tr>
    </w:tbl>
    <w:p w:rsidR="00392655" w:rsidRDefault="00392655" w:rsidP="00392655">
      <w:pPr>
        <w:rPr>
          <w:rFonts w:hint="eastAsia"/>
        </w:rPr>
      </w:pPr>
    </w:p>
    <w:sectPr w:rsidR="00392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A8"/>
    <w:rsid w:val="00133FA8"/>
    <w:rsid w:val="001923A0"/>
    <w:rsid w:val="00301C9F"/>
    <w:rsid w:val="00392655"/>
    <w:rsid w:val="0048714F"/>
    <w:rsid w:val="004B17E4"/>
    <w:rsid w:val="00B1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9D714-1940-40E5-94AE-B8B9CE31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1039</Characters>
  <Application>Microsoft Office Word</Application>
  <DocSecurity>0</DocSecurity>
  <Lines>8</Lines>
  <Paragraphs>2</Paragraphs>
  <ScaleCrop>false</ScaleCrop>
  <Company>清华大学 Tsinghua University</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3</cp:revision>
  <dcterms:created xsi:type="dcterms:W3CDTF">2014-04-21T00:10:00Z</dcterms:created>
  <dcterms:modified xsi:type="dcterms:W3CDTF">2014-04-21T00:14:00Z</dcterms:modified>
</cp:coreProperties>
</file>