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The requirements as defined in Annex B1 of PAS 2030:2019 - Cavity wall insulation including party walls.</w:t>
      </w:r>
    </w:p>
    <w:p>
      <w:pPr/>
      <w:r>
        <w:rPr/>
        <w:t xml:space="preserve">B.1.3 Inspector Competence</w:t>
      </w:r>
    </w:p>
    <w:p>
      <w:pPr/>
      <w:r>
        <w:rPr/>
        <w:t xml:space="preserve">When undertaking a pre-installation building inspection in respect of the installation of cavity wall insulation, the Retrofit Installer shall employ or contract only an inspector meeting the competence requirements of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000" w:type="dxa"/>
      <w:gridCol w:w="8000" w:type="dxa"/>
    </w:tblGrid>
    <w:tblPr>
      <w:tblStyle w:val="HeaderTable"/>
    </w:tblPr>
    <w:tr>
      <w:trPr/>
      <w:tc>
        <w:tcPr>
          <w:tcW w:w="1000" w:type="dxa"/>
          <w:vAlign w:val="center"/>
          <w:noWrap/>
        </w:tcPr>
        <w:p>
          <w:pPr>
            <w:jc w:val="left"/>
          </w:pPr>
          <w:r>
            <w:pict>
              <v:shape type="#_x0000_t75" stroked="f" style="width:80pt; height:16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000" w:type="dxa"/>
          <w:vAlign w:val="center"/>
          <w:noWrap/>
        </w:tcPr>
        <w:p>
          <w:pPr>
            <w:jc w:val="center"/>
          </w:pPr>
          <w:r>
            <w:rPr>
              <w:sz w:val="28"/>
              <w:szCs w:val="28"/>
              <w:b w:val="1"/>
              <w:bCs w:val="1"/>
            </w:rPr>
            <w:t xml:space="preserve">DOC-001 Test Document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Table">
    <w:name w:val="HeaderTable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BorderedTable">
    <w:name w:val="Bordered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2025-05-23T15:03:49+00:00</dcterms:created>
  <dcterms:modified xsi:type="dcterms:W3CDTF">2025-05-23T15:03:49+00:00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