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Tarifas 2026</w:t>
      </w:r>
    </w:p>
    <w:p>
      <w:r>
        <w:t>Mano de obra: 45 €/hora (+IVA). Café &amp; té &lt;b&gt;no&lt;/b&gt; es etiqueta.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Servicio</w:t>
            </w:r>
          </w:p>
        </w:tc>
        <w:tc>
          <w:tcPr>
            <w:tcW w:type="dxa" w:w="4320"/>
          </w:tcPr>
          <w:p>
            <w:r>
              <w:t>Precio</w:t>
            </w:r>
          </w:p>
        </w:tc>
      </w:tr>
      <w:tr>
        <w:tc>
          <w:tcPr>
            <w:tcW w:type="dxa" w:w="4320"/>
          </w:tcPr>
          <w:p>
            <w:r>
              <w:t>Desplazamiento</w:t>
            </w:r>
          </w:p>
        </w:tc>
        <w:tc>
          <w:tcPr>
            <w:tcW w:type="dxa" w:w="4320"/>
          </w:tcPr>
          <w:p>
            <w:r>
              <w:t>25 €</w:t>
            </w:r>
          </w:p>
        </w:tc>
      </w:tr>
    </w:tbl>
    <w:p>
      <w:r>
        <w:t>Línea con</w:t>
        <w:tab/>
        <w:t>tabulador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