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0BEB" w14:textId="42BBE25F" w:rsidR="00C66D09" w:rsidRPr="00C66D09" w:rsidRDefault="00C66D09" w:rsidP="00C66D09">
      <w:pPr>
        <w:jc w:val="center"/>
        <w:rPr>
          <w:b/>
          <w:bCs/>
          <w:sz w:val="36"/>
          <w:szCs w:val="32"/>
        </w:rPr>
      </w:pPr>
      <w:r w:rsidRPr="00C66D09">
        <w:rPr>
          <w:b/>
          <w:bCs/>
          <w:sz w:val="36"/>
          <w:szCs w:val="32"/>
        </w:rPr>
        <w:t>SEISMIC VULNERABILITY INDEX OF MICROTREMOR (SVIM)</w:t>
      </w:r>
    </w:p>
    <w:p w14:paraId="41F83B68" w14:textId="77777777" w:rsidR="00C66D09" w:rsidRDefault="00C66D09" w:rsidP="00C66D09">
      <w:pPr>
        <w:jc w:val="center"/>
        <w:rPr>
          <w:b/>
          <w:bCs/>
          <w:sz w:val="36"/>
          <w:szCs w:val="32"/>
        </w:rPr>
      </w:pPr>
      <w:r w:rsidRPr="00C66D09">
        <w:rPr>
          <w:b/>
          <w:bCs/>
          <w:sz w:val="36"/>
          <w:szCs w:val="32"/>
        </w:rPr>
        <w:t>USER MANUAL</w:t>
      </w:r>
    </w:p>
    <w:p w14:paraId="665C51B9" w14:textId="77777777" w:rsidR="00C66D09" w:rsidRDefault="00C66D09" w:rsidP="00C66D09">
      <w:pPr>
        <w:jc w:val="center"/>
        <w:rPr>
          <w:b/>
          <w:bCs/>
          <w:sz w:val="36"/>
          <w:szCs w:val="32"/>
        </w:rPr>
      </w:pPr>
    </w:p>
    <w:p w14:paraId="4AE0DE20" w14:textId="77777777" w:rsidR="00692B02" w:rsidRDefault="00692B02" w:rsidP="00C66D09">
      <w:pPr>
        <w:jc w:val="center"/>
        <w:rPr>
          <w:b/>
          <w:bCs/>
          <w:sz w:val="36"/>
          <w:szCs w:val="32"/>
        </w:rPr>
      </w:pPr>
    </w:p>
    <w:p w14:paraId="7F09CAF1" w14:textId="77777777" w:rsidR="00692B02" w:rsidRDefault="00692B02" w:rsidP="00C66D09">
      <w:pPr>
        <w:jc w:val="center"/>
        <w:rPr>
          <w:b/>
          <w:bCs/>
          <w:sz w:val="36"/>
          <w:szCs w:val="32"/>
        </w:rPr>
      </w:pPr>
    </w:p>
    <w:p w14:paraId="44647DA0" w14:textId="77777777" w:rsidR="00C66D09" w:rsidRDefault="00C66D09" w:rsidP="00C66D09">
      <w:pPr>
        <w:jc w:val="center"/>
        <w:rPr>
          <w:b/>
          <w:bCs/>
          <w:sz w:val="36"/>
          <w:szCs w:val="32"/>
        </w:rPr>
      </w:pPr>
    </w:p>
    <w:p w14:paraId="4870F55F" w14:textId="77777777" w:rsidR="00C66D09" w:rsidRDefault="00C66D09" w:rsidP="00C66D09">
      <w:pPr>
        <w:jc w:val="center"/>
        <w:rPr>
          <w:b/>
          <w:bCs/>
          <w:sz w:val="36"/>
          <w:szCs w:val="32"/>
        </w:rPr>
      </w:pPr>
      <w:r>
        <w:rPr>
          <w:b/>
          <w:bCs/>
          <w:noProof/>
          <w:sz w:val="36"/>
          <w:szCs w:val="32"/>
        </w:rPr>
        <w:drawing>
          <wp:inline distT="0" distB="0" distL="0" distR="0" wp14:anchorId="6B1A8B1C" wp14:editId="54E5A57A">
            <wp:extent cx="2121592" cy="2127688"/>
            <wp:effectExtent l="0" t="0" r="0" b="6350"/>
            <wp:docPr id="148160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03916" name="Picture 1481603916"/>
                    <pic:cNvPicPr/>
                  </pic:nvPicPr>
                  <pic:blipFill>
                    <a:blip r:embed="rId8">
                      <a:extLst>
                        <a:ext uri="{28A0092B-C50C-407E-A947-70E740481C1C}">
                          <a14:useLocalDpi xmlns:a14="http://schemas.microsoft.com/office/drawing/2010/main" val="0"/>
                        </a:ext>
                      </a:extLst>
                    </a:blip>
                    <a:stretch>
                      <a:fillRect/>
                    </a:stretch>
                  </pic:blipFill>
                  <pic:spPr>
                    <a:xfrm>
                      <a:off x="0" y="0"/>
                      <a:ext cx="2121592" cy="2127688"/>
                    </a:xfrm>
                    <a:prstGeom prst="rect">
                      <a:avLst/>
                    </a:prstGeom>
                  </pic:spPr>
                </pic:pic>
              </a:graphicData>
            </a:graphic>
          </wp:inline>
        </w:drawing>
      </w:r>
    </w:p>
    <w:p w14:paraId="17CB421C" w14:textId="6E8C357E" w:rsidR="00C66D09" w:rsidRDefault="00C66D09" w:rsidP="00C66D09">
      <w:pPr>
        <w:jc w:val="center"/>
        <w:rPr>
          <w:sz w:val="28"/>
          <w:szCs w:val="24"/>
        </w:rPr>
      </w:pPr>
      <w:r w:rsidRPr="00C66D09">
        <w:rPr>
          <w:sz w:val="28"/>
          <w:szCs w:val="24"/>
        </w:rPr>
        <w:t>v.1.</w:t>
      </w:r>
      <w:r>
        <w:rPr>
          <w:sz w:val="28"/>
          <w:szCs w:val="24"/>
        </w:rPr>
        <w:t>1</w:t>
      </w:r>
    </w:p>
    <w:p w14:paraId="7BCD9822" w14:textId="77777777" w:rsidR="00692B02" w:rsidRDefault="00692B02" w:rsidP="00C66D09">
      <w:pPr>
        <w:jc w:val="center"/>
        <w:rPr>
          <w:sz w:val="28"/>
          <w:szCs w:val="24"/>
        </w:rPr>
      </w:pPr>
    </w:p>
    <w:p w14:paraId="04DDD570" w14:textId="787E6C90" w:rsidR="00692B02" w:rsidRDefault="00692B02" w:rsidP="00C66D09">
      <w:pPr>
        <w:jc w:val="center"/>
        <w:rPr>
          <w:sz w:val="28"/>
          <w:szCs w:val="24"/>
        </w:rPr>
      </w:pPr>
      <w:r>
        <w:rPr>
          <w:sz w:val="28"/>
          <w:szCs w:val="24"/>
        </w:rPr>
        <w:t xml:space="preserve">Aulia Khalqillah, S.Si., </w:t>
      </w:r>
      <w:proofErr w:type="gramStart"/>
      <w:r>
        <w:rPr>
          <w:sz w:val="28"/>
          <w:szCs w:val="24"/>
        </w:rPr>
        <w:t>M.Si</w:t>
      </w:r>
      <w:proofErr w:type="gramEnd"/>
    </w:p>
    <w:p w14:paraId="1D22EFA7" w14:textId="2CD78A67" w:rsidR="00692B02" w:rsidRDefault="00692B02" w:rsidP="00C66D09">
      <w:pPr>
        <w:jc w:val="center"/>
        <w:rPr>
          <w:sz w:val="28"/>
          <w:szCs w:val="24"/>
        </w:rPr>
      </w:pPr>
      <w:r>
        <w:rPr>
          <w:sz w:val="28"/>
          <w:szCs w:val="24"/>
        </w:rPr>
        <w:t>Prof. Muksin Umar</w:t>
      </w:r>
    </w:p>
    <w:p w14:paraId="73C94F37" w14:textId="77777777" w:rsidR="00692B02" w:rsidRDefault="00692B02" w:rsidP="00C66D09">
      <w:pPr>
        <w:jc w:val="center"/>
        <w:rPr>
          <w:sz w:val="28"/>
          <w:szCs w:val="24"/>
        </w:rPr>
      </w:pPr>
    </w:p>
    <w:p w14:paraId="0F5F0C7C" w14:textId="77777777" w:rsidR="00692B02" w:rsidRDefault="00692B02" w:rsidP="00C66D09">
      <w:pPr>
        <w:jc w:val="center"/>
        <w:rPr>
          <w:sz w:val="28"/>
          <w:szCs w:val="24"/>
        </w:rPr>
      </w:pPr>
    </w:p>
    <w:p w14:paraId="547FD703" w14:textId="77777777" w:rsidR="00692B02" w:rsidRDefault="00692B02" w:rsidP="00692B02">
      <w:pPr>
        <w:rPr>
          <w:sz w:val="28"/>
          <w:szCs w:val="24"/>
        </w:rPr>
      </w:pPr>
    </w:p>
    <w:p w14:paraId="0D0E7420" w14:textId="77777777" w:rsidR="00692B02" w:rsidRDefault="00692B02" w:rsidP="00C66D09">
      <w:pPr>
        <w:jc w:val="center"/>
        <w:rPr>
          <w:sz w:val="28"/>
          <w:szCs w:val="24"/>
        </w:rPr>
      </w:pPr>
    </w:p>
    <w:p w14:paraId="1D033411" w14:textId="77777777" w:rsidR="00C66D09" w:rsidRDefault="00692B02" w:rsidP="00692B02">
      <w:pPr>
        <w:jc w:val="center"/>
        <w:rPr>
          <w:sz w:val="28"/>
          <w:szCs w:val="24"/>
        </w:rPr>
      </w:pPr>
      <w:r>
        <w:rPr>
          <w:sz w:val="28"/>
          <w:szCs w:val="24"/>
        </w:rPr>
        <w:t>Tsunami and Disaster Mitigatioin Research Center (TDMRC)</w:t>
      </w:r>
    </w:p>
    <w:p w14:paraId="0B73EB8A" w14:textId="3B5580D3" w:rsidR="00692B02" w:rsidRPr="00C66D09" w:rsidRDefault="00692B02" w:rsidP="00692B02">
      <w:pPr>
        <w:jc w:val="center"/>
        <w:rPr>
          <w:sz w:val="28"/>
          <w:szCs w:val="24"/>
        </w:rPr>
        <w:sectPr w:rsidR="00692B02" w:rsidRPr="00C66D09" w:rsidSect="008C6129">
          <w:footerReference w:type="default" r:id="rId9"/>
          <w:pgSz w:w="11906" w:h="16838"/>
          <w:pgMar w:top="1440" w:right="1440" w:bottom="1440" w:left="1440" w:header="708" w:footer="708" w:gutter="0"/>
          <w:cols w:space="708"/>
          <w:docGrid w:linePitch="360"/>
        </w:sectPr>
      </w:pPr>
      <w:r>
        <w:rPr>
          <w:sz w:val="28"/>
          <w:szCs w:val="24"/>
        </w:rPr>
        <w:t>Universitas Syiah Kuala</w:t>
      </w:r>
    </w:p>
    <w:p w14:paraId="0E44A6E3" w14:textId="229C2B25" w:rsidR="00C950C3" w:rsidRDefault="00EF32F8" w:rsidP="00C66D09">
      <w:pPr>
        <w:pStyle w:val="Heading1"/>
      </w:pPr>
      <w:r w:rsidRPr="00C66D09">
        <w:lastRenderedPageBreak/>
        <w:t>Introduction</w:t>
      </w:r>
    </w:p>
    <w:p w14:paraId="1A6238A8" w14:textId="4FDD5A78" w:rsidR="00EF32F8" w:rsidRDefault="00EF32F8" w:rsidP="00EF32F8">
      <w:pPr>
        <w:rPr>
          <w:rFonts w:eastAsiaTheme="minorEastAsia"/>
        </w:rPr>
      </w:pPr>
      <w:r>
        <w:t>The Seismic Vulnerability Index of Microtremor (SVIM) is a program to conduct microtremor data processing</w:t>
      </w:r>
      <w:r w:rsidR="00402B11">
        <w:t xml:space="preserve"> in MATLAB based.</w:t>
      </w:r>
      <w:r w:rsidR="00286A2F">
        <w:t xml:space="preserve"> The principal computation in SVIM</w:t>
      </w:r>
      <w:r w:rsidR="005D6DD8">
        <w:t xml:space="preserve"> is</w:t>
      </w:r>
      <w:r>
        <w:t xml:space="preserve"> to identify the fundamental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and amplification factor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of a site</w:t>
      </w:r>
      <w:r>
        <w:t xml:space="preserve"> by using</w:t>
      </w:r>
      <w:sdt>
        <w:sdtPr>
          <w:rPr>
            <w:color w:val="000000"/>
          </w:rPr>
          <w:tag w:val="MENDELEY_CITATION_v3_eyJjaXRhdGlvbklEIjoiTUVOREVMRVlfQ0lUQVRJT05fZmY4MGU2NmMtNTFiOS00NDdjLWI3Y2QtYmEwMjQxZTFjMWJhIiwicHJvcGVydGllcyI6eyJub3RlSW5kZXgiOjB9LCJpc0VkaXRlZCI6ZmFsc2UsIm1hbnVhbE92ZXJyaWRlIjp7ImlzTWFudWFsbHlPdmVycmlkZGVuIjpmYWxzZSwiY2l0ZXByb2NUZXh0IjoiKE5ha2FtdXJhLCAxOTg5KSIsIm1hbnVhbE92ZXJyaWRlVGV4dCI6IiJ9LCJjaXRhdGlvbkl0ZW1zIjpbeyJpZCI6ImEyNjhiMTM3LTk5YzAtMzU1Ni04YjFkLTRiYTNmZjViM2U3OSIsIml0ZW1EYXRhIjp7InR5cGUiOiJhcnRpY2xlLWpvdXJuYWwiLCJpZCI6ImEyNjhiMTM3LTk5YzAtMzU1Ni04YjFkLTRiYTNmZjViM2U3OSIsInRpdGxlIjoiQSBtZXRob2QgZm9yIGR5bmFtaWMgY2hhcmFjdGVyaXN0aWNzIGVzdGltYXRpb24gb2Ygc3Vic3VyZmFjZSB1c2luZyBtaWNyb3RyZW1vciBvbiB0aGUgZ3JvdW5kIHN1cmZhY2UiLCJhdXRob3IiOlt7ImZhbWlseSI6Ik5ha2FtdXJhIiwiZ2l2ZW4iOiJZdXRha2EiLCJwYXJzZS1uYW1lcyI6ZmFsc2UsImRyb3BwaW5nLXBhcnRpY2xlIjoiIiwibm9uLWRyb3BwaW5nLXBhcnRpY2xlIjoiIn1dLCJjb250YWluZXItdGl0bGUiOiJSYWlsd2F5IFRlY2huaWNhbCBSZXNlYXJjaCBJbnN0aXR1dGUsIFF1YXJ0ZXJseSBSZXBvcnRzIiwiaXNzdWVkIjp7ImRhdGUtcGFydHMiOltbMTk4OV1dfSwiaXNzdWUiOiIxIiwidm9sdW1lIjoiMzAiLCJjb250YWluZXItdGl0bGUtc2hvcnQiOiIifSwiaXNUZW1wb3JhcnkiOmZhbHNlfV19"/>
          <w:id w:val="383834072"/>
          <w:placeholder>
            <w:docPart w:val="DefaultPlaceholder_-1854013440"/>
          </w:placeholder>
        </w:sdtPr>
        <w:sdtContent>
          <w:r w:rsidR="003C4B40" w:rsidRPr="003C4B40">
            <w:rPr>
              <w:color w:val="000000"/>
            </w:rPr>
            <w:t>(Nakamura, 1989)</w:t>
          </w:r>
        </w:sdtContent>
      </w:sdt>
      <w:r>
        <w:t xml:space="preserve"> called Horizontal to Vertical Spectral Ratio (HVSR).</w:t>
      </w:r>
      <w:r w:rsidR="00286A2F">
        <w:t xml:space="preserve"> The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286A2F">
        <w:rPr>
          <w:rFonts w:eastAsiaTheme="minorEastAsia"/>
        </w:rPr>
        <w:t xml:space="preserve"> is identified from the maximum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86A2F">
        <w:rPr>
          <w:rFonts w:eastAsiaTheme="minorEastAsia"/>
        </w:rPr>
        <w:t xml:space="preserve"> or equivalent to clear peak of </w:t>
      </w:r>
      <w:r w:rsidR="00C22D3E">
        <w:rPr>
          <w:rFonts w:eastAsiaTheme="minorEastAsia"/>
        </w:rPr>
        <w:t xml:space="preserve">smoothed </w:t>
      </w:r>
      <w:r w:rsidR="00286A2F">
        <w:rPr>
          <w:rFonts w:eastAsiaTheme="minorEastAsia"/>
        </w:rPr>
        <w:t>HVSR curve</w:t>
      </w:r>
      <w:r w:rsidR="00C22D3E">
        <w:rPr>
          <w:rFonts w:eastAsiaTheme="minorEastAsia"/>
        </w:rPr>
        <w:t xml:space="preserve"> as shown in Figure 1. The HVSR curve is smoothed using</w:t>
      </w:r>
      <w:r w:rsidR="00DA6E09">
        <w:rPr>
          <w:rFonts w:eastAsiaTheme="minorEastAsia"/>
        </w:rPr>
        <w:t xml:space="preserve"> Konno-Ohmachi method.</w:t>
      </w:r>
      <w:r w:rsidR="00C22D3E">
        <w:rPr>
          <w:rFonts w:eastAsiaTheme="minorEastAsia"/>
        </w:rPr>
        <w:t xml:space="preserve"> </w:t>
      </w:r>
      <w:sdt>
        <w:sdtPr>
          <w:rPr>
            <w:rFonts w:eastAsiaTheme="minorEastAsia"/>
          </w:rPr>
          <w:tag w:val="MENDELEY_CITATION_v3_eyJjaXRhdGlvbklEIjoiTUVOREVMRVlfQ0lUQVRJT05fYWRmZTE5OWYtYjExMy00MDM1LWIyYTEtZTVlODE5OGU1YzBiIiwicHJvcGVydGllcyI6eyJub3RlSW5kZXgiOjB9LCJpc0VkaXRlZCI6ZmFsc2UsIm1hbnVhbE92ZXJyaWRlIjp7ImlzTWFudWFsbHlPdmVycmlkZGVuIjpmYWxzZSwiY2l0ZXByb2NUZXh0IjoiKEtvbm5vICYjMzg7IE9obWFjaGksIDE5OTgpIiwibWFudWFsT3ZlcnJpZGVUZXh0IjoiIn0sImNpdGF0aW9uSXRlbXMiOlt7ImlkIjoiMzFiNWExNzAtY2Q2NC0zM2QxLWI4MzgtM2NmMTgyMGM0NzE0IiwiaXRlbURhdGEiOnsidHlwZSI6InJlcG9ydCIsImlkIjoiMzFiNWExNzAtY2Q2NC0zM2QxLWI4MzgtM2NmMTgyMGM0NzE0IiwidGl0bGUiOiJHcm91bmQtTW90aW9uIENoYXJhY3RlcmlzdGljcyBFc3RpbWF0ZWQgZnJvbSBTcGVjdHJhbCBSYXRpbyBiZXR3ZWVuIEhvcml6b250YWwgYW5kIFZlcnRpY2FsIENvbXBvbmVudHMgb2YgTWljcm90cmVtb3IiLCJhdXRob3IiOlt7ImZhbWlseSI6Iktvbm5vIiwiZ2l2ZW4iOiJLYXRzdWFraSIsInBhcnNlLW5hbWVzIjpmYWxzZSwiZHJvcHBpbmctcGFydGljbGUiOiIiLCJub24tZHJvcHBpbmctcGFydGljbGUiOiIifSx7ImZhbWlseSI6Ik9obWFjaGkiLCJnaXZlbiI6IlRhdHN1byIsInBhcnNlLW5hbWVzIjpmYWxzZSwiZHJvcHBpbmctcGFydGljbGUiOiIiLCJub24tZHJvcHBpbmctcGFydGljbGUiOiIifV0sImNvbnRhaW5lci10aXRsZSI6IkJ1bGxldGluIG9mIHRoZSBTZWlzbW9sb2dpY2FsIFNvY2lldHkgb2YgQW1lcmljYSIsImlzc3VlZCI6eyJkYXRlLXBhcnRzIjpbWzE5OThdXX0sIm51bWJlci1vZi1wYWdlcyI6IjIyOC0yNDEiLCJhYnN0cmFjdCI6IlRoZSBzcGVjdHJhbCByYXRpbyBiZXR3ZWVuIGhvcml6b250YWwgYW5kIHZlcnRpY2FsIGNvbXBvbmVudHMgKEgvViByYXRpbykgb2YgbWljcm90cmVtb3JzIG1lYXN1cmVkIGF0IHRoZSBncm91bmQgc3VyZmFjZSBoYXMgYmVlbiB1c2VkIHRvIGVzdGltYXRlIGZ1bmRhbWVudGFsIHBlcmlvZHMgYW5kIGFtcGxpZmljYXRpb24gZmFjdG9ycyBvZiBhIHNpdGUsIGFsdGhvdWdoIHRoaXMgdGVjaG5pcXVlIGxhY2tzIHRoZW9yZXRpY2FsIGJhY2tncm91bmQuIFRoZSBhaW0gb2YgdGhpcyBhcnRpY2xlIGlzIHRvIGZvcm11bGF0ZSB0aGUgSC9WIHRlY2huaXF1ZSBpbiB0ZXJtcyBvZiB0aGUgY2hhcmFjdGVyaXN0aWNzIG9mIFJheWxlaWdoIGFuZCBMb3ZlIHdhdmVzLCBhbmQgdG8gY29udHJpYnV0ZSB0byBpbXByb3ZlIHRoZSB0ZWNobmlxdWUuIFRoZSBpbXByb3ZlbWVudCBpbmNsdWRlcyB1c2Ugb2Ygbm90IG9ubHkgcGVha3MgYnV0IGFsc28gdHJvdWdocyBpbiB0aGUgSC9WIHJhdGlvIGZvciByZWxpYWJsZSBlc3RpbWF0aW9uIG9mIHRoZSBwZXJpb2QgYW5kIHVzZSBvZiBhIG5ld2x5IHByb3Bvc2VkIHNtb290aGluZyBmdW5jdGlvbiBmb3IgYmV0dGVyIGVzdGltYXRpb24gb2YgdGhlIGFtcGxpZmljYXRpb24gZmFjdG9yLiBUaGUgZm9ybXVsYXRpb24gbGVhZHMgdG8gYSBzaW1wbGUgZm9ybXVsYSBmb3IgdGhlIGFtcGxpZmljYXRpb24gZmFjdG9yIGV4cHJlc3NlZCB3aXRoIHRoZSBIL1YgcmF0aW8uIFdpdGggbWljcm90cmVtb3IgZGF0YSBtZWFzdXJlZCBhdCA1NDYganVuaW9yIGhpZ2ggc2Nob29scyBpbiAyMyB3YXJkcyBvZiBUb2t5bywgdGhlIGltcHJvdmVkIHRlY2huaXF1ZSBpcyBhcHBsaWVkIHRvIG1hcHBpbmcgc2l0ZSBwZXJpb2RzIGFuZCBhbXBsaWZpY2F0aW9uIGZhY3RvcnMgaW4gdGhlIGFyZWEuIiwiaXNzdWUiOiIxIiwidm9sdW1lIjoiODgiLCJjb250YWluZXItdGl0bGUtc2hvcnQiOiIifSwiaXNUZW1wb3JhcnkiOmZhbHNlfV19"/>
          <w:id w:val="-433062948"/>
          <w:placeholder>
            <w:docPart w:val="DefaultPlaceholder_-1854013440"/>
          </w:placeholder>
        </w:sdtPr>
        <w:sdtContent>
          <w:r w:rsidR="003C4B40">
            <w:rPr>
              <w:rFonts w:eastAsia="Times New Roman"/>
            </w:rPr>
            <w:t>(Konno &amp; Ohmachi, 1998)</w:t>
          </w:r>
        </w:sdtContent>
      </w:sdt>
      <w:r w:rsidR="005C1EB4">
        <w:rPr>
          <w:rFonts w:eastAsiaTheme="minorEastAsia"/>
        </w:rPr>
        <w:t xml:space="preserve">. By using the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5C1E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C1EB4">
        <w:rPr>
          <w:rFonts w:eastAsiaTheme="minorEastAsia"/>
        </w:rPr>
        <w:t>, the seismic vulnerability index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oMath>
      <w:r w:rsidR="005C1EB4">
        <w:rPr>
          <w:rFonts w:eastAsiaTheme="minorEastAsia"/>
        </w:rPr>
        <w:t>) is calculated directly in SVIM</w:t>
      </w:r>
      <w:r w:rsidR="001B0172">
        <w:rPr>
          <w:rFonts w:eastAsiaTheme="minorEastAsia"/>
        </w:rPr>
        <w:t xml:space="preserve"> for each microtremor data. The SVIM program also has the mapping feature</w:t>
      </w:r>
      <w:r w:rsidR="00C13C84">
        <w:rPr>
          <w:rFonts w:eastAsiaTheme="minorEastAsia"/>
        </w:rPr>
        <w:t xml:space="preserve">. </w:t>
      </w:r>
      <w:r w:rsidR="00535449">
        <w:rPr>
          <w:rFonts w:eastAsiaTheme="minorEastAsia"/>
        </w:rPr>
        <w:t xml:space="preserve">This feature can be used to identify the data distribution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354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oMath>
      <w:r w:rsidR="00535449">
        <w:rPr>
          <w:rFonts w:eastAsiaTheme="minorEastAsia"/>
        </w:rPr>
        <w:t xml:space="preserve"> as preliminary view.</w:t>
      </w:r>
    </w:p>
    <w:p w14:paraId="168EC19E" w14:textId="15331C79" w:rsidR="00C22D3E" w:rsidRDefault="00C22D3E" w:rsidP="00EF32F8">
      <w:r>
        <w:rPr>
          <w:noProof/>
        </w:rPr>
        <w:drawing>
          <wp:inline distT="0" distB="0" distL="0" distR="0" wp14:anchorId="3CDDC99C" wp14:editId="6E5B453F">
            <wp:extent cx="5731510" cy="4297045"/>
            <wp:effectExtent l="0" t="0" r="2540" b="8255"/>
            <wp:docPr id="148508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5954C59" w14:textId="5752CB0F" w:rsidR="00C22D3E" w:rsidRDefault="00C22D3E" w:rsidP="00C22D3E">
      <w:pPr>
        <w:jc w:val="center"/>
        <w:rPr>
          <w:rFonts w:eastAsiaTheme="minorEastAsia"/>
        </w:rPr>
      </w:pPr>
      <w:r>
        <w:t xml:space="preserve">Figure 1. An example of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is identified from the maximum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or H/V value</w:t>
      </w:r>
    </w:p>
    <w:p w14:paraId="427E67E6" w14:textId="767BA271" w:rsidR="00E52089" w:rsidRDefault="00E8526D" w:rsidP="00E52089">
      <w:pPr>
        <w:pStyle w:val="Heading1"/>
      </w:pPr>
      <w:r>
        <w:t>Preparation</w:t>
      </w:r>
    </w:p>
    <w:p w14:paraId="6683AB3A" w14:textId="77777777" w:rsidR="00242936" w:rsidRDefault="00E52089" w:rsidP="00E52089">
      <w:r>
        <w:t>There are two directories</w:t>
      </w:r>
      <w:r w:rsidR="00242936">
        <w:t xml:space="preserve"> in main SVIM directory: </w:t>
      </w:r>
    </w:p>
    <w:p w14:paraId="6CD285C6" w14:textId="6E7E2D49" w:rsidR="00E52089" w:rsidRPr="00242936" w:rsidRDefault="00242936" w:rsidP="00E52089">
      <w:pPr>
        <w:pStyle w:val="ListParagraph"/>
        <w:numPr>
          <w:ilvl w:val="0"/>
          <w:numId w:val="3"/>
        </w:numPr>
      </w:pPr>
      <w:r>
        <w:t>m</w:t>
      </w:r>
      <w:r w:rsidRPr="00242936">
        <w:t>seed</w:t>
      </w:r>
      <w:r>
        <w:t xml:space="preserve">: there are function to read and write a trace data to mini-SEED format. This function is created by </w:t>
      </w:r>
      <w:hyperlink r:id="rId11" w:history="1">
        <w:r w:rsidRPr="00242936">
          <w:rPr>
            <w:rStyle w:val="Hyperlink"/>
          </w:rPr>
          <w:t>François Beauducel</w:t>
        </w:r>
      </w:hyperlink>
      <w:r>
        <w:t>.</w:t>
      </w:r>
    </w:p>
    <w:p w14:paraId="357F90FB" w14:textId="47BB6B43" w:rsidR="00242936" w:rsidRDefault="00242936" w:rsidP="00E52089">
      <w:pPr>
        <w:pStyle w:val="ListParagraph"/>
        <w:numPr>
          <w:ilvl w:val="0"/>
          <w:numId w:val="3"/>
        </w:numPr>
      </w:pPr>
      <w:r>
        <w:t>src: there are function that support to calculation in SVIM program</w:t>
      </w:r>
    </w:p>
    <w:p w14:paraId="5FF1EFE5" w14:textId="4A2D9527" w:rsidR="00242936" w:rsidRDefault="00242936" w:rsidP="00242936">
      <w:pPr>
        <w:pStyle w:val="ListParagraph"/>
        <w:numPr>
          <w:ilvl w:val="1"/>
          <w:numId w:val="3"/>
        </w:numPr>
      </w:pPr>
      <w:r>
        <w:t>antrig1: detecting the ratio of STA/LTA</w:t>
      </w:r>
    </w:p>
    <w:p w14:paraId="664DFA37" w14:textId="7550A579" w:rsidR="00242936" w:rsidRDefault="00242936" w:rsidP="00242936">
      <w:pPr>
        <w:pStyle w:val="ListParagraph"/>
        <w:numPr>
          <w:ilvl w:val="1"/>
          <w:numId w:val="3"/>
        </w:numPr>
      </w:pPr>
      <w:r>
        <w:t>cosinewin: creating a cosine taper</w:t>
      </w:r>
    </w:p>
    <w:p w14:paraId="461DC27E" w14:textId="71819E15" w:rsidR="00242936" w:rsidRDefault="00242936" w:rsidP="00242936">
      <w:pPr>
        <w:pStyle w:val="ListParagraph"/>
        <w:numPr>
          <w:ilvl w:val="1"/>
          <w:numId w:val="3"/>
        </w:numPr>
      </w:pPr>
      <w:r>
        <w:t>idw1: interpolating data (map)</w:t>
      </w:r>
    </w:p>
    <w:p w14:paraId="0882F5AA" w14:textId="4D5974E5" w:rsidR="00242936" w:rsidRDefault="00242936" w:rsidP="00242936">
      <w:pPr>
        <w:pStyle w:val="ListParagraph"/>
        <w:numPr>
          <w:ilvl w:val="1"/>
          <w:numId w:val="3"/>
        </w:numPr>
      </w:pPr>
      <w:r>
        <w:t>kosmooth: Smoothing HVSR curve</w:t>
      </w:r>
    </w:p>
    <w:p w14:paraId="4FA05E7D" w14:textId="1F69F8BB" w:rsidR="00242936" w:rsidRDefault="00242936" w:rsidP="00242936">
      <w:pPr>
        <w:pStyle w:val="ListParagraph"/>
        <w:numPr>
          <w:ilvl w:val="1"/>
          <w:numId w:val="3"/>
        </w:numPr>
      </w:pPr>
      <w:r>
        <w:lastRenderedPageBreak/>
        <w:t>patchcolors: Coloring the window segment</w:t>
      </w:r>
    </w:p>
    <w:p w14:paraId="2514CDDA" w14:textId="77777777" w:rsidR="00E8526D" w:rsidRDefault="00E8526D" w:rsidP="00242936">
      <w:pPr>
        <w:pStyle w:val="ListParagraph"/>
        <w:numPr>
          <w:ilvl w:val="0"/>
          <w:numId w:val="3"/>
        </w:numPr>
      </w:pPr>
      <w:r>
        <w:t>Please provide MATLAB R2015b or latest. The SVIM has been tested in MATLAB R2015b and R2019b.</w:t>
      </w:r>
    </w:p>
    <w:p w14:paraId="48D57E58" w14:textId="4360708B" w:rsidR="00E8526D" w:rsidRDefault="00E8526D" w:rsidP="00E8526D">
      <w:pPr>
        <w:pStyle w:val="Heading1"/>
      </w:pPr>
      <w:r>
        <w:t>Installation</w:t>
      </w:r>
    </w:p>
    <w:p w14:paraId="4DCA3C7D" w14:textId="0832ABD3" w:rsidR="007B6F76" w:rsidRDefault="007B6F76" w:rsidP="00E8526D">
      <w:pPr>
        <w:pStyle w:val="ListParagraph"/>
        <w:numPr>
          <w:ilvl w:val="0"/>
          <w:numId w:val="4"/>
        </w:numPr>
      </w:pPr>
      <w:r>
        <w:t>Download SVIM from GitHub repository</w:t>
      </w:r>
      <w:r w:rsidR="00DA0666">
        <w:t xml:space="preserve"> as a zip file</w:t>
      </w:r>
      <w:r>
        <w:t xml:space="preserve"> and save in the proper directory.</w:t>
      </w:r>
    </w:p>
    <w:p w14:paraId="7CF13E8D" w14:textId="61B6CF3D" w:rsidR="00DA0666" w:rsidRDefault="00DA0666" w:rsidP="00E8526D">
      <w:pPr>
        <w:pStyle w:val="ListParagraph"/>
        <w:numPr>
          <w:ilvl w:val="0"/>
          <w:numId w:val="4"/>
        </w:numPr>
      </w:pPr>
      <w:r>
        <w:t>Extract the file in the current directory and we have structure files and sub-directories as follows</w:t>
      </w:r>
    </w:p>
    <w:p w14:paraId="56337D82" w14:textId="37201ECB" w:rsidR="00DA0666" w:rsidRDefault="00DA0666" w:rsidP="00DA0666">
      <w:pPr>
        <w:pStyle w:val="ListParagraph"/>
        <w:numPr>
          <w:ilvl w:val="1"/>
          <w:numId w:val="4"/>
        </w:numPr>
      </w:pPr>
      <w:r>
        <w:t>mseed (directory)</w:t>
      </w:r>
    </w:p>
    <w:p w14:paraId="464EACF9" w14:textId="38A9113E" w:rsidR="00DA0666" w:rsidRDefault="00DA0666" w:rsidP="00DA0666">
      <w:pPr>
        <w:pStyle w:val="ListParagraph"/>
        <w:numPr>
          <w:ilvl w:val="1"/>
          <w:numId w:val="4"/>
        </w:numPr>
      </w:pPr>
      <w:r>
        <w:t>src (directory)</w:t>
      </w:r>
    </w:p>
    <w:p w14:paraId="3BB9E122" w14:textId="087DB19C" w:rsidR="00DA0666" w:rsidRDefault="00DA0666" w:rsidP="00DA0666">
      <w:pPr>
        <w:pStyle w:val="ListParagraph"/>
        <w:numPr>
          <w:ilvl w:val="1"/>
          <w:numId w:val="4"/>
        </w:numPr>
      </w:pPr>
      <w:r>
        <w:t>EXAMPLE (directory)</w:t>
      </w:r>
    </w:p>
    <w:p w14:paraId="36C6A59B" w14:textId="432D5859" w:rsidR="00DA0666" w:rsidRDefault="00DA0666" w:rsidP="00DA0666">
      <w:pPr>
        <w:pStyle w:val="ListParagraph"/>
        <w:numPr>
          <w:ilvl w:val="1"/>
          <w:numId w:val="4"/>
        </w:numPr>
      </w:pPr>
      <w:r>
        <w:t>SVIM.m</w:t>
      </w:r>
    </w:p>
    <w:p w14:paraId="37BBEC7C" w14:textId="3B1A2EAB" w:rsidR="00DA0666" w:rsidRDefault="00DA0666" w:rsidP="00DA0666">
      <w:pPr>
        <w:pStyle w:val="ListParagraph"/>
        <w:numPr>
          <w:ilvl w:val="1"/>
          <w:numId w:val="4"/>
        </w:numPr>
      </w:pPr>
      <w:r>
        <w:t>mapsvim.m</w:t>
      </w:r>
    </w:p>
    <w:p w14:paraId="589C73CD" w14:textId="609623F8" w:rsidR="00DA0666" w:rsidRDefault="00DA0666" w:rsidP="00DA0666">
      <w:pPr>
        <w:pStyle w:val="ListParagraph"/>
        <w:numPr>
          <w:ilvl w:val="1"/>
          <w:numId w:val="4"/>
        </w:numPr>
      </w:pPr>
      <w:r>
        <w:t>SVIM.fig</w:t>
      </w:r>
    </w:p>
    <w:p w14:paraId="36C4EF1F" w14:textId="40A8E81C" w:rsidR="00DA0666" w:rsidRDefault="00DA0666" w:rsidP="00DA0666">
      <w:pPr>
        <w:pStyle w:val="ListParagraph"/>
        <w:numPr>
          <w:ilvl w:val="1"/>
          <w:numId w:val="4"/>
        </w:numPr>
      </w:pPr>
      <w:r>
        <w:t>mapsvim.fig</w:t>
      </w:r>
    </w:p>
    <w:p w14:paraId="204F9261" w14:textId="4B887A57" w:rsidR="00E8526D" w:rsidRDefault="00E8526D" w:rsidP="00E8526D">
      <w:pPr>
        <w:pStyle w:val="ListParagraph"/>
        <w:numPr>
          <w:ilvl w:val="0"/>
          <w:numId w:val="4"/>
        </w:numPr>
      </w:pPr>
      <w:r>
        <w:t>Open your MATLAB.</w:t>
      </w:r>
    </w:p>
    <w:p w14:paraId="412F5B89" w14:textId="605441E4" w:rsidR="00E8526D" w:rsidRDefault="00DA0666" w:rsidP="00E8526D">
      <w:pPr>
        <w:pStyle w:val="ListParagraph"/>
        <w:numPr>
          <w:ilvl w:val="0"/>
          <w:numId w:val="4"/>
        </w:numPr>
      </w:pPr>
      <w:r>
        <w:t>Click on the Set Path in the Toolbar area</w:t>
      </w:r>
    </w:p>
    <w:p w14:paraId="4D42C44F" w14:textId="06CF2798" w:rsidR="00DA0666" w:rsidRDefault="00DA0666" w:rsidP="00DA0666">
      <w:pPr>
        <w:ind w:left="360"/>
      </w:pPr>
      <w:r>
        <w:rPr>
          <w:noProof/>
        </w:rPr>
        <mc:AlternateContent>
          <mc:Choice Requires="wps">
            <w:drawing>
              <wp:anchor distT="0" distB="0" distL="114300" distR="114300" simplePos="0" relativeHeight="251659264" behindDoc="0" locked="0" layoutInCell="1" allowOverlap="1" wp14:anchorId="542E950F" wp14:editId="381993CF">
                <wp:simplePos x="0" y="0"/>
                <wp:positionH relativeFrom="column">
                  <wp:posOffset>3676650</wp:posOffset>
                </wp:positionH>
                <wp:positionV relativeFrom="paragraph">
                  <wp:posOffset>292735</wp:posOffset>
                </wp:positionV>
                <wp:extent cx="590550" cy="142875"/>
                <wp:effectExtent l="19050" t="19050" r="19050" b="28575"/>
                <wp:wrapNone/>
                <wp:docPr id="938412309" name="Rectangle 1"/>
                <wp:cNvGraphicFramePr/>
                <a:graphic xmlns:a="http://schemas.openxmlformats.org/drawingml/2006/main">
                  <a:graphicData uri="http://schemas.microsoft.com/office/word/2010/wordprocessingShape">
                    <wps:wsp>
                      <wps:cNvSpPr/>
                      <wps:spPr>
                        <a:xfrm>
                          <a:off x="0" y="0"/>
                          <a:ext cx="590550" cy="1428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D14BC" id="Rectangle 1" o:spid="_x0000_s1026" style="position:absolute;margin-left:289.5pt;margin-top:23.05pt;width:46.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mqgwIAAGgFAAAOAAAAZHJzL2Uyb0RvYy54bWysVE1v2zAMvQ/YfxB0X20H8doGdYqgRYYB&#10;RVesHXpWZCk2IIuapMTJfv0oyXaCrthhWA6KZJKP5OPHze2hU2QvrGtBV7S4yCkRmkPd6m1Ff7ys&#10;P11R4jzTNVOgRUWPwtHb5ccPN71ZiBk0oGphCYJot+hNRRvvzSLLHG9Ex9wFGKFRKMF2zOPTbrPa&#10;sh7RO5XN8vxz1oOtjQUunMOv90lIlxFfSsH9Nymd8ERVFGPz8bTx3IQzW96wxdYy07R8CIP9QxQd&#10;azU6naDumWdkZ9s/oLqWW3Ag/QWHLgMpWy5iDphNkb/J5rlhRsRckBxnJprc/4Plj/tn82SRht64&#10;hcNryOIgbRf+MT5yiGQdJ7LEwROOH8vrvCyRUo6iYj67uiwDmdnJ2FjnvwjoSLhU1GItIkVs/+B8&#10;Uh1Vgi8N61apWA+lSV/R2VWJmEHkQLV1kMaH3W7ulCV7hiVdr3P8DY7P1DAMpTGaU1Lx5o9KBAyl&#10;vwtJ2hrTmCUPod/EBMs4F9oXSdSwWiRvRXnmbLSIOUfAgCwxygl7ABg1E8iInRgY9IOpiO06Ged/&#10;CywZTxbRM2g/GXetBvsegMKsBs9JfyQpURNY2kB9fLLEQhoWZ/i6xQo+MOefmMXpwKLjxPtveEgF&#10;WCkYbpQ0YH+99z3oY9OilJIep62i7ueOWUGJ+qqxna+L+TyMZ3zMy8sZPuy5ZHMu0bvuDrD6Be4W&#10;w+M16Hs1XqWF7hUXwyp4RRHTHH1XlHs7Pu582gK4WrhYraIajqRh/kE/Gx7AA6uhQ18Or8yaoY09&#10;9v8jjJPJFm+6OekGSw2rnQfZxlY/8TrwjeMcG2dYPWFfnL+j1mlBLn8DAAD//wMAUEsDBBQABgAI&#10;AAAAIQDr9I+w3wAAAAkBAAAPAAAAZHJzL2Rvd25yZXYueG1sTI9BT8MwDIXvSPyHyEhcEEs3QTZK&#10;0wkxIW6TVtC4uk3WViRO1WRb4ddjTnCz/Z6ev1esJ+/EyY6xD6RhPstAWGqC6anV8P72crsCEROS&#10;QRfIaviyEdbl5UWBuQln2tlTlVrBIRRz1NClNORSxqazHuMsDJZYO4TRY+J1bKUZ8czh3slFlinp&#10;sSf+0OFgnzvbfFZHr6HeD+77sPEf075ShNvXLdLmRuvrq+npEUSyU/ozwy8+o0PJTHU4konCabhf&#10;PnCXpOFOzUGwQS0XfKh5WCmQZSH/Nyh/AAAA//8DAFBLAQItABQABgAIAAAAIQC2gziS/gAAAOEB&#10;AAATAAAAAAAAAAAAAAAAAAAAAABbQ29udGVudF9UeXBlc10ueG1sUEsBAi0AFAAGAAgAAAAhADj9&#10;If/WAAAAlAEAAAsAAAAAAAAAAAAAAAAALwEAAF9yZWxzLy5yZWxzUEsBAi0AFAAGAAgAAAAhAPh4&#10;CaqDAgAAaAUAAA4AAAAAAAAAAAAAAAAALgIAAGRycy9lMm9Eb2MueG1sUEsBAi0AFAAGAAgAAAAh&#10;AOv0j7DfAAAACQEAAA8AAAAAAAAAAAAAAAAA3QQAAGRycy9kb3ducmV2LnhtbFBLBQYAAAAABAAE&#10;APMAAADpBQAAAAA=&#10;" filled="f" strokecolor="red" strokeweight="2.25pt"/>
            </w:pict>
          </mc:Fallback>
        </mc:AlternateContent>
      </w:r>
      <w:r w:rsidRPr="00DA0666">
        <w:rPr>
          <w:noProof/>
        </w:rPr>
        <w:drawing>
          <wp:inline distT="0" distB="0" distL="0" distR="0" wp14:anchorId="452212D5" wp14:editId="033929C3">
            <wp:extent cx="5731510" cy="603885"/>
            <wp:effectExtent l="0" t="0" r="2540" b="5715"/>
            <wp:docPr id="194289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98098" name=""/>
                    <pic:cNvPicPr/>
                  </pic:nvPicPr>
                  <pic:blipFill>
                    <a:blip r:embed="rId12"/>
                    <a:stretch>
                      <a:fillRect/>
                    </a:stretch>
                  </pic:blipFill>
                  <pic:spPr>
                    <a:xfrm>
                      <a:off x="0" y="0"/>
                      <a:ext cx="5731510" cy="603885"/>
                    </a:xfrm>
                    <a:prstGeom prst="rect">
                      <a:avLst/>
                    </a:prstGeom>
                  </pic:spPr>
                </pic:pic>
              </a:graphicData>
            </a:graphic>
          </wp:inline>
        </w:drawing>
      </w:r>
    </w:p>
    <w:p w14:paraId="13BD0CF6" w14:textId="5484C41B" w:rsidR="00DA0666" w:rsidRDefault="00DA0666" w:rsidP="00DA0666">
      <w:pPr>
        <w:pStyle w:val="ListParagraph"/>
        <w:numPr>
          <w:ilvl w:val="0"/>
          <w:numId w:val="4"/>
        </w:numPr>
      </w:pPr>
      <w:r>
        <w:t xml:space="preserve">It will open a </w:t>
      </w:r>
      <w:r w:rsidR="00F62E68">
        <w:t>Set Path</w:t>
      </w:r>
      <w:r>
        <w:t xml:space="preserve"> window as figure below</w:t>
      </w:r>
      <w:r w:rsidR="00F37420">
        <w:t>. Click on the Add with Subfolders and select the SVIM main folder.</w:t>
      </w:r>
    </w:p>
    <w:p w14:paraId="6BDC47A2" w14:textId="2BA31A05" w:rsidR="00F37420" w:rsidRDefault="00F37420" w:rsidP="00F37420">
      <w:pPr>
        <w:ind w:left="360"/>
      </w:pPr>
      <w:r w:rsidRPr="00F37420">
        <w:rPr>
          <w:noProof/>
        </w:rPr>
        <w:drawing>
          <wp:inline distT="0" distB="0" distL="0" distR="0" wp14:anchorId="2B2A01B1" wp14:editId="05EE9A42">
            <wp:extent cx="3257550" cy="2284183"/>
            <wp:effectExtent l="0" t="0" r="0" b="1905"/>
            <wp:docPr id="13540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9244" name=""/>
                    <pic:cNvPicPr/>
                  </pic:nvPicPr>
                  <pic:blipFill>
                    <a:blip r:embed="rId13"/>
                    <a:stretch>
                      <a:fillRect/>
                    </a:stretch>
                  </pic:blipFill>
                  <pic:spPr>
                    <a:xfrm>
                      <a:off x="0" y="0"/>
                      <a:ext cx="3269529" cy="2292582"/>
                    </a:xfrm>
                    <a:prstGeom prst="rect">
                      <a:avLst/>
                    </a:prstGeom>
                  </pic:spPr>
                </pic:pic>
              </a:graphicData>
            </a:graphic>
          </wp:inline>
        </w:drawing>
      </w:r>
    </w:p>
    <w:p w14:paraId="3BEEB0DB" w14:textId="62EF598F" w:rsidR="00C13C84" w:rsidRDefault="00C13C84" w:rsidP="00C13C84">
      <w:pPr>
        <w:pStyle w:val="ListParagraph"/>
        <w:numPr>
          <w:ilvl w:val="0"/>
          <w:numId w:val="4"/>
        </w:numPr>
      </w:pPr>
      <w:r>
        <w:t>Then the SVIM functions and sub-directories have been loaded as figure below. Then click save then close.</w:t>
      </w:r>
    </w:p>
    <w:p w14:paraId="62C944A6" w14:textId="21A7C2F3" w:rsidR="00F81FE8" w:rsidRDefault="00F81FE8" w:rsidP="00F37420">
      <w:pPr>
        <w:ind w:left="360"/>
      </w:pPr>
      <w:r w:rsidRPr="00F81FE8">
        <w:rPr>
          <w:noProof/>
        </w:rPr>
        <w:lastRenderedPageBreak/>
        <w:drawing>
          <wp:inline distT="0" distB="0" distL="0" distR="0" wp14:anchorId="616E8BC8" wp14:editId="7382C06A">
            <wp:extent cx="3314700" cy="2324256"/>
            <wp:effectExtent l="0" t="0" r="0" b="0"/>
            <wp:docPr id="168666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68994" name=""/>
                    <pic:cNvPicPr/>
                  </pic:nvPicPr>
                  <pic:blipFill>
                    <a:blip r:embed="rId14"/>
                    <a:stretch>
                      <a:fillRect/>
                    </a:stretch>
                  </pic:blipFill>
                  <pic:spPr>
                    <a:xfrm>
                      <a:off x="0" y="0"/>
                      <a:ext cx="3322122" cy="2329460"/>
                    </a:xfrm>
                    <a:prstGeom prst="rect">
                      <a:avLst/>
                    </a:prstGeom>
                  </pic:spPr>
                </pic:pic>
              </a:graphicData>
            </a:graphic>
          </wp:inline>
        </w:drawing>
      </w:r>
    </w:p>
    <w:p w14:paraId="1297202F" w14:textId="775ACD2F" w:rsidR="00F62E68" w:rsidRDefault="00F62E68" w:rsidP="00F62E68">
      <w:pPr>
        <w:pStyle w:val="ListParagraph"/>
        <w:numPr>
          <w:ilvl w:val="0"/>
          <w:numId w:val="4"/>
        </w:numPr>
      </w:pPr>
      <w:r>
        <w:t xml:space="preserve">To check the installation, type </w:t>
      </w:r>
      <w:r>
        <w:rPr>
          <w:i/>
          <w:iCs/>
        </w:rPr>
        <w:t>help SVIM</w:t>
      </w:r>
      <w:r>
        <w:t xml:space="preserve"> in MATLAB’s Command Window then press enter. It will show the information regarding SVIM as follows</w:t>
      </w:r>
    </w:p>
    <w:p w14:paraId="1F7A0F8F" w14:textId="13AC237F" w:rsidR="00F62E68" w:rsidRDefault="00EF51A9" w:rsidP="00F62E68">
      <w:pPr>
        <w:ind w:left="360"/>
      </w:pPr>
      <w:r w:rsidRPr="00EF51A9">
        <w:rPr>
          <w:noProof/>
        </w:rPr>
        <w:drawing>
          <wp:inline distT="0" distB="0" distL="0" distR="0" wp14:anchorId="4DDA881E" wp14:editId="5C3A7ED9">
            <wp:extent cx="5731510" cy="2947035"/>
            <wp:effectExtent l="0" t="0" r="2540" b="5715"/>
            <wp:docPr id="135376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2868" name=""/>
                    <pic:cNvPicPr/>
                  </pic:nvPicPr>
                  <pic:blipFill>
                    <a:blip r:embed="rId15"/>
                    <a:stretch>
                      <a:fillRect/>
                    </a:stretch>
                  </pic:blipFill>
                  <pic:spPr>
                    <a:xfrm>
                      <a:off x="0" y="0"/>
                      <a:ext cx="5731510" cy="2947035"/>
                    </a:xfrm>
                    <a:prstGeom prst="rect">
                      <a:avLst/>
                    </a:prstGeom>
                  </pic:spPr>
                </pic:pic>
              </a:graphicData>
            </a:graphic>
          </wp:inline>
        </w:drawing>
      </w:r>
    </w:p>
    <w:p w14:paraId="3F3FCCFF" w14:textId="728E246A" w:rsidR="00F62E68" w:rsidRDefault="00F62E68" w:rsidP="00F62E68">
      <w:pPr>
        <w:pStyle w:val="Heading1"/>
      </w:pPr>
      <w:r>
        <w:t>Data Processing</w:t>
      </w:r>
    </w:p>
    <w:p w14:paraId="37A5BE91" w14:textId="3BA4EB0C" w:rsidR="00F62E68" w:rsidRDefault="001E40BC" w:rsidP="00F62E68">
      <w:r>
        <w:t xml:space="preserve">The SVIM program allows to open trace data in mini-SEED (MSEED) format that is separated into three components, east (e), north (n) and vertical (z). In this package, there is a directory EXAMPLE that consist a set of example trace data, such as </w:t>
      </w:r>
      <w:r w:rsidRPr="001E40BC">
        <w:t>c0c02231120035925.bhe</w:t>
      </w:r>
      <w:r>
        <w:t xml:space="preserve">, </w:t>
      </w:r>
      <w:r w:rsidRPr="001E40BC">
        <w:t>c0c02231120035925.bh</w:t>
      </w:r>
      <w:r>
        <w:t xml:space="preserve">n, and </w:t>
      </w:r>
      <w:r w:rsidRPr="001E40BC">
        <w:t>c0c02231120035925.bh</w:t>
      </w:r>
      <w:r>
        <w:t>z.</w:t>
      </w:r>
      <w:r w:rsidR="003B36EC">
        <w:t xml:space="preserve"> Furthermore, there is an example of output SVIM for several data processing that have done called Output_SVIM.txt. This file is used in SVIM-map to plot preliminary map. The all steps of data processing can be followed in the explanation below.</w:t>
      </w:r>
    </w:p>
    <w:p w14:paraId="4F2C6D60" w14:textId="494FA356" w:rsidR="004C6C4F" w:rsidRDefault="004C6C4F" w:rsidP="004C6C4F">
      <w:pPr>
        <w:pStyle w:val="ListParagraph"/>
        <w:numPr>
          <w:ilvl w:val="0"/>
          <w:numId w:val="6"/>
        </w:numPr>
      </w:pPr>
      <w:r>
        <w:t>Type SVIM in the MATLAB’s command window and it will show the SVIM window as figure below.</w:t>
      </w:r>
    </w:p>
    <w:p w14:paraId="6F265F98" w14:textId="4F157303" w:rsidR="004C6C4F" w:rsidRDefault="004C6C4F" w:rsidP="004C6C4F">
      <w:pPr>
        <w:ind w:left="360"/>
      </w:pPr>
      <w:r w:rsidRPr="004C6C4F">
        <w:rPr>
          <w:noProof/>
        </w:rPr>
        <w:lastRenderedPageBreak/>
        <w:drawing>
          <wp:inline distT="0" distB="0" distL="0" distR="0" wp14:anchorId="04EA150F" wp14:editId="7B8773B7">
            <wp:extent cx="5731510" cy="3011170"/>
            <wp:effectExtent l="0" t="0" r="2540" b="0"/>
            <wp:docPr id="38831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7665" name=""/>
                    <pic:cNvPicPr/>
                  </pic:nvPicPr>
                  <pic:blipFill rotWithShape="1">
                    <a:blip r:embed="rId16"/>
                    <a:srcRect t="1557"/>
                    <a:stretch/>
                  </pic:blipFill>
                  <pic:spPr bwMode="auto">
                    <a:xfrm>
                      <a:off x="0" y="0"/>
                      <a:ext cx="5731510" cy="3011170"/>
                    </a:xfrm>
                    <a:prstGeom prst="rect">
                      <a:avLst/>
                    </a:prstGeom>
                    <a:ln>
                      <a:noFill/>
                    </a:ln>
                    <a:extLst>
                      <a:ext uri="{53640926-AAD7-44D8-BBD7-CCE9431645EC}">
                        <a14:shadowObscured xmlns:a14="http://schemas.microsoft.com/office/drawing/2010/main"/>
                      </a:ext>
                    </a:extLst>
                  </pic:spPr>
                </pic:pic>
              </a:graphicData>
            </a:graphic>
          </wp:inline>
        </w:drawing>
      </w:r>
    </w:p>
    <w:p w14:paraId="44DEFE25" w14:textId="3387BA47" w:rsidR="004C6C4F" w:rsidRDefault="007006CD" w:rsidP="004C6C4F">
      <w:pPr>
        <w:pStyle w:val="ListParagraph"/>
        <w:numPr>
          <w:ilvl w:val="0"/>
          <w:numId w:val="6"/>
        </w:numPr>
      </w:pPr>
      <w:r>
        <w:t xml:space="preserve">Click on </w:t>
      </w:r>
      <w:r w:rsidRPr="007006CD">
        <w:rPr>
          <w:b/>
          <w:bCs/>
        </w:rPr>
        <w:t>Import Data</w:t>
      </w:r>
      <w:r>
        <w:t xml:space="preserve"> button (ctrl + I) or</w:t>
      </w:r>
      <w:r w:rsidR="00AF0922">
        <w:t xml:space="preserve"> in the toolbar click</w:t>
      </w:r>
      <w:r>
        <w:t xml:space="preserve"> File </w:t>
      </w:r>
      <w:r>
        <w:sym w:font="Wingdings" w:char="F0E0"/>
      </w:r>
      <w:r>
        <w:t xml:space="preserve"> Import Raw Data, then select the example data from the EXAMPLE directory. Then, the raw data will </w:t>
      </w:r>
      <w:r w:rsidR="009C538D">
        <w:t>show</w:t>
      </w:r>
      <w:r>
        <w:t xml:space="preserve"> as figure below.</w:t>
      </w:r>
    </w:p>
    <w:p w14:paraId="14C5F782" w14:textId="1CE26910" w:rsidR="007006CD" w:rsidRDefault="007006CD" w:rsidP="007006CD">
      <w:pPr>
        <w:ind w:left="360"/>
      </w:pPr>
      <w:r w:rsidRPr="007006CD">
        <w:rPr>
          <w:noProof/>
        </w:rPr>
        <w:drawing>
          <wp:inline distT="0" distB="0" distL="0" distR="0" wp14:anchorId="34E53A9E" wp14:editId="13435686">
            <wp:extent cx="5731510" cy="3011170"/>
            <wp:effectExtent l="0" t="0" r="2540" b="0"/>
            <wp:docPr id="61186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3448" name=""/>
                    <pic:cNvPicPr/>
                  </pic:nvPicPr>
                  <pic:blipFill rotWithShape="1">
                    <a:blip r:embed="rId17"/>
                    <a:srcRect t="1557"/>
                    <a:stretch/>
                  </pic:blipFill>
                  <pic:spPr bwMode="auto">
                    <a:xfrm>
                      <a:off x="0" y="0"/>
                      <a:ext cx="5731510" cy="3011170"/>
                    </a:xfrm>
                    <a:prstGeom prst="rect">
                      <a:avLst/>
                    </a:prstGeom>
                    <a:ln>
                      <a:noFill/>
                    </a:ln>
                    <a:extLst>
                      <a:ext uri="{53640926-AAD7-44D8-BBD7-CCE9431645EC}">
                        <a14:shadowObscured xmlns:a14="http://schemas.microsoft.com/office/drawing/2010/main"/>
                      </a:ext>
                    </a:extLst>
                  </pic:spPr>
                </pic:pic>
              </a:graphicData>
            </a:graphic>
          </wp:inline>
        </w:drawing>
      </w:r>
    </w:p>
    <w:p w14:paraId="5752384F" w14:textId="493DAD26" w:rsidR="007006CD" w:rsidRDefault="007006CD" w:rsidP="007006CD">
      <w:pPr>
        <w:pStyle w:val="ListParagraph"/>
        <w:numPr>
          <w:ilvl w:val="0"/>
          <w:numId w:val="6"/>
        </w:numPr>
      </w:pPr>
      <w:r>
        <w:t>Fill the coordinate (longitude and latitude) that where the trace data has been collected, e.g., longitude is</w:t>
      </w:r>
      <w:r w:rsidR="00392561">
        <w:t xml:space="preserve"> 95 and latitude is 5. These values will be stored into Output panel.</w:t>
      </w:r>
    </w:p>
    <w:p w14:paraId="1B6D4004" w14:textId="543D3D92" w:rsidR="00392561" w:rsidRDefault="00392561" w:rsidP="007006CD">
      <w:pPr>
        <w:pStyle w:val="ListParagraph"/>
        <w:numPr>
          <w:ilvl w:val="0"/>
          <w:numId w:val="6"/>
        </w:numPr>
      </w:pPr>
      <w:r>
        <w:t>The sampling time is detected automatically from the data.</w:t>
      </w:r>
    </w:p>
    <w:p w14:paraId="7A582DFC" w14:textId="129DC24C" w:rsidR="00392561" w:rsidRDefault="00392561" w:rsidP="007006CD">
      <w:pPr>
        <w:pStyle w:val="ListParagraph"/>
        <w:numPr>
          <w:ilvl w:val="0"/>
          <w:numId w:val="6"/>
        </w:numPr>
      </w:pPr>
      <w:r>
        <w:t>Adjust the Orde filter for the filter parameter. The default is 1.</w:t>
      </w:r>
    </w:p>
    <w:p w14:paraId="591B58A1" w14:textId="06AD8EC5" w:rsidR="00392561" w:rsidRDefault="00392561" w:rsidP="007006CD">
      <w:pPr>
        <w:pStyle w:val="ListParagraph"/>
        <w:numPr>
          <w:ilvl w:val="0"/>
          <w:numId w:val="6"/>
        </w:numPr>
      </w:pPr>
      <w:r>
        <w:t>Select one of three filter options, there are Bandpass filter, Highpass filter, and Lowpass filter. For example, Bandpass from 0.1 Hz (low) and 10 Hz (high).</w:t>
      </w:r>
    </w:p>
    <w:p w14:paraId="46D9B014" w14:textId="2F44E766" w:rsidR="003C4B40" w:rsidRPr="00D11DC3" w:rsidRDefault="003C4B40" w:rsidP="007006CD">
      <w:pPr>
        <w:pStyle w:val="ListParagraph"/>
        <w:numPr>
          <w:ilvl w:val="0"/>
          <w:numId w:val="6"/>
        </w:numPr>
      </w:pPr>
      <w:r>
        <w:t>Adjust the parameter of anti-trigger in STA/LTA window. The STA stands for Short Term Average and LTA for Long Term Average</w:t>
      </w:r>
      <w:r w:rsidR="000E4873">
        <w:t>. The default parameter of STA is 1 s, LTA is 30 s, minimum threshold is 0.2, and maximum threshold 2.0.</w:t>
      </w:r>
      <w:r w:rsidR="00D11DC3">
        <w:t xml:space="preserve"> These parameters </w:t>
      </w:r>
      <w:r w:rsidR="00D11DC3">
        <w:lastRenderedPageBreak/>
        <w:t>can be adjusted based on the data quality.</w:t>
      </w:r>
      <w:r w:rsidR="000E4873">
        <w:t xml:space="preserve"> Read </w:t>
      </w:r>
      <w:sdt>
        <w:sdtPr>
          <w:rPr>
            <w:color w:val="000000"/>
          </w:rPr>
          <w:tag w:val="MENDELEY_CITATION_v3_eyJjaXRhdGlvbklEIjoiTUVOREVMRVlfQ0lUQVRJT05fZjQzZTAyMGUtMWFjZS00Y2MyLThkMzUtZmVkOGEzYzJkMjNmIiwicHJvcGVydGllcyI6eyJub3RlSW5kZXgiOjB9LCJpc0VkaXRlZCI6ZmFsc2UsIm1hbnVhbE92ZXJyaWRlIjp7ImlzTWFudWFsbHlPdmVycmlkZGVuIjp0cnVlLCJjaXRlcHJvY1RleHQiOiIoVHJua29jenksIDE5OTkpIiwibWFudWFsT3ZlcnJpZGVUZXh0IjoiVHJua29jenkgKDE5OTkpIn0sImNpdGF0aW9uSXRlbXMiOlt7ImlkIjoiMzYxZjJhNDMtYjYwYi0zNjY1LWFkYWEtMmQ5ZjJhNzQ2OGZjIiwiaXRlbURhdGEiOnsidHlwZSI6ImFydGljbGUtam91cm5hbCIsImlkIjoiMzYxZjJhNDMtYjYwYi0zNjY1LWFkYWEtMmQ5ZjJhNzQ2OGZjIiwidGl0bGUiOiJVbmRlcnN0YW5kaW5nIGFuZCBwYXJhbWV0ZXIgc2V0dGluZyBvZiBTVEEvTFRBIHRyaWdnZXIgYWxnb3JpdGhtIiwiYXV0aG9yIjpbeyJmYW1pbHkiOiJUcm5rb2N6eSIsImdpdmVuIjoiQSIsInBhcnNlLW5hbWVzIjpmYWxzZSwiZHJvcHBpbmctcGFydGljbGUiOiIiLCJub24tZHJvcHBpbmctcGFydGljbGUiOiIifV0sImNvbnRhaW5lci10aXRsZSI6IklBU1BFSSBOZXcgTWFudWFsIG9mIFNlaXNtb2xvZ2ljYWwgT2JzZXJ2YXRvcnkgUHJhY3RpY2UiLCJpc3N1ZWQiOnsiZGF0ZS1wYXJ0cyI6W1sxOTk5XV19LCJwYWdlIjoiMS0xOSIsInZvbHVtZSI6IjIiLCJjb250YWluZXItdGl0bGUtc2hvcnQiOiIifSwiaXNUZW1wb3JhcnkiOmZhbHNlfV19"/>
          <w:id w:val="-2074962687"/>
          <w:placeholder>
            <w:docPart w:val="DefaultPlaceholder_-1854013440"/>
          </w:placeholder>
        </w:sdtPr>
        <w:sdtContent>
          <w:r w:rsidR="00C66D09" w:rsidRPr="00C66D09">
            <w:rPr>
              <w:color w:val="000000"/>
            </w:rPr>
            <w:t>Trnkoczy (1999)</w:t>
          </w:r>
        </w:sdtContent>
      </w:sdt>
      <w:r w:rsidR="000E4873">
        <w:rPr>
          <w:color w:val="000000"/>
        </w:rPr>
        <w:t xml:space="preserve"> for more information about the fundamental of STA/LTA method.</w:t>
      </w:r>
    </w:p>
    <w:p w14:paraId="652B96B5" w14:textId="661D7AB6" w:rsidR="00D11DC3" w:rsidRPr="00D11DC3" w:rsidRDefault="00D11DC3" w:rsidP="007006CD">
      <w:pPr>
        <w:pStyle w:val="ListParagraph"/>
        <w:numPr>
          <w:ilvl w:val="0"/>
          <w:numId w:val="6"/>
        </w:numPr>
      </w:pPr>
      <w:r>
        <w:rPr>
          <w:color w:val="000000"/>
        </w:rPr>
        <w:t>Adjust the window length parameter. The default is 25 s</w:t>
      </w:r>
    </w:p>
    <w:p w14:paraId="664D3660" w14:textId="60286448" w:rsidR="00D11DC3" w:rsidRPr="003E08E0" w:rsidRDefault="00D11DC3" w:rsidP="007006CD">
      <w:pPr>
        <w:pStyle w:val="ListParagraph"/>
        <w:numPr>
          <w:ilvl w:val="0"/>
          <w:numId w:val="6"/>
        </w:numPr>
      </w:pPr>
      <w:r>
        <w:rPr>
          <w:color w:val="000000"/>
        </w:rPr>
        <w:t>Select the number of samples. There are four options, 521, 1024, 2048, 4096. In this example, the 1024 is choosen.</w:t>
      </w:r>
    </w:p>
    <w:p w14:paraId="1E535BCD" w14:textId="2409AD1E" w:rsidR="003E08E0" w:rsidRDefault="003E08E0" w:rsidP="007006CD">
      <w:pPr>
        <w:pStyle w:val="ListParagraph"/>
        <w:numPr>
          <w:ilvl w:val="0"/>
          <w:numId w:val="6"/>
        </w:numPr>
      </w:pPr>
      <w:r>
        <w:t>Select the bandwidth of smoothing coefficient. There are six options, 10, 20, 30, 40, 50, and 60.</w:t>
      </w:r>
      <w:r w:rsidR="00AF0922">
        <w:t xml:space="preserve"> In this example, the 40 is choosen.</w:t>
      </w:r>
    </w:p>
    <w:p w14:paraId="065F36C4" w14:textId="7E31F647" w:rsidR="00AF0922" w:rsidRDefault="00AF0922" w:rsidP="007006CD">
      <w:pPr>
        <w:pStyle w:val="ListParagraph"/>
        <w:numPr>
          <w:ilvl w:val="0"/>
          <w:numId w:val="6"/>
        </w:numPr>
      </w:pPr>
      <w:r>
        <w:t>Set the frequency range for the HVSR curve. The default is 0.1 Hz to 10 Hz.</w:t>
      </w:r>
    </w:p>
    <w:p w14:paraId="74104532" w14:textId="7BBE454D" w:rsidR="00AF0922" w:rsidRDefault="00AF0922" w:rsidP="007006CD">
      <w:pPr>
        <w:pStyle w:val="ListParagraph"/>
        <w:numPr>
          <w:ilvl w:val="0"/>
          <w:numId w:val="6"/>
        </w:numPr>
      </w:pPr>
      <w:r>
        <w:t xml:space="preserve">After all parameters have been adjusted, then click Process button (ctrl + S) or in the toolbar click </w:t>
      </w:r>
      <w:r w:rsidRPr="00035AE8">
        <w:rPr>
          <w:b/>
          <w:bCs/>
        </w:rPr>
        <w:t>Process</w:t>
      </w:r>
      <w:r>
        <w:t xml:space="preserve"> </w:t>
      </w:r>
      <w:r>
        <w:sym w:font="Wingdings" w:char="F0E0"/>
      </w:r>
      <w:r>
        <w:t xml:space="preserve"> H/V process</w:t>
      </w:r>
      <w:r w:rsidR="009C538D">
        <w:t>. Then, HVSR calculation is starting as shown in figure below.</w:t>
      </w:r>
    </w:p>
    <w:p w14:paraId="67E9D60E" w14:textId="799877DC" w:rsidR="00246BCD" w:rsidRDefault="00246BCD" w:rsidP="00246BCD">
      <w:pPr>
        <w:ind w:left="360"/>
      </w:pPr>
      <w:r w:rsidRPr="00246BCD">
        <w:rPr>
          <w:noProof/>
        </w:rPr>
        <w:drawing>
          <wp:inline distT="0" distB="0" distL="0" distR="0" wp14:anchorId="693B2BEE" wp14:editId="45C62692">
            <wp:extent cx="5731510" cy="3011170"/>
            <wp:effectExtent l="0" t="0" r="2540" b="0"/>
            <wp:docPr id="2155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30611" name=""/>
                    <pic:cNvPicPr/>
                  </pic:nvPicPr>
                  <pic:blipFill rotWithShape="1">
                    <a:blip r:embed="rId18"/>
                    <a:srcRect t="1557"/>
                    <a:stretch/>
                  </pic:blipFill>
                  <pic:spPr bwMode="auto">
                    <a:xfrm>
                      <a:off x="0" y="0"/>
                      <a:ext cx="5731510" cy="3011170"/>
                    </a:xfrm>
                    <a:prstGeom prst="rect">
                      <a:avLst/>
                    </a:prstGeom>
                    <a:ln>
                      <a:noFill/>
                    </a:ln>
                    <a:extLst>
                      <a:ext uri="{53640926-AAD7-44D8-BBD7-CCE9431645EC}">
                        <a14:shadowObscured xmlns:a14="http://schemas.microsoft.com/office/drawing/2010/main"/>
                      </a:ext>
                    </a:extLst>
                  </pic:spPr>
                </pic:pic>
              </a:graphicData>
            </a:graphic>
          </wp:inline>
        </w:drawing>
      </w:r>
    </w:p>
    <w:p w14:paraId="34F7BEA2" w14:textId="6B4617D0" w:rsidR="00246BCD" w:rsidRDefault="00EC4482" w:rsidP="00246BCD">
      <w:pPr>
        <w:pStyle w:val="ListParagraph"/>
        <w:numPr>
          <w:ilvl w:val="0"/>
          <w:numId w:val="7"/>
        </w:numPr>
      </w:pPr>
      <w:r>
        <w:t>Once the process is complete, it will show HVSR curve</w:t>
      </w:r>
      <w:r w:rsidR="000922D7">
        <w:t xml:space="preserve">, </w:t>
      </w:r>
      <w:r>
        <w:t>numbers of trigger window</w:t>
      </w:r>
      <w:r w:rsidR="000922D7">
        <w:t>, and all output parameters (in table) as shown figure below.</w:t>
      </w:r>
    </w:p>
    <w:p w14:paraId="5CF2DBE2" w14:textId="7CD715CE" w:rsidR="00AE6386" w:rsidRDefault="00AE6386" w:rsidP="00246BCD">
      <w:pPr>
        <w:pStyle w:val="ListParagraph"/>
        <w:numPr>
          <w:ilvl w:val="0"/>
          <w:numId w:val="7"/>
        </w:numPr>
      </w:pPr>
      <w:r>
        <w:t>Click Save H/H Graph button to save the current HVSR curve.</w:t>
      </w:r>
    </w:p>
    <w:p w14:paraId="77257534" w14:textId="2C5ED242" w:rsidR="00AE6386" w:rsidRDefault="00AE6386" w:rsidP="00246BCD">
      <w:pPr>
        <w:pStyle w:val="ListParagraph"/>
        <w:numPr>
          <w:ilvl w:val="0"/>
          <w:numId w:val="7"/>
        </w:numPr>
      </w:pPr>
      <w:r>
        <w:t>Click Save H/V Data button to save the current HVSR data (see Appendix A.1</w:t>
      </w:r>
      <w:r w:rsidR="0083718A">
        <w:t xml:space="preserve"> for the format file</w:t>
      </w:r>
      <w:r>
        <w:t>)</w:t>
      </w:r>
      <w:r w:rsidR="0083718A">
        <w:t>.</w:t>
      </w:r>
    </w:p>
    <w:p w14:paraId="196E2641" w14:textId="1A39139D" w:rsidR="00076083" w:rsidRDefault="00076083" w:rsidP="00246BCD">
      <w:pPr>
        <w:pStyle w:val="ListParagraph"/>
        <w:numPr>
          <w:ilvl w:val="0"/>
          <w:numId w:val="7"/>
        </w:numPr>
      </w:pPr>
      <w:r>
        <w:t xml:space="preserve">Click Save Output button to save the all-outputs data from the Output table. </w:t>
      </w:r>
      <w:r w:rsidRPr="00076083">
        <w:rPr>
          <w:b/>
          <w:bCs/>
          <w:i/>
          <w:iCs/>
        </w:rPr>
        <w:t>Please note that, this function will useful if all of data have been complete processed.</w:t>
      </w:r>
    </w:p>
    <w:p w14:paraId="10EC7376" w14:textId="67A0B69D" w:rsidR="000922D7" w:rsidRPr="00F62E68" w:rsidRDefault="000922D7" w:rsidP="000922D7">
      <w:pPr>
        <w:ind w:left="360"/>
      </w:pPr>
      <w:r w:rsidRPr="000922D7">
        <w:rPr>
          <w:noProof/>
        </w:rPr>
        <w:lastRenderedPageBreak/>
        <w:drawing>
          <wp:inline distT="0" distB="0" distL="0" distR="0" wp14:anchorId="1B8A9488" wp14:editId="2B58E616">
            <wp:extent cx="5731510" cy="3020695"/>
            <wp:effectExtent l="0" t="0" r="2540" b="8255"/>
            <wp:docPr id="20885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8757" name=""/>
                    <pic:cNvPicPr/>
                  </pic:nvPicPr>
                  <pic:blipFill rotWithShape="1">
                    <a:blip r:embed="rId19"/>
                    <a:srcRect t="1246" b="-1"/>
                    <a:stretch/>
                  </pic:blipFill>
                  <pic:spPr bwMode="auto">
                    <a:xfrm>
                      <a:off x="0" y="0"/>
                      <a:ext cx="5731510" cy="3020695"/>
                    </a:xfrm>
                    <a:prstGeom prst="rect">
                      <a:avLst/>
                    </a:prstGeom>
                    <a:ln>
                      <a:noFill/>
                    </a:ln>
                    <a:extLst>
                      <a:ext uri="{53640926-AAD7-44D8-BBD7-CCE9431645EC}">
                        <a14:shadowObscured xmlns:a14="http://schemas.microsoft.com/office/drawing/2010/main"/>
                      </a:ext>
                    </a:extLst>
                  </pic:spPr>
                </pic:pic>
              </a:graphicData>
            </a:graphic>
          </wp:inline>
        </w:drawing>
      </w:r>
    </w:p>
    <w:p w14:paraId="2BF64452" w14:textId="10E88092" w:rsidR="00C13C84" w:rsidRDefault="00401B72" w:rsidP="00401B72">
      <w:pPr>
        <w:pStyle w:val="ListParagraph"/>
        <w:numPr>
          <w:ilvl w:val="0"/>
          <w:numId w:val="7"/>
        </w:numPr>
      </w:pPr>
      <w:r>
        <w:t>Once the single data observation of microtremor have processed, please import the next data to be processed by the same previous process.</w:t>
      </w:r>
    </w:p>
    <w:p w14:paraId="25B47F55" w14:textId="1B0FA86A" w:rsidR="004C6685" w:rsidRDefault="004C6685" w:rsidP="00401B72">
      <w:pPr>
        <w:pStyle w:val="ListParagraph"/>
        <w:numPr>
          <w:ilvl w:val="0"/>
          <w:numId w:val="7"/>
        </w:numPr>
      </w:pPr>
      <w:r>
        <w:t xml:space="preserve">Assume we have all complete data from all coordinates (see Appendix A.2 for example), then in toolbar click Process </w:t>
      </w:r>
      <w:r>
        <w:sym w:font="Wingdings" w:char="F0E0"/>
      </w:r>
      <w:r>
        <w:t xml:space="preserve"> Map (ctrl + P) to open SVIM-map window as shown in figure below</w:t>
      </w:r>
      <w:r w:rsidR="00A9224D">
        <w:t>.</w:t>
      </w:r>
    </w:p>
    <w:p w14:paraId="1736B289" w14:textId="0A502752" w:rsidR="004C6685" w:rsidRDefault="00A9224D" w:rsidP="004C6685">
      <w:pPr>
        <w:ind w:left="360"/>
      </w:pPr>
      <w:r w:rsidRPr="00A9224D">
        <w:rPr>
          <w:noProof/>
        </w:rPr>
        <w:drawing>
          <wp:inline distT="0" distB="0" distL="0" distR="0" wp14:anchorId="400118AE" wp14:editId="7EB9055C">
            <wp:extent cx="5731510" cy="3030220"/>
            <wp:effectExtent l="0" t="0" r="2540" b="0"/>
            <wp:docPr id="19807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87054" name=""/>
                    <pic:cNvPicPr/>
                  </pic:nvPicPr>
                  <pic:blipFill rotWithShape="1">
                    <a:blip r:embed="rId20"/>
                    <a:srcRect t="935" b="-1"/>
                    <a:stretch/>
                  </pic:blipFill>
                  <pic:spPr bwMode="auto">
                    <a:xfrm>
                      <a:off x="0" y="0"/>
                      <a:ext cx="5731510" cy="3030220"/>
                    </a:xfrm>
                    <a:prstGeom prst="rect">
                      <a:avLst/>
                    </a:prstGeom>
                    <a:ln>
                      <a:noFill/>
                    </a:ln>
                    <a:extLst>
                      <a:ext uri="{53640926-AAD7-44D8-BBD7-CCE9431645EC}">
                        <a14:shadowObscured xmlns:a14="http://schemas.microsoft.com/office/drawing/2010/main"/>
                      </a:ext>
                    </a:extLst>
                  </pic:spPr>
                </pic:pic>
              </a:graphicData>
            </a:graphic>
          </wp:inline>
        </w:drawing>
      </w:r>
    </w:p>
    <w:p w14:paraId="5A3C1040" w14:textId="61A4B2F9" w:rsidR="00A9224D" w:rsidRDefault="00A9224D" w:rsidP="00A9224D">
      <w:pPr>
        <w:pStyle w:val="ListParagraph"/>
        <w:numPr>
          <w:ilvl w:val="0"/>
          <w:numId w:val="7"/>
        </w:numPr>
      </w:pPr>
      <w:r>
        <w:t>Click Browse button to open an example data of entire data (Output_SVIM.txt)</w:t>
      </w:r>
      <w:r w:rsidR="00723A7B">
        <w:t xml:space="preserve"> and it will show as figure below.</w:t>
      </w:r>
    </w:p>
    <w:p w14:paraId="02AB26B8" w14:textId="37656EC9" w:rsidR="00723A7B" w:rsidRDefault="00723A7B" w:rsidP="00A9224D">
      <w:pPr>
        <w:pStyle w:val="ListParagraph"/>
        <w:numPr>
          <w:ilvl w:val="0"/>
          <w:numId w:val="7"/>
        </w:numPr>
      </w:pPr>
      <w:r>
        <w:t>Select the space contour parameter. There are five options, 10, 20, 30, 40, and 50. In this example, the 20 is choosen.</w:t>
      </w:r>
    </w:p>
    <w:p w14:paraId="70BC240A" w14:textId="26B6ED4D" w:rsidR="00D45A84" w:rsidRDefault="00FA6A6D" w:rsidP="00D45A84">
      <w:pPr>
        <w:pStyle w:val="ListParagraph"/>
        <w:numPr>
          <w:ilvl w:val="0"/>
          <w:numId w:val="7"/>
        </w:numPr>
      </w:pPr>
      <w:r>
        <w:t>Select the grid parameter. There are four options, 50, 100, 150, and 200.</w:t>
      </w:r>
      <w:r w:rsidR="0036561B">
        <w:t xml:space="preserve"> In this example, the 100 is choosen.</w:t>
      </w:r>
    </w:p>
    <w:p w14:paraId="15F577DD" w14:textId="45D0F7F7" w:rsidR="00723A7B" w:rsidRDefault="00723A7B" w:rsidP="00723A7B">
      <w:pPr>
        <w:ind w:left="360"/>
      </w:pPr>
      <w:r w:rsidRPr="00723A7B">
        <w:rPr>
          <w:noProof/>
        </w:rPr>
        <w:lastRenderedPageBreak/>
        <w:drawing>
          <wp:inline distT="0" distB="0" distL="0" distR="0" wp14:anchorId="7CC5A72D" wp14:editId="3091BA4C">
            <wp:extent cx="5731510" cy="3030220"/>
            <wp:effectExtent l="0" t="0" r="2540" b="0"/>
            <wp:docPr id="67016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62986" name=""/>
                    <pic:cNvPicPr/>
                  </pic:nvPicPr>
                  <pic:blipFill rotWithShape="1">
                    <a:blip r:embed="rId21"/>
                    <a:srcRect t="935" b="-1"/>
                    <a:stretch/>
                  </pic:blipFill>
                  <pic:spPr bwMode="auto">
                    <a:xfrm>
                      <a:off x="0" y="0"/>
                      <a:ext cx="5731510" cy="3030220"/>
                    </a:xfrm>
                    <a:prstGeom prst="rect">
                      <a:avLst/>
                    </a:prstGeom>
                    <a:ln>
                      <a:noFill/>
                    </a:ln>
                    <a:extLst>
                      <a:ext uri="{53640926-AAD7-44D8-BBD7-CCE9431645EC}">
                        <a14:shadowObscured xmlns:a14="http://schemas.microsoft.com/office/drawing/2010/main"/>
                      </a:ext>
                    </a:extLst>
                  </pic:spPr>
                </pic:pic>
              </a:graphicData>
            </a:graphic>
          </wp:inline>
        </w:drawing>
      </w:r>
    </w:p>
    <w:p w14:paraId="3FDDA832" w14:textId="54622969" w:rsidR="00A9224D" w:rsidRPr="00D45A84" w:rsidRDefault="00D45A84" w:rsidP="00D45A84">
      <w:pPr>
        <w:pStyle w:val="ListParagraph"/>
        <w:numPr>
          <w:ilvl w:val="0"/>
          <w:numId w:val="7"/>
        </w:numPr>
      </w:pPr>
      <w:r>
        <w:t xml:space="preserve">We can plot the output parameters such as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oMath>
      <w:r>
        <w:rPr>
          <w:rFonts w:eastAsiaTheme="minorEastAsia"/>
        </w:rPr>
        <w:t xml:space="preserve">. For example,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is shown in figure below</w:t>
      </w:r>
    </w:p>
    <w:p w14:paraId="0199F7C7" w14:textId="3050E207" w:rsidR="00D45A84" w:rsidRDefault="00D45A84" w:rsidP="00D45A84">
      <w:pPr>
        <w:ind w:left="360"/>
      </w:pPr>
      <w:r w:rsidRPr="00D45A84">
        <w:rPr>
          <w:noProof/>
        </w:rPr>
        <w:drawing>
          <wp:inline distT="0" distB="0" distL="0" distR="0" wp14:anchorId="29FBF080" wp14:editId="63799112">
            <wp:extent cx="5731510" cy="3020695"/>
            <wp:effectExtent l="0" t="0" r="2540" b="8255"/>
            <wp:docPr id="126314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1983" name=""/>
                    <pic:cNvPicPr/>
                  </pic:nvPicPr>
                  <pic:blipFill rotWithShape="1">
                    <a:blip r:embed="rId22"/>
                    <a:srcRect t="1246" b="-1"/>
                    <a:stretch/>
                  </pic:blipFill>
                  <pic:spPr bwMode="auto">
                    <a:xfrm>
                      <a:off x="0" y="0"/>
                      <a:ext cx="5731510" cy="3020695"/>
                    </a:xfrm>
                    <a:prstGeom prst="rect">
                      <a:avLst/>
                    </a:prstGeom>
                    <a:ln>
                      <a:noFill/>
                    </a:ln>
                    <a:extLst>
                      <a:ext uri="{53640926-AAD7-44D8-BBD7-CCE9431645EC}">
                        <a14:shadowObscured xmlns:a14="http://schemas.microsoft.com/office/drawing/2010/main"/>
                      </a:ext>
                    </a:extLst>
                  </pic:spPr>
                </pic:pic>
              </a:graphicData>
            </a:graphic>
          </wp:inline>
        </w:drawing>
      </w:r>
    </w:p>
    <w:p w14:paraId="7D2D2F5F" w14:textId="77777777" w:rsidR="00C66D09" w:rsidRDefault="00D45A84" w:rsidP="00C66D09">
      <w:pPr>
        <w:pStyle w:val="ListParagraph"/>
        <w:numPr>
          <w:ilvl w:val="0"/>
          <w:numId w:val="7"/>
        </w:numPr>
      </w:pPr>
      <w:r>
        <w:t xml:space="preserve">The interpolation data is shown in table and can be saved through the </w:t>
      </w:r>
      <w:r w:rsidRPr="00D45A84">
        <w:rPr>
          <w:b/>
          <w:bCs/>
        </w:rPr>
        <w:t>Save Data</w:t>
      </w:r>
      <w:r>
        <w:t xml:space="preserve"> button</w:t>
      </w:r>
      <w:r w:rsidR="00C66D09">
        <w:t>.</w:t>
      </w:r>
    </w:p>
    <w:p w14:paraId="315675E8" w14:textId="33B9DEB0" w:rsidR="008D38D9" w:rsidRDefault="008D38D9" w:rsidP="008D38D9">
      <w:pPr>
        <w:pStyle w:val="Heading1"/>
      </w:pPr>
      <w:r>
        <w:t>Citation</w:t>
      </w:r>
    </w:p>
    <w:p w14:paraId="44548794" w14:textId="39385BCB" w:rsidR="008D38D9" w:rsidRDefault="008D38D9" w:rsidP="008D38D9">
      <w:r>
        <w:t xml:space="preserve">For the citation, you can refer to following DOI </w:t>
      </w:r>
      <w:hyperlink r:id="rId23" w:history="1">
        <w:r>
          <w:rPr>
            <w:rStyle w:val="Hyperlink"/>
          </w:rPr>
          <w:t>10.1088/1755-1315/273/1/012016</w:t>
        </w:r>
      </w:hyperlink>
      <w:r w:rsidR="0002776C">
        <w:t xml:space="preserve"> or </w:t>
      </w:r>
      <w:hyperlink r:id="rId24" w:history="1">
        <w:r w:rsidR="0002776C" w:rsidRPr="0002776C">
          <w:rPr>
            <w:rStyle w:val="Hyperlink"/>
          </w:rPr>
          <w:t>here</w:t>
        </w:r>
      </w:hyperlink>
      <w:r w:rsidR="005D6DD8">
        <w:softHyphen/>
      </w:r>
      <w:r w:rsidR="005D6DD8">
        <w:softHyphen/>
      </w:r>
    </w:p>
    <w:p w14:paraId="2BFA8C7E" w14:textId="77777777" w:rsidR="00C66D09" w:rsidRDefault="00C66D09" w:rsidP="00C66D09">
      <w:pPr>
        <w:pStyle w:val="Heading1"/>
      </w:pPr>
      <w:r>
        <w:t>References</w:t>
      </w:r>
    </w:p>
    <w:sdt>
      <w:sdtPr>
        <w:tag w:val="MENDELEY_BIBLIOGRAPHY"/>
        <w:id w:val="-1242104176"/>
        <w:placeholder>
          <w:docPart w:val="DefaultPlaceholder_-1854013440"/>
        </w:placeholder>
      </w:sdtPr>
      <w:sdtContent>
        <w:p w14:paraId="3EF5BE70" w14:textId="77777777" w:rsidR="00C66D09" w:rsidRDefault="00C66D09">
          <w:pPr>
            <w:autoSpaceDE w:val="0"/>
            <w:autoSpaceDN w:val="0"/>
            <w:ind w:hanging="480"/>
            <w:divId w:val="701831572"/>
            <w:rPr>
              <w:rFonts w:eastAsia="Times New Roman"/>
              <w:kern w:val="0"/>
              <w:szCs w:val="24"/>
              <w14:ligatures w14:val="none"/>
            </w:rPr>
          </w:pPr>
          <w:r>
            <w:rPr>
              <w:rFonts w:eastAsia="Times New Roman"/>
            </w:rPr>
            <w:t xml:space="preserve">Konno, K., &amp; Ohmachi, T. (1998). Ground-Motion Characteristics Estimated from Spectral Ratio between Horizontal and Vertical Components of Microtremor. In </w:t>
          </w:r>
          <w:r>
            <w:rPr>
              <w:rFonts w:eastAsia="Times New Roman"/>
              <w:i/>
              <w:iCs/>
            </w:rPr>
            <w:t>Bulletin of the Seismological Society of America</w:t>
          </w:r>
          <w:r>
            <w:rPr>
              <w:rFonts w:eastAsia="Times New Roman"/>
            </w:rPr>
            <w:t xml:space="preserve"> (Vol. 88, Issue 1).</w:t>
          </w:r>
        </w:p>
        <w:p w14:paraId="7497A766" w14:textId="77777777" w:rsidR="00C66D09" w:rsidRDefault="00C66D09">
          <w:pPr>
            <w:autoSpaceDE w:val="0"/>
            <w:autoSpaceDN w:val="0"/>
            <w:ind w:hanging="480"/>
            <w:divId w:val="1143279265"/>
            <w:rPr>
              <w:rFonts w:eastAsia="Times New Roman"/>
            </w:rPr>
          </w:pPr>
          <w:r>
            <w:rPr>
              <w:rFonts w:eastAsia="Times New Roman"/>
            </w:rPr>
            <w:lastRenderedPageBreak/>
            <w:t xml:space="preserve">Nakamura, Y. (1989). A method for dynamic characteristics estimation of subsurface using microtremor on the ground surface. </w:t>
          </w:r>
          <w:r>
            <w:rPr>
              <w:rFonts w:eastAsia="Times New Roman"/>
              <w:i/>
              <w:iCs/>
            </w:rPr>
            <w:t>Railway Technical Research Institute, Quarterly Reports</w:t>
          </w:r>
          <w:r>
            <w:rPr>
              <w:rFonts w:eastAsia="Times New Roman"/>
            </w:rPr>
            <w:t xml:space="preserve">, </w:t>
          </w:r>
          <w:r>
            <w:rPr>
              <w:rFonts w:eastAsia="Times New Roman"/>
              <w:i/>
              <w:iCs/>
            </w:rPr>
            <w:t>30</w:t>
          </w:r>
          <w:r>
            <w:rPr>
              <w:rFonts w:eastAsia="Times New Roman"/>
            </w:rPr>
            <w:t>(1).</w:t>
          </w:r>
        </w:p>
        <w:p w14:paraId="78FDF6A7" w14:textId="77777777" w:rsidR="00C66D09" w:rsidRDefault="00C66D09">
          <w:pPr>
            <w:autoSpaceDE w:val="0"/>
            <w:autoSpaceDN w:val="0"/>
            <w:ind w:hanging="480"/>
            <w:divId w:val="1132090053"/>
            <w:rPr>
              <w:rFonts w:eastAsia="Times New Roman"/>
            </w:rPr>
          </w:pPr>
          <w:r>
            <w:rPr>
              <w:rFonts w:eastAsia="Times New Roman"/>
            </w:rPr>
            <w:t xml:space="preserve">Trnkoczy, A. (1999). Understanding and parameter setting of STA/LTA trigger algorithm. </w:t>
          </w:r>
          <w:r>
            <w:rPr>
              <w:rFonts w:eastAsia="Times New Roman"/>
              <w:i/>
              <w:iCs/>
            </w:rPr>
            <w:t>IASPEI New Manual of Seismological Observatory Practice</w:t>
          </w:r>
          <w:r>
            <w:rPr>
              <w:rFonts w:eastAsia="Times New Roman"/>
            </w:rPr>
            <w:t xml:space="preserve">, </w:t>
          </w:r>
          <w:r>
            <w:rPr>
              <w:rFonts w:eastAsia="Times New Roman"/>
              <w:i/>
              <w:iCs/>
            </w:rPr>
            <w:t>2</w:t>
          </w:r>
          <w:r>
            <w:rPr>
              <w:rFonts w:eastAsia="Times New Roman"/>
            </w:rPr>
            <w:t>, 1–19.</w:t>
          </w:r>
        </w:p>
        <w:p w14:paraId="4E9E6DC4" w14:textId="41EC5596" w:rsidR="00C66D09" w:rsidRPr="00C66D09" w:rsidRDefault="00C66D09" w:rsidP="00C66D09">
          <w:pPr>
            <w:sectPr w:rsidR="00C66D09" w:rsidRPr="00C66D09" w:rsidSect="008C6129">
              <w:footerReference w:type="default" r:id="rId25"/>
              <w:pgSz w:w="11906" w:h="16838"/>
              <w:pgMar w:top="1440" w:right="1440" w:bottom="1440" w:left="1440" w:header="708" w:footer="708" w:gutter="0"/>
              <w:pgNumType w:start="1"/>
              <w:cols w:space="708"/>
              <w:docGrid w:linePitch="360"/>
            </w:sectPr>
          </w:pPr>
          <w:r>
            <w:rPr>
              <w:rFonts w:eastAsia="Times New Roman"/>
            </w:rPr>
            <w:t> </w:t>
          </w:r>
        </w:p>
      </w:sdtContent>
    </w:sdt>
    <w:p w14:paraId="5146220F" w14:textId="260106B1" w:rsidR="00A9224D" w:rsidRPr="008C3A30" w:rsidRDefault="00A9224D" w:rsidP="00A9224D">
      <w:pPr>
        <w:rPr>
          <w:b/>
          <w:bCs/>
        </w:rPr>
      </w:pPr>
      <w:r w:rsidRPr="008C3A30">
        <w:rPr>
          <w:b/>
          <w:bCs/>
        </w:rPr>
        <w:lastRenderedPageBreak/>
        <w:t>Appendix A</w:t>
      </w:r>
    </w:p>
    <w:p w14:paraId="19806D4E" w14:textId="4DD752AB" w:rsidR="00A9224D" w:rsidRDefault="00A9224D" w:rsidP="00A9224D">
      <w:r>
        <w:t>A.1</w:t>
      </w:r>
      <w:r w:rsidR="007C4953">
        <w:t>. An example of HVSR curve data</w:t>
      </w:r>
    </w:p>
    <w:tbl>
      <w:tblPr>
        <w:tblStyle w:val="TableGrid"/>
        <w:tblW w:w="0" w:type="auto"/>
        <w:tblLook w:val="04A0" w:firstRow="1" w:lastRow="0" w:firstColumn="1" w:lastColumn="0" w:noHBand="0" w:noVBand="1"/>
      </w:tblPr>
      <w:tblGrid>
        <w:gridCol w:w="9016"/>
      </w:tblGrid>
      <w:tr w:rsidR="00A9224D" w14:paraId="5CF9BEAC" w14:textId="77777777" w:rsidTr="00A9224D">
        <w:tc>
          <w:tcPr>
            <w:tcW w:w="9016" w:type="dxa"/>
          </w:tcPr>
          <w:p w14:paraId="069E6F47" w14:textId="77777777" w:rsidR="00A9224D" w:rsidRDefault="00A9224D" w:rsidP="00A9224D">
            <w:r>
              <w:t>Seismic Vulnerability Index of Microtremor (SVIM) Output</w:t>
            </w:r>
          </w:p>
          <w:p w14:paraId="071F9C90" w14:textId="77777777" w:rsidR="00A9224D" w:rsidRDefault="00A9224D" w:rsidP="00A9224D">
            <w:r>
              <w:t xml:space="preserve">Station </w:t>
            </w:r>
            <w:proofErr w:type="gramStart"/>
            <w:r>
              <w:t>=  c</w:t>
            </w:r>
            <w:proofErr w:type="gramEnd"/>
            <w:r>
              <w:t>0c02231120035925</w:t>
            </w:r>
          </w:p>
          <w:p w14:paraId="62C5E267" w14:textId="77777777" w:rsidR="00A9224D" w:rsidRDefault="00A9224D" w:rsidP="00A9224D">
            <w:r>
              <w:t xml:space="preserve">Longitude </w:t>
            </w:r>
            <w:proofErr w:type="gramStart"/>
            <w:r>
              <w:t>=  1.000000</w:t>
            </w:r>
            <w:proofErr w:type="gramEnd"/>
          </w:p>
          <w:p w14:paraId="5C8B7C0F" w14:textId="77777777" w:rsidR="00A9224D" w:rsidRDefault="00A9224D" w:rsidP="00A9224D">
            <w:r>
              <w:t xml:space="preserve">Latitude </w:t>
            </w:r>
            <w:proofErr w:type="gramStart"/>
            <w:r>
              <w:t>=  2.000000</w:t>
            </w:r>
            <w:proofErr w:type="gramEnd"/>
          </w:p>
          <w:p w14:paraId="6E2321D7" w14:textId="77777777" w:rsidR="00A9224D" w:rsidRDefault="00A9224D" w:rsidP="00A9224D">
            <w:r>
              <w:t xml:space="preserve">Window </w:t>
            </w:r>
            <w:proofErr w:type="gramStart"/>
            <w:r>
              <w:t>=  62</w:t>
            </w:r>
            <w:proofErr w:type="gramEnd"/>
          </w:p>
          <w:p w14:paraId="54D61F81" w14:textId="77777777" w:rsidR="00A9224D" w:rsidRDefault="00A9224D" w:rsidP="00A9224D">
            <w:r>
              <w:t xml:space="preserve">Length Window </w:t>
            </w:r>
            <w:proofErr w:type="gramStart"/>
            <w:r>
              <w:t>=  25</w:t>
            </w:r>
            <w:proofErr w:type="gramEnd"/>
          </w:p>
          <w:p w14:paraId="35836F01" w14:textId="77777777" w:rsidR="00A9224D" w:rsidRDefault="00A9224D" w:rsidP="00A9224D">
            <w:r>
              <w:t xml:space="preserve">Standard Deviation (F0) </w:t>
            </w:r>
            <w:proofErr w:type="gramStart"/>
            <w:r>
              <w:t>=  0.354545</w:t>
            </w:r>
            <w:proofErr w:type="gramEnd"/>
          </w:p>
          <w:p w14:paraId="0E465CB9" w14:textId="77777777" w:rsidR="00A9224D" w:rsidRDefault="00A9224D" w:rsidP="00A9224D">
            <w:r>
              <w:t xml:space="preserve">A0 </w:t>
            </w:r>
            <w:proofErr w:type="gramStart"/>
            <w:r>
              <w:t>=  3.901196</w:t>
            </w:r>
            <w:proofErr w:type="gramEnd"/>
          </w:p>
          <w:p w14:paraId="3C5FD323" w14:textId="77777777" w:rsidR="00A9224D" w:rsidRDefault="00A9224D" w:rsidP="00A9224D">
            <w:r>
              <w:t xml:space="preserve">F0 </w:t>
            </w:r>
            <w:proofErr w:type="gramStart"/>
            <w:r>
              <w:t>=  0.177419</w:t>
            </w:r>
            <w:proofErr w:type="gramEnd"/>
          </w:p>
          <w:p w14:paraId="4333CCD1" w14:textId="77777777" w:rsidR="00A9224D" w:rsidRDefault="00A9224D" w:rsidP="00A9224D">
            <w:r>
              <w:t xml:space="preserve">Kg </w:t>
            </w:r>
            <w:proofErr w:type="gramStart"/>
            <w:r>
              <w:t>=  85.781677</w:t>
            </w:r>
            <w:proofErr w:type="gramEnd"/>
          </w:p>
          <w:p w14:paraId="3545455E" w14:textId="77777777" w:rsidR="00A9224D" w:rsidRDefault="00A9224D" w:rsidP="00A9224D">
            <w:r>
              <w:t xml:space="preserve">Fmin </w:t>
            </w:r>
            <w:proofErr w:type="gramStart"/>
            <w:r>
              <w:t>=  0.062903</w:t>
            </w:r>
            <w:proofErr w:type="gramEnd"/>
          </w:p>
          <w:p w14:paraId="3D830004" w14:textId="77777777" w:rsidR="00A9224D" w:rsidRDefault="00A9224D" w:rsidP="00A9224D">
            <w:r>
              <w:t xml:space="preserve">Fmax </w:t>
            </w:r>
            <w:proofErr w:type="gramStart"/>
            <w:r>
              <w:t>=  0.500415</w:t>
            </w:r>
            <w:proofErr w:type="gramEnd"/>
          </w:p>
          <w:p w14:paraId="65A45D43" w14:textId="77777777" w:rsidR="00A9224D" w:rsidRDefault="00A9224D" w:rsidP="00A9224D">
            <w:r>
              <w:t>Freq     H/V      SpecH/</w:t>
            </w:r>
            <w:proofErr w:type="gramStart"/>
            <w:r>
              <w:t>V  MinStd</w:t>
            </w:r>
            <w:proofErr w:type="gramEnd"/>
            <w:r>
              <w:t xml:space="preserve">   MaxStd </w:t>
            </w:r>
          </w:p>
          <w:p w14:paraId="6D9ABBF0" w14:textId="77777777" w:rsidR="00A9224D" w:rsidRDefault="00A9224D" w:rsidP="00A9224D">
            <w:r>
              <w:t>0.100000 0.000000 0.000000 0.000000 0.000000</w:t>
            </w:r>
          </w:p>
          <w:p w14:paraId="6428D5E7" w14:textId="77777777" w:rsidR="00A9224D" w:rsidRDefault="00A9224D" w:rsidP="00A9224D">
            <w:r>
              <w:t>0.109677 3.057424 3.057431 1.003111 5.111737</w:t>
            </w:r>
          </w:p>
          <w:p w14:paraId="0DA2F888" w14:textId="77777777" w:rsidR="00A9224D" w:rsidRDefault="00A9224D" w:rsidP="00A9224D">
            <w:r>
              <w:t>0.119355 3.040635 3.040684 2.045275 4.035995</w:t>
            </w:r>
          </w:p>
          <w:p w14:paraId="40252551" w14:textId="77777777" w:rsidR="00A9224D" w:rsidRDefault="00A9224D" w:rsidP="00A9224D">
            <w:r>
              <w:t>0.129032 2.627310 2.627051 1.826192 3.428428</w:t>
            </w:r>
          </w:p>
          <w:p w14:paraId="6C1558D5" w14:textId="77777777" w:rsidR="00A9224D" w:rsidRDefault="00A9224D" w:rsidP="00A9224D">
            <w:r>
              <w:t>0.138710 2.773154 2.773081 1.413601 4.132706</w:t>
            </w:r>
          </w:p>
          <w:p w14:paraId="1387E8F1" w14:textId="77777777" w:rsidR="00A9224D" w:rsidRDefault="00A9224D" w:rsidP="00A9224D">
            <w:r>
              <w:t>0.148387 3.012610 3.012658 1.415212 4.610007</w:t>
            </w:r>
          </w:p>
          <w:p w14:paraId="02AAB7DD" w14:textId="77777777" w:rsidR="00A9224D" w:rsidRDefault="00A9224D" w:rsidP="00A9224D">
            <w:r>
              <w:t>….</w:t>
            </w:r>
          </w:p>
          <w:p w14:paraId="22ACDF28" w14:textId="46AEB637" w:rsidR="00A9224D" w:rsidRDefault="00A9224D" w:rsidP="00A9224D">
            <w:r>
              <w:t>….</w:t>
            </w:r>
          </w:p>
        </w:tc>
      </w:tr>
    </w:tbl>
    <w:p w14:paraId="5D5B4C1E" w14:textId="2CD33FE0" w:rsidR="00A9224D" w:rsidRDefault="00A9224D" w:rsidP="00A9224D"/>
    <w:p w14:paraId="06954CC5" w14:textId="1418D39A" w:rsidR="00A9224D" w:rsidRDefault="00A9224D" w:rsidP="00A9224D">
      <w:r>
        <w:t>A.2</w:t>
      </w:r>
      <w:r w:rsidR="007C4953">
        <w:t>. An example of all observation outputs</w:t>
      </w:r>
    </w:p>
    <w:tbl>
      <w:tblPr>
        <w:tblStyle w:val="TableGrid"/>
        <w:tblW w:w="0" w:type="auto"/>
        <w:tblLook w:val="04A0" w:firstRow="1" w:lastRow="0" w:firstColumn="1" w:lastColumn="0" w:noHBand="0" w:noVBand="1"/>
      </w:tblPr>
      <w:tblGrid>
        <w:gridCol w:w="9016"/>
      </w:tblGrid>
      <w:tr w:rsidR="007C4953" w:rsidRPr="007C4953" w14:paraId="0A51DEB3" w14:textId="77777777" w:rsidTr="007C4953">
        <w:tc>
          <w:tcPr>
            <w:tcW w:w="9016" w:type="dxa"/>
          </w:tcPr>
          <w:p w14:paraId="70AE9DB6" w14:textId="77777777" w:rsidR="007C4953" w:rsidRPr="007C4953" w:rsidRDefault="007C4953" w:rsidP="007C4953">
            <w:pPr>
              <w:rPr>
                <w:sz w:val="20"/>
                <w:szCs w:val="18"/>
              </w:rPr>
            </w:pPr>
            <w:proofErr w:type="gramStart"/>
            <w:r w:rsidRPr="007C4953">
              <w:rPr>
                <w:sz w:val="20"/>
                <w:szCs w:val="18"/>
              </w:rPr>
              <w:t>Station,LONG</w:t>
            </w:r>
            <w:proofErr w:type="gramEnd"/>
            <w:r w:rsidRPr="007C4953">
              <w:rPr>
                <w:sz w:val="20"/>
                <w:szCs w:val="18"/>
              </w:rPr>
              <w:t>,LAT,WIN,F0,STDF0,F0MIN,F0MAX,A0,Kg</w:t>
            </w:r>
          </w:p>
          <w:p w14:paraId="75E54161" w14:textId="77777777" w:rsidR="007C4953" w:rsidRPr="007C4953" w:rsidRDefault="007C4953" w:rsidP="007C4953">
            <w:pPr>
              <w:rPr>
                <w:sz w:val="20"/>
                <w:szCs w:val="18"/>
              </w:rPr>
            </w:pPr>
            <w:r w:rsidRPr="007C4953">
              <w:rPr>
                <w:sz w:val="20"/>
                <w:szCs w:val="18"/>
              </w:rPr>
              <w:t>c0avf180311031836,95.60264,5.51095,17,4.54102,1.238578,3.666315,5.6244,0.62658,0.08646</w:t>
            </w:r>
          </w:p>
          <w:p w14:paraId="770A2696" w14:textId="77777777" w:rsidR="007C4953" w:rsidRPr="007C4953" w:rsidRDefault="007C4953" w:rsidP="007C4953">
            <w:pPr>
              <w:rPr>
                <w:sz w:val="20"/>
                <w:szCs w:val="18"/>
              </w:rPr>
            </w:pPr>
            <w:r w:rsidRPr="007C4953">
              <w:rPr>
                <w:sz w:val="20"/>
                <w:szCs w:val="18"/>
              </w:rPr>
              <w:t>c0avf180311042927,95.60243,5.50855,33,1.85547,2.122515,0.874184,3.938259,0.83893,0.37931</w:t>
            </w:r>
          </w:p>
          <w:p w14:paraId="5B774E8A" w14:textId="77777777" w:rsidR="007C4953" w:rsidRPr="007C4953" w:rsidRDefault="007C4953" w:rsidP="007C4953">
            <w:pPr>
              <w:rPr>
                <w:sz w:val="20"/>
                <w:szCs w:val="18"/>
              </w:rPr>
            </w:pPr>
            <w:r w:rsidRPr="007C4953">
              <w:rPr>
                <w:sz w:val="20"/>
                <w:szCs w:val="18"/>
              </w:rPr>
              <w:t>c0avf180311081420,95.60136,5.51419,14,1.95312,2.116184,0.922947,4.133172,0.59624,0.18202</w:t>
            </w:r>
          </w:p>
          <w:p w14:paraId="0B0CDC54" w14:textId="77777777" w:rsidR="007C4953" w:rsidRPr="007C4953" w:rsidRDefault="007C4953" w:rsidP="007C4953">
            <w:pPr>
              <w:rPr>
                <w:sz w:val="20"/>
                <w:szCs w:val="18"/>
              </w:rPr>
            </w:pPr>
            <w:r w:rsidRPr="007C4953">
              <w:rPr>
                <w:sz w:val="20"/>
                <w:szCs w:val="18"/>
              </w:rPr>
              <w:t>c0avf180317035018,95.62041,5.49178,32,5.41992,0.820151,4.445156,6.608442,1.3125,0.31784</w:t>
            </w:r>
          </w:p>
          <w:p w14:paraId="076D2DFA" w14:textId="77777777" w:rsidR="007C4953" w:rsidRPr="007C4953" w:rsidRDefault="007C4953" w:rsidP="007C4953">
            <w:pPr>
              <w:rPr>
                <w:sz w:val="20"/>
                <w:szCs w:val="18"/>
              </w:rPr>
            </w:pPr>
            <w:r w:rsidRPr="007C4953">
              <w:rPr>
                <w:sz w:val="20"/>
                <w:szCs w:val="18"/>
              </w:rPr>
              <w:t>c0avf180317044929,95.61746,5.49329,2,4.248047,3.832464,1.108438,10,0.361094,0.030694</w:t>
            </w:r>
          </w:p>
          <w:p w14:paraId="028990CA" w14:textId="77777777" w:rsidR="007C4953" w:rsidRPr="007C4953" w:rsidRDefault="007C4953" w:rsidP="007C4953">
            <w:pPr>
              <w:rPr>
                <w:sz w:val="20"/>
                <w:szCs w:val="18"/>
              </w:rPr>
            </w:pPr>
            <w:r w:rsidRPr="007C4953">
              <w:rPr>
                <w:sz w:val="20"/>
                <w:szCs w:val="18"/>
              </w:rPr>
              <w:t>c0avf180317055853,95.61488,5.4931,4,7.03125,3.417736,2.057283,10,0.4248,0.02566</w:t>
            </w:r>
          </w:p>
          <w:p w14:paraId="72843500" w14:textId="77777777" w:rsidR="007C4953" w:rsidRPr="007C4953" w:rsidRDefault="007C4953" w:rsidP="007C4953">
            <w:pPr>
              <w:rPr>
                <w:sz w:val="20"/>
                <w:szCs w:val="18"/>
              </w:rPr>
            </w:pPr>
            <w:r w:rsidRPr="007C4953">
              <w:rPr>
                <w:sz w:val="20"/>
                <w:szCs w:val="18"/>
              </w:rPr>
              <w:t>c0avf180317074010,95.61552,5.49534,10,5.22461,1.046994,4.990106,5.470133,0.60881,0.07094</w:t>
            </w:r>
          </w:p>
          <w:p w14:paraId="54F233DE" w14:textId="77777777" w:rsidR="007C4953" w:rsidRPr="007C4953" w:rsidRDefault="007C4953" w:rsidP="007C4953">
            <w:pPr>
              <w:rPr>
                <w:sz w:val="20"/>
                <w:szCs w:val="18"/>
              </w:rPr>
            </w:pPr>
            <w:r w:rsidRPr="007C4953">
              <w:rPr>
                <w:sz w:val="20"/>
                <w:szCs w:val="18"/>
              </w:rPr>
              <w:t>c0avf180317084059,95.61334,5.49491,10,3.66211,0.892441,3.268216,4.103476,0.9079,0.22509</w:t>
            </w:r>
          </w:p>
          <w:p w14:paraId="6ABCA795" w14:textId="77777777" w:rsidR="007C4953" w:rsidRPr="007C4953" w:rsidRDefault="007C4953" w:rsidP="007C4953">
            <w:pPr>
              <w:rPr>
                <w:sz w:val="20"/>
                <w:szCs w:val="18"/>
              </w:rPr>
            </w:pPr>
            <w:r w:rsidRPr="007C4953">
              <w:rPr>
                <w:sz w:val="20"/>
                <w:szCs w:val="18"/>
              </w:rPr>
              <w:t>c0avf180317095058,95.61248,5.49817,2,8.34961,0.069053,0.576569,10,2.29891,0.63296</w:t>
            </w:r>
          </w:p>
          <w:p w14:paraId="6275FA76" w14:textId="77777777" w:rsidR="007C4953" w:rsidRPr="007C4953" w:rsidRDefault="007C4953" w:rsidP="007C4953">
            <w:pPr>
              <w:rPr>
                <w:sz w:val="20"/>
                <w:szCs w:val="18"/>
              </w:rPr>
            </w:pPr>
            <w:r w:rsidRPr="007C4953">
              <w:rPr>
                <w:sz w:val="20"/>
                <w:szCs w:val="18"/>
              </w:rPr>
              <w:t>c0avf180318023636,95.61856,5.50107,39,7.56836,2.844741,2.660474,10,0.98703,0.12872</w:t>
            </w:r>
          </w:p>
          <w:p w14:paraId="631659F5" w14:textId="77777777" w:rsidR="007C4953" w:rsidRPr="007C4953" w:rsidRDefault="007C4953" w:rsidP="007C4953">
            <w:pPr>
              <w:rPr>
                <w:sz w:val="20"/>
                <w:szCs w:val="18"/>
              </w:rPr>
            </w:pPr>
            <w:r w:rsidRPr="007C4953">
              <w:rPr>
                <w:sz w:val="20"/>
                <w:szCs w:val="18"/>
              </w:rPr>
              <w:t>c0avf180318033727,95.61763,5.49898,7,5.76172,1.193878,4.826051,6.878792,0.66561,0.07689</w:t>
            </w:r>
          </w:p>
          <w:p w14:paraId="6B85E4B7" w14:textId="77777777" w:rsidR="007C4953" w:rsidRPr="007C4953" w:rsidRDefault="007C4953" w:rsidP="007C4953">
            <w:pPr>
              <w:rPr>
                <w:sz w:val="20"/>
                <w:szCs w:val="18"/>
              </w:rPr>
            </w:pPr>
            <w:r w:rsidRPr="007C4953">
              <w:rPr>
                <w:sz w:val="20"/>
                <w:szCs w:val="18"/>
              </w:rPr>
              <w:t>c0avf180318043710,95.6159,5.4997,19,4.3457,1.36743,3.178008,5.942443,0.65841,0.09975</w:t>
            </w:r>
          </w:p>
          <w:p w14:paraId="1101DAC8" w14:textId="77777777" w:rsidR="007C4953" w:rsidRDefault="007C4953" w:rsidP="007C4953">
            <w:pPr>
              <w:rPr>
                <w:sz w:val="20"/>
                <w:szCs w:val="18"/>
              </w:rPr>
            </w:pPr>
            <w:r w:rsidRPr="007C4953">
              <w:rPr>
                <w:sz w:val="20"/>
                <w:szCs w:val="18"/>
              </w:rPr>
              <w:t>c0avf180318071020,95.61296,5.49966,21,3.32031,1.374232,2.416122,4.56288,0.89124,0.23922</w:t>
            </w:r>
          </w:p>
          <w:p w14:paraId="159BC0F5" w14:textId="77777777" w:rsidR="00DA7FCC" w:rsidRDefault="00DA7FCC" w:rsidP="007C4953">
            <w:pPr>
              <w:rPr>
                <w:sz w:val="20"/>
                <w:szCs w:val="18"/>
              </w:rPr>
            </w:pPr>
            <w:r>
              <w:rPr>
                <w:sz w:val="20"/>
                <w:szCs w:val="18"/>
              </w:rPr>
              <w:t>…</w:t>
            </w:r>
          </w:p>
          <w:p w14:paraId="31C26964" w14:textId="4AC7142B" w:rsidR="00DA7FCC" w:rsidRPr="007C4953" w:rsidRDefault="00DA7FCC" w:rsidP="007C4953">
            <w:pPr>
              <w:rPr>
                <w:sz w:val="20"/>
                <w:szCs w:val="18"/>
              </w:rPr>
            </w:pPr>
            <w:r>
              <w:rPr>
                <w:sz w:val="20"/>
                <w:szCs w:val="18"/>
              </w:rPr>
              <w:t>…</w:t>
            </w:r>
          </w:p>
        </w:tc>
      </w:tr>
    </w:tbl>
    <w:p w14:paraId="7E5B131E" w14:textId="77777777" w:rsidR="00A9224D" w:rsidRPr="00E8526D" w:rsidRDefault="00A9224D" w:rsidP="00A9224D"/>
    <w:sectPr w:rsidR="00A9224D" w:rsidRPr="00E852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AE4E" w14:textId="77777777" w:rsidR="008C6129" w:rsidRDefault="008C6129" w:rsidP="00401B72">
      <w:pPr>
        <w:spacing w:after="0" w:line="240" w:lineRule="auto"/>
      </w:pPr>
      <w:r>
        <w:separator/>
      </w:r>
    </w:p>
  </w:endnote>
  <w:endnote w:type="continuationSeparator" w:id="0">
    <w:p w14:paraId="0ECA7773" w14:textId="77777777" w:rsidR="008C6129" w:rsidRDefault="008C6129" w:rsidP="0040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44EB0" w14:textId="5A6C3606" w:rsidR="00692B02" w:rsidRDefault="00692B02">
    <w:pPr>
      <w:pStyle w:val="Footer"/>
      <w:jc w:val="right"/>
    </w:pPr>
  </w:p>
  <w:p w14:paraId="1A3BDE4A" w14:textId="77777777" w:rsidR="00692B02" w:rsidRDefault="00692B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855"/>
      <w:docPartObj>
        <w:docPartGallery w:val="Page Numbers (Bottom of Page)"/>
        <w:docPartUnique/>
      </w:docPartObj>
    </w:sdtPr>
    <w:sdtContent>
      <w:sdt>
        <w:sdtPr>
          <w:id w:val="-122164591"/>
          <w:docPartObj>
            <w:docPartGallery w:val="Page Numbers (Top of Page)"/>
            <w:docPartUnique/>
          </w:docPartObj>
        </w:sdtPr>
        <w:sdtContent>
          <w:p w14:paraId="1049850F" w14:textId="61FBCE5F" w:rsidR="00692B02" w:rsidRDefault="00EF51A9">
            <w:pPr>
              <w:pStyle w:val="Footer"/>
              <w:jc w:val="right"/>
            </w:pPr>
            <w:r>
              <w:t xml:space="preserve"> SVIM v.1.1 | </w:t>
            </w:r>
            <w:r w:rsidR="00692B02">
              <w:t xml:space="preserve">Page </w:t>
            </w:r>
            <w:r w:rsidR="00692B02">
              <w:rPr>
                <w:b/>
                <w:bCs/>
                <w:szCs w:val="24"/>
              </w:rPr>
              <w:fldChar w:fldCharType="begin"/>
            </w:r>
            <w:r w:rsidR="00692B02">
              <w:rPr>
                <w:b/>
                <w:bCs/>
              </w:rPr>
              <w:instrText xml:space="preserve"> PAGE </w:instrText>
            </w:r>
            <w:r w:rsidR="00692B02">
              <w:rPr>
                <w:b/>
                <w:bCs/>
                <w:szCs w:val="24"/>
              </w:rPr>
              <w:fldChar w:fldCharType="separate"/>
            </w:r>
            <w:r w:rsidR="00692B02">
              <w:rPr>
                <w:b/>
                <w:bCs/>
                <w:noProof/>
              </w:rPr>
              <w:t>2</w:t>
            </w:r>
            <w:r w:rsidR="00692B02">
              <w:rPr>
                <w:b/>
                <w:bCs/>
                <w:szCs w:val="24"/>
              </w:rPr>
              <w:fldChar w:fldCharType="end"/>
            </w:r>
            <w:r w:rsidR="00692B02">
              <w:t xml:space="preserve"> of </w:t>
            </w:r>
            <w:r w:rsidR="00692B02">
              <w:rPr>
                <w:b/>
                <w:bCs/>
                <w:szCs w:val="24"/>
              </w:rPr>
              <w:fldChar w:fldCharType="begin"/>
            </w:r>
            <w:r w:rsidR="00692B02">
              <w:rPr>
                <w:b/>
                <w:bCs/>
              </w:rPr>
              <w:instrText xml:space="preserve"> NUMPAGES  </w:instrText>
            </w:r>
            <w:r w:rsidR="00692B02">
              <w:rPr>
                <w:b/>
                <w:bCs/>
                <w:szCs w:val="24"/>
              </w:rPr>
              <w:fldChar w:fldCharType="separate"/>
            </w:r>
            <w:r w:rsidR="00692B02">
              <w:rPr>
                <w:b/>
                <w:bCs/>
                <w:noProof/>
              </w:rPr>
              <w:t>2</w:t>
            </w:r>
            <w:r w:rsidR="00692B02">
              <w:rPr>
                <w:b/>
                <w:bCs/>
                <w:szCs w:val="24"/>
              </w:rPr>
              <w:fldChar w:fldCharType="end"/>
            </w:r>
          </w:p>
        </w:sdtContent>
      </w:sdt>
    </w:sdtContent>
  </w:sdt>
  <w:p w14:paraId="6F824B6A" w14:textId="77777777" w:rsidR="00692B02" w:rsidRDefault="0069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45A2" w14:textId="77777777" w:rsidR="008C6129" w:rsidRDefault="008C6129" w:rsidP="00401B72">
      <w:pPr>
        <w:spacing w:after="0" w:line="240" w:lineRule="auto"/>
      </w:pPr>
      <w:r>
        <w:separator/>
      </w:r>
    </w:p>
  </w:footnote>
  <w:footnote w:type="continuationSeparator" w:id="0">
    <w:p w14:paraId="1E32D956" w14:textId="77777777" w:rsidR="008C6129" w:rsidRDefault="008C6129" w:rsidP="00401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7DB8"/>
    <w:multiLevelType w:val="hybridMultilevel"/>
    <w:tmpl w:val="D7C8AA0A"/>
    <w:lvl w:ilvl="0" w:tplc="0BDEA462">
      <w:start w:val="1"/>
      <w:numFmt w:val="decimal"/>
      <w:pStyle w:val="Heading1"/>
      <w:lvlText w:val="%1."/>
      <w:lvlJc w:val="left"/>
      <w:pPr>
        <w:ind w:left="360" w:hanging="360"/>
      </w:pPr>
    </w:lvl>
    <w:lvl w:ilvl="1" w:tplc="75083FB2">
      <w:start w:val="1"/>
      <w:numFmt w:val="decimal"/>
      <w:lvlText w:val="%2."/>
      <w:lvlJc w:val="left"/>
      <w:pPr>
        <w:ind w:left="720" w:hanging="360"/>
      </w:pPr>
      <w:rPr>
        <w:b w:val="0"/>
        <w:bCs w:val="0"/>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6A01BCF"/>
    <w:multiLevelType w:val="hybridMultilevel"/>
    <w:tmpl w:val="AA1203D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360627"/>
    <w:multiLevelType w:val="hybridMultilevel"/>
    <w:tmpl w:val="47F86F1C"/>
    <w:lvl w:ilvl="0" w:tplc="F5BE0D60">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EA7D64"/>
    <w:multiLevelType w:val="hybridMultilevel"/>
    <w:tmpl w:val="53D472D2"/>
    <w:lvl w:ilvl="0" w:tplc="C068D51A">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263F33"/>
    <w:multiLevelType w:val="hybridMultilevel"/>
    <w:tmpl w:val="979E1FE2"/>
    <w:lvl w:ilvl="0" w:tplc="4B3A6688">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714180"/>
    <w:multiLevelType w:val="hybridMultilevel"/>
    <w:tmpl w:val="7B90E90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A7924FC"/>
    <w:multiLevelType w:val="hybridMultilevel"/>
    <w:tmpl w:val="2402A2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F15B46"/>
    <w:multiLevelType w:val="hybridMultilevel"/>
    <w:tmpl w:val="7BA608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EA4F47"/>
    <w:multiLevelType w:val="hybridMultilevel"/>
    <w:tmpl w:val="23A035DA"/>
    <w:lvl w:ilvl="0" w:tplc="90CA141C">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E2D078C"/>
    <w:multiLevelType w:val="hybridMultilevel"/>
    <w:tmpl w:val="8B7A53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374631">
    <w:abstractNumId w:val="0"/>
  </w:num>
  <w:num w:numId="2" w16cid:durableId="1638875286">
    <w:abstractNumId w:val="9"/>
  </w:num>
  <w:num w:numId="3" w16cid:durableId="604847265">
    <w:abstractNumId w:val="5"/>
  </w:num>
  <w:num w:numId="4" w16cid:durableId="670065023">
    <w:abstractNumId w:val="1"/>
  </w:num>
  <w:num w:numId="5" w16cid:durableId="718432732">
    <w:abstractNumId w:val="6"/>
  </w:num>
  <w:num w:numId="6" w16cid:durableId="1502503104">
    <w:abstractNumId w:val="7"/>
  </w:num>
  <w:num w:numId="7" w16cid:durableId="920673771">
    <w:abstractNumId w:val="4"/>
  </w:num>
  <w:num w:numId="8" w16cid:durableId="1553152204">
    <w:abstractNumId w:val="2"/>
  </w:num>
  <w:num w:numId="9" w16cid:durableId="1406999801">
    <w:abstractNumId w:val="3"/>
  </w:num>
  <w:num w:numId="10" w16cid:durableId="1530027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E9"/>
    <w:rsid w:val="0002776C"/>
    <w:rsid w:val="00035AE8"/>
    <w:rsid w:val="00076083"/>
    <w:rsid w:val="00083817"/>
    <w:rsid w:val="000922D7"/>
    <w:rsid w:val="000E4873"/>
    <w:rsid w:val="0012030A"/>
    <w:rsid w:val="001B0172"/>
    <w:rsid w:val="001E40BC"/>
    <w:rsid w:val="00242936"/>
    <w:rsid w:val="00246BCD"/>
    <w:rsid w:val="00286A2F"/>
    <w:rsid w:val="002C4F88"/>
    <w:rsid w:val="0036561B"/>
    <w:rsid w:val="00392561"/>
    <w:rsid w:val="003B36EC"/>
    <w:rsid w:val="003B4871"/>
    <w:rsid w:val="003C4B40"/>
    <w:rsid w:val="003E08E0"/>
    <w:rsid w:val="00401B72"/>
    <w:rsid w:val="00402B11"/>
    <w:rsid w:val="004C6685"/>
    <w:rsid w:val="004C6C4F"/>
    <w:rsid w:val="00535449"/>
    <w:rsid w:val="0056141A"/>
    <w:rsid w:val="005C1EB4"/>
    <w:rsid w:val="005D6DD8"/>
    <w:rsid w:val="00692B02"/>
    <w:rsid w:val="007006CD"/>
    <w:rsid w:val="00723A7B"/>
    <w:rsid w:val="007B6F76"/>
    <w:rsid w:val="007C4953"/>
    <w:rsid w:val="0083718A"/>
    <w:rsid w:val="008C3A30"/>
    <w:rsid w:val="008C6129"/>
    <w:rsid w:val="008D38D9"/>
    <w:rsid w:val="009C538D"/>
    <w:rsid w:val="00A9224D"/>
    <w:rsid w:val="00AE6386"/>
    <w:rsid w:val="00AF0922"/>
    <w:rsid w:val="00B266D6"/>
    <w:rsid w:val="00B535BB"/>
    <w:rsid w:val="00C13C84"/>
    <w:rsid w:val="00C228E9"/>
    <w:rsid w:val="00C22D3E"/>
    <w:rsid w:val="00C66D09"/>
    <w:rsid w:val="00C77A56"/>
    <w:rsid w:val="00C950C3"/>
    <w:rsid w:val="00D11DC3"/>
    <w:rsid w:val="00D45A84"/>
    <w:rsid w:val="00DA0666"/>
    <w:rsid w:val="00DA6E09"/>
    <w:rsid w:val="00DA7FCC"/>
    <w:rsid w:val="00E52089"/>
    <w:rsid w:val="00E8526D"/>
    <w:rsid w:val="00EC4482"/>
    <w:rsid w:val="00EF32F8"/>
    <w:rsid w:val="00EF51A9"/>
    <w:rsid w:val="00F37420"/>
    <w:rsid w:val="00F539F7"/>
    <w:rsid w:val="00F62E68"/>
    <w:rsid w:val="00F81FE8"/>
    <w:rsid w:val="00FA6A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B5D5"/>
  <w15:chartTrackingRefBased/>
  <w15:docId w15:val="{544C9CE1-4EB6-4EEE-A5C0-C3852609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A9"/>
    <w:pPr>
      <w:jc w:val="both"/>
    </w:pPr>
    <w:rPr>
      <w:rFonts w:ascii="Times New Roman" w:hAnsi="Times New Roman"/>
      <w:sz w:val="24"/>
    </w:rPr>
  </w:style>
  <w:style w:type="paragraph" w:styleId="Heading1">
    <w:name w:val="heading 1"/>
    <w:basedOn w:val="ListParagraph"/>
    <w:next w:val="Normal"/>
    <w:link w:val="Heading1Char"/>
    <w:uiPriority w:val="9"/>
    <w:qFormat/>
    <w:rsid w:val="00EF32F8"/>
    <w:pPr>
      <w:numPr>
        <w:numId w:val="1"/>
      </w:numPr>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F8"/>
    <w:rPr>
      <w:rFonts w:ascii="Segoe UI Variable Small" w:hAnsi="Segoe UI Variable Small"/>
      <w:b/>
      <w:bCs/>
      <w:sz w:val="24"/>
      <w:szCs w:val="24"/>
    </w:rPr>
  </w:style>
  <w:style w:type="paragraph" w:styleId="ListParagraph">
    <w:name w:val="List Paragraph"/>
    <w:basedOn w:val="Normal"/>
    <w:uiPriority w:val="34"/>
    <w:qFormat/>
    <w:rsid w:val="00EF32F8"/>
    <w:pPr>
      <w:ind w:left="720"/>
      <w:contextualSpacing/>
    </w:pPr>
  </w:style>
  <w:style w:type="character" w:styleId="PlaceholderText">
    <w:name w:val="Placeholder Text"/>
    <w:basedOn w:val="DefaultParagraphFont"/>
    <w:uiPriority w:val="99"/>
    <w:semiHidden/>
    <w:rsid w:val="00EF32F8"/>
    <w:rPr>
      <w:color w:val="666666"/>
    </w:rPr>
  </w:style>
  <w:style w:type="character" w:styleId="Hyperlink">
    <w:name w:val="Hyperlink"/>
    <w:basedOn w:val="DefaultParagraphFont"/>
    <w:uiPriority w:val="99"/>
    <w:unhideWhenUsed/>
    <w:rsid w:val="00242936"/>
    <w:rPr>
      <w:color w:val="0563C1" w:themeColor="hyperlink"/>
      <w:u w:val="single"/>
    </w:rPr>
  </w:style>
  <w:style w:type="character" w:styleId="UnresolvedMention">
    <w:name w:val="Unresolved Mention"/>
    <w:basedOn w:val="DefaultParagraphFont"/>
    <w:uiPriority w:val="99"/>
    <w:semiHidden/>
    <w:unhideWhenUsed/>
    <w:rsid w:val="00242936"/>
    <w:rPr>
      <w:color w:val="605E5C"/>
      <w:shd w:val="clear" w:color="auto" w:fill="E1DFDD"/>
    </w:rPr>
  </w:style>
  <w:style w:type="paragraph" w:styleId="Header">
    <w:name w:val="header"/>
    <w:basedOn w:val="Normal"/>
    <w:link w:val="HeaderChar"/>
    <w:uiPriority w:val="99"/>
    <w:unhideWhenUsed/>
    <w:rsid w:val="00401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B72"/>
    <w:rPr>
      <w:rFonts w:ascii="Segoe UI Variable Small" w:hAnsi="Segoe UI Variable Small"/>
      <w:sz w:val="24"/>
    </w:rPr>
  </w:style>
  <w:style w:type="paragraph" w:styleId="Footer">
    <w:name w:val="footer"/>
    <w:basedOn w:val="Normal"/>
    <w:link w:val="FooterChar"/>
    <w:uiPriority w:val="99"/>
    <w:unhideWhenUsed/>
    <w:rsid w:val="00401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B72"/>
    <w:rPr>
      <w:rFonts w:ascii="Segoe UI Variable Small" w:hAnsi="Segoe UI Variable Small"/>
      <w:sz w:val="24"/>
    </w:rPr>
  </w:style>
  <w:style w:type="table" w:styleId="TableGrid">
    <w:name w:val="Table Grid"/>
    <w:basedOn w:val="TableNormal"/>
    <w:uiPriority w:val="39"/>
    <w:rsid w:val="00A9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6898">
      <w:bodyDiv w:val="1"/>
      <w:marLeft w:val="0"/>
      <w:marRight w:val="0"/>
      <w:marTop w:val="0"/>
      <w:marBottom w:val="0"/>
      <w:divBdr>
        <w:top w:val="none" w:sz="0" w:space="0" w:color="auto"/>
        <w:left w:val="none" w:sz="0" w:space="0" w:color="auto"/>
        <w:bottom w:val="none" w:sz="0" w:space="0" w:color="auto"/>
        <w:right w:val="none" w:sz="0" w:space="0" w:color="auto"/>
      </w:divBdr>
    </w:div>
    <w:div w:id="38550438">
      <w:bodyDiv w:val="1"/>
      <w:marLeft w:val="0"/>
      <w:marRight w:val="0"/>
      <w:marTop w:val="0"/>
      <w:marBottom w:val="0"/>
      <w:divBdr>
        <w:top w:val="none" w:sz="0" w:space="0" w:color="auto"/>
        <w:left w:val="none" w:sz="0" w:space="0" w:color="auto"/>
        <w:bottom w:val="none" w:sz="0" w:space="0" w:color="auto"/>
        <w:right w:val="none" w:sz="0" w:space="0" w:color="auto"/>
      </w:divBdr>
    </w:div>
    <w:div w:id="1213271455">
      <w:bodyDiv w:val="1"/>
      <w:marLeft w:val="0"/>
      <w:marRight w:val="0"/>
      <w:marTop w:val="0"/>
      <w:marBottom w:val="0"/>
      <w:divBdr>
        <w:top w:val="none" w:sz="0" w:space="0" w:color="auto"/>
        <w:left w:val="none" w:sz="0" w:space="0" w:color="auto"/>
        <w:bottom w:val="none" w:sz="0" w:space="0" w:color="auto"/>
        <w:right w:val="none" w:sz="0" w:space="0" w:color="auto"/>
      </w:divBdr>
    </w:div>
    <w:div w:id="1410467210">
      <w:bodyDiv w:val="1"/>
      <w:marLeft w:val="0"/>
      <w:marRight w:val="0"/>
      <w:marTop w:val="0"/>
      <w:marBottom w:val="0"/>
      <w:divBdr>
        <w:top w:val="none" w:sz="0" w:space="0" w:color="auto"/>
        <w:left w:val="none" w:sz="0" w:space="0" w:color="auto"/>
        <w:bottom w:val="none" w:sz="0" w:space="0" w:color="auto"/>
        <w:right w:val="none" w:sz="0" w:space="0" w:color="auto"/>
      </w:divBdr>
    </w:div>
    <w:div w:id="1771506383">
      <w:bodyDiv w:val="1"/>
      <w:marLeft w:val="0"/>
      <w:marRight w:val="0"/>
      <w:marTop w:val="0"/>
      <w:marBottom w:val="0"/>
      <w:divBdr>
        <w:top w:val="none" w:sz="0" w:space="0" w:color="auto"/>
        <w:left w:val="none" w:sz="0" w:space="0" w:color="auto"/>
        <w:bottom w:val="none" w:sz="0" w:space="0" w:color="auto"/>
        <w:right w:val="none" w:sz="0" w:space="0" w:color="auto"/>
      </w:divBdr>
      <w:divsChild>
        <w:div w:id="701831572">
          <w:marLeft w:val="480"/>
          <w:marRight w:val="0"/>
          <w:marTop w:val="0"/>
          <w:marBottom w:val="0"/>
          <w:divBdr>
            <w:top w:val="none" w:sz="0" w:space="0" w:color="auto"/>
            <w:left w:val="none" w:sz="0" w:space="0" w:color="auto"/>
            <w:bottom w:val="none" w:sz="0" w:space="0" w:color="auto"/>
            <w:right w:val="none" w:sz="0" w:space="0" w:color="auto"/>
          </w:divBdr>
        </w:div>
        <w:div w:id="1143279265">
          <w:marLeft w:val="480"/>
          <w:marRight w:val="0"/>
          <w:marTop w:val="0"/>
          <w:marBottom w:val="0"/>
          <w:divBdr>
            <w:top w:val="none" w:sz="0" w:space="0" w:color="auto"/>
            <w:left w:val="none" w:sz="0" w:space="0" w:color="auto"/>
            <w:bottom w:val="none" w:sz="0" w:space="0" w:color="auto"/>
            <w:right w:val="none" w:sz="0" w:space="0" w:color="auto"/>
          </w:divBdr>
        </w:div>
        <w:div w:id="113209005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matlabcentral/fileexchange/28803-rdmseed-and-mkmseed-read-and-write-miniseed-files" TargetMode="External"/><Relationship Id="rId24" Type="http://schemas.openxmlformats.org/officeDocument/2006/relationships/hyperlink" Target="https://etd.usk.ac.id/index.php?p=show_detail&amp;id=66042&amp;keywords=aulia+khalqilla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opscience.iop.org/article/10.1088/1755-1315/273/1/012016/met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D22FE2-BD45-494F-BB95-1C455A17B6FB}"/>
      </w:docPartPr>
      <w:docPartBody>
        <w:p w:rsidR="00BB028A" w:rsidRDefault="00A04315">
          <w:r w:rsidRPr="00137A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15"/>
    <w:rsid w:val="000F720C"/>
    <w:rsid w:val="001E1E9B"/>
    <w:rsid w:val="004806B5"/>
    <w:rsid w:val="00806EB1"/>
    <w:rsid w:val="009253F1"/>
    <w:rsid w:val="00950DCE"/>
    <w:rsid w:val="00A04315"/>
    <w:rsid w:val="00BB02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1E9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FB318A-790A-4A28-9AD8-620BF3973C1F}">
  <we:reference id="wa104382081" version="1.55.1.0" store="en-US" storeType="OMEX"/>
  <we:alternateReferences>
    <we:reference id="wa104382081" version="1.55.1.0" store="" storeType="OMEX"/>
  </we:alternateReferences>
  <we:properties>
    <we:property name="MENDELEY_CITATIONS" value="[{&quot;citationID&quot;:&quot;MENDELEY_CITATION_ff80e66c-51b9-447c-b7cd-ba0241e1c1ba&quot;,&quot;properties&quot;:{&quot;noteIndex&quot;:0},&quot;isEdited&quot;:false,&quot;manualOverride&quot;:{&quot;isManuallyOverridden&quot;:false,&quot;citeprocText&quot;:&quot;(Nakamura, 1989)&quot;,&quot;manualOverrideText&quot;:&quot;&quot;},&quot;citationTag&quot;:&quot;MENDELEY_CITATION_v3_eyJjaXRhdGlvbklEIjoiTUVOREVMRVlfQ0lUQVRJT05fZmY4MGU2NmMtNTFiOS00NDdjLWI3Y2QtYmEwMjQxZTFjMWJhIiwicHJvcGVydGllcyI6eyJub3RlSW5kZXgiOjB9LCJpc0VkaXRlZCI6ZmFsc2UsIm1hbnVhbE92ZXJyaWRlIjp7ImlzTWFudWFsbHlPdmVycmlkZGVuIjpmYWxzZSwiY2l0ZXByb2NUZXh0IjoiKE5ha2FtdXJhLCAxOTg5KSIsIm1hbnVhbE92ZXJyaWRlVGV4dCI6IiJ9LCJjaXRhdGlvbkl0ZW1zIjpbeyJpZCI6ImEyNjhiMTM3LTk5YzAtMzU1Ni04YjFkLTRiYTNmZjViM2U3OSIsIml0ZW1EYXRhIjp7InR5cGUiOiJhcnRpY2xlLWpvdXJuYWwiLCJpZCI6ImEyNjhiMTM3LTk5YzAtMzU1Ni04YjFkLTRiYTNmZjViM2U3OSIsInRpdGxlIjoiQSBtZXRob2QgZm9yIGR5bmFtaWMgY2hhcmFjdGVyaXN0aWNzIGVzdGltYXRpb24gb2Ygc3Vic3VyZmFjZSB1c2luZyBtaWNyb3RyZW1vciBvbiB0aGUgZ3JvdW5kIHN1cmZhY2UiLCJhdXRob3IiOlt7ImZhbWlseSI6Ik5ha2FtdXJhIiwiZ2l2ZW4iOiJZdXRha2EiLCJwYXJzZS1uYW1lcyI6ZmFsc2UsImRyb3BwaW5nLXBhcnRpY2xlIjoiIiwibm9uLWRyb3BwaW5nLXBhcnRpY2xlIjoiIn1dLCJjb250YWluZXItdGl0bGUiOiJSYWlsd2F5IFRlY2huaWNhbCBSZXNlYXJjaCBJbnN0aXR1dGUsIFF1YXJ0ZXJseSBSZXBvcnRzIiwiaXNzdWVkIjp7ImRhdGUtcGFydHMiOltbMTk4OV1dfSwiaXNzdWUiOiIxIiwidm9sdW1lIjoiMzAiLCJjb250YWluZXItdGl0bGUtc2hvcnQiOiIifSwiaXNUZW1wb3JhcnkiOmZhbHNlfV19&quot;,&quot;citationItems&quot;:[{&quot;id&quot;:&quot;a268b137-99c0-3556-8b1d-4ba3ff5b3e79&quot;,&quot;itemData&quot;:{&quot;type&quot;:&quot;article-journal&quot;,&quot;id&quot;:&quot;a268b137-99c0-3556-8b1d-4ba3ff5b3e79&quot;,&quot;title&quot;:&quot;A method for dynamic characteristics estimation of subsurface using microtremor on the ground surface&quot;,&quot;author&quot;:[{&quot;family&quot;:&quot;Nakamura&quot;,&quot;given&quot;:&quot;Yutaka&quot;,&quot;parse-names&quot;:false,&quot;dropping-particle&quot;:&quot;&quot;,&quot;non-dropping-particle&quot;:&quot;&quot;}],&quot;container-title&quot;:&quot;Railway Technical Research Institute, Quarterly Reports&quot;,&quot;issued&quot;:{&quot;date-parts&quot;:[[1989]]},&quot;issue&quot;:&quot;1&quot;,&quot;volume&quot;:&quot;30&quot;,&quot;container-title-short&quot;:&quot;&quot;},&quot;isTemporary&quot;:false}]},{&quot;citationID&quot;:&quot;MENDELEY_CITATION_adfe199f-b113-4035-b2a1-e5e8198e5c0b&quot;,&quot;properties&quot;:{&quot;noteIndex&quot;:0},&quot;isEdited&quot;:false,&quot;manualOverride&quot;:{&quot;isManuallyOverridden&quot;:false,&quot;citeprocText&quot;:&quot;(Konno &amp;#38; Ohmachi, 1998)&quot;,&quot;manualOverrideText&quot;:&quot;&quot;},&quot;citationTag&quot;:&quot;MENDELEY_CITATION_v3_eyJjaXRhdGlvbklEIjoiTUVOREVMRVlfQ0lUQVRJT05fYWRmZTE5OWYtYjExMy00MDM1LWIyYTEtZTVlODE5OGU1YzBiIiwicHJvcGVydGllcyI6eyJub3RlSW5kZXgiOjB9LCJpc0VkaXRlZCI6ZmFsc2UsIm1hbnVhbE92ZXJyaWRlIjp7ImlzTWFudWFsbHlPdmVycmlkZGVuIjpmYWxzZSwiY2l0ZXByb2NUZXh0IjoiKEtvbm5vICYjMzg7IE9obWFjaGksIDE5OTgpIiwibWFudWFsT3ZlcnJpZGVUZXh0IjoiIn0sImNpdGF0aW9uSXRlbXMiOlt7ImlkIjoiMzFiNWExNzAtY2Q2NC0zM2QxLWI4MzgtM2NmMTgyMGM0NzE0IiwiaXRlbURhdGEiOnsidHlwZSI6InJlcG9ydCIsImlkIjoiMzFiNWExNzAtY2Q2NC0zM2QxLWI4MzgtM2NmMTgyMGM0NzE0IiwidGl0bGUiOiJHcm91bmQtTW90aW9uIENoYXJhY3RlcmlzdGljcyBFc3RpbWF0ZWQgZnJvbSBTcGVjdHJhbCBSYXRpbyBiZXR3ZWVuIEhvcml6b250YWwgYW5kIFZlcnRpY2FsIENvbXBvbmVudHMgb2YgTWljcm90cmVtb3IiLCJhdXRob3IiOlt7ImZhbWlseSI6Iktvbm5vIiwiZ2l2ZW4iOiJLYXRzdWFraSIsInBhcnNlLW5hbWVzIjpmYWxzZSwiZHJvcHBpbmctcGFydGljbGUiOiIiLCJub24tZHJvcHBpbmctcGFydGljbGUiOiIifSx7ImZhbWlseSI6Ik9obWFjaGkiLCJnaXZlbiI6IlRhdHN1byIsInBhcnNlLW5hbWVzIjpmYWxzZSwiZHJvcHBpbmctcGFydGljbGUiOiIiLCJub24tZHJvcHBpbmctcGFydGljbGUiOiIifV0sImNvbnRhaW5lci10aXRsZSI6IkJ1bGxldGluIG9mIHRoZSBTZWlzbW9sb2dpY2FsIFNvY2lldHkgb2YgQW1lcmljYSIsImlzc3VlZCI6eyJkYXRlLXBhcnRzIjpbWzE5OThdXX0sIm51bWJlci1vZi1wYWdlcyI6IjIyOC0yNDEiLCJhYnN0cmFjdCI6IlRoZSBzcGVjdHJhbCByYXRpbyBiZXR3ZWVuIGhvcml6b250YWwgYW5kIHZlcnRpY2FsIGNvbXBvbmVudHMgKEgvViByYXRpbykgb2YgbWljcm90cmVtb3JzIG1lYXN1cmVkIGF0IHRoZSBncm91bmQgc3VyZmFjZSBoYXMgYmVlbiB1c2VkIHRvIGVzdGltYXRlIGZ1bmRhbWVudGFsIHBlcmlvZHMgYW5kIGFtcGxpZmljYXRpb24gZmFjdG9ycyBvZiBhIHNpdGUsIGFsdGhvdWdoIHRoaXMgdGVjaG5pcXVlIGxhY2tzIHRoZW9yZXRpY2FsIGJhY2tncm91bmQuIFRoZSBhaW0gb2YgdGhpcyBhcnRpY2xlIGlzIHRvIGZvcm11bGF0ZSB0aGUgSC9WIHRlY2huaXF1ZSBpbiB0ZXJtcyBvZiB0aGUgY2hhcmFjdGVyaXN0aWNzIG9mIFJheWxlaWdoIGFuZCBMb3ZlIHdhdmVzLCBhbmQgdG8gY29udHJpYnV0ZSB0byBpbXByb3ZlIHRoZSB0ZWNobmlxdWUuIFRoZSBpbXByb3ZlbWVudCBpbmNsdWRlcyB1c2Ugb2Ygbm90IG9ubHkgcGVha3MgYnV0IGFsc28gdHJvdWdocyBpbiB0aGUgSC9WIHJhdGlvIGZvciByZWxpYWJsZSBlc3RpbWF0aW9uIG9mIHRoZSBwZXJpb2QgYW5kIHVzZSBvZiBhIG5ld2x5IHByb3Bvc2VkIHNtb290aGluZyBmdW5jdGlvbiBmb3IgYmV0dGVyIGVzdGltYXRpb24gb2YgdGhlIGFtcGxpZmljYXRpb24gZmFjdG9yLiBUaGUgZm9ybXVsYXRpb24gbGVhZHMgdG8gYSBzaW1wbGUgZm9ybXVsYSBmb3IgdGhlIGFtcGxpZmljYXRpb24gZmFjdG9yIGV4cHJlc3NlZCB3aXRoIHRoZSBIL1YgcmF0aW8uIFdpdGggbWljcm90cmVtb3IgZGF0YSBtZWFzdXJlZCBhdCA1NDYganVuaW9yIGhpZ2ggc2Nob29scyBpbiAyMyB3YXJkcyBvZiBUb2t5bywgdGhlIGltcHJvdmVkIHRlY2huaXF1ZSBpcyBhcHBsaWVkIHRvIG1hcHBpbmcgc2l0ZSBwZXJpb2RzIGFuZCBhbXBsaWZpY2F0aW9uIGZhY3RvcnMgaW4gdGhlIGFyZWEuIiwiaXNzdWUiOiIxIiwidm9sdW1lIjoiODgiLCJjb250YWluZXItdGl0bGUtc2hvcnQiOiIifSwiaXNUZW1wb3JhcnkiOmZhbHNlfV19&quot;,&quot;citationItems&quot;:[{&quot;id&quot;:&quot;31b5a170-cd64-33d1-b838-3cf1820c4714&quot;,&quot;itemData&quot;:{&quot;type&quot;:&quot;report&quot;,&quot;id&quot;:&quot;31b5a170-cd64-33d1-b838-3cf1820c4714&quot;,&quot;title&quot;:&quot;Ground-Motion Characteristics Estimated from Spectral Ratio between Horizontal and Vertical Components of Microtremor&quot;,&quot;author&quot;:[{&quot;family&quot;:&quot;Konno&quot;,&quot;given&quot;:&quot;Katsuaki&quot;,&quot;parse-names&quot;:false,&quot;dropping-particle&quot;:&quot;&quot;,&quot;non-dropping-particle&quot;:&quot;&quot;},{&quot;family&quot;:&quot;Ohmachi&quot;,&quot;given&quot;:&quot;Tatsuo&quot;,&quot;parse-names&quot;:false,&quot;dropping-particle&quot;:&quot;&quot;,&quot;non-dropping-particle&quot;:&quot;&quot;}],&quot;container-title&quot;:&quot;Bulletin of the Seismological Society of America&quot;,&quot;issued&quot;:{&quot;date-parts&quot;:[[1998]]},&quot;number-of-pages&quot;:&quot;228-241&quot;,&quot;abstract&quot;:&quot;The spectral ratio between horizontal and vertical components (H/V ratio) of microtremors measured at the ground surface has been used to estimate fundamental periods and amplification factors of a site, although this technique lacks theoretical background. The aim of this article is to formulate the H/V technique in terms of the characteristics of Rayleigh and Love waves, and to contribute to improve the technique. The improvement includes use of not only peaks but also troughs in the H/V ratio for reliable estimation of the period and use of a newly proposed smoothing function for better estimation of the amplification factor. The formulation leads to a simple formula for the amplification factor expressed with the H/V ratio. With microtremor data measured at 546 junior high schools in 23 wards of Tokyo, the improved technique is applied to mapping site periods and amplification factors in the area.&quot;,&quot;issue&quot;:&quot;1&quot;,&quot;volume&quot;:&quot;88&quot;,&quot;container-title-short&quot;:&quot;&quot;},&quot;isTemporary&quot;:false}]},{&quot;citationID&quot;:&quot;MENDELEY_CITATION_f43e020e-1ace-4cc2-8d35-fed8a3c2d23f&quot;,&quot;properties&quot;:{&quot;noteIndex&quot;:0},&quot;isEdited&quot;:false,&quot;manualOverride&quot;:{&quot;isManuallyOverridden&quot;:true,&quot;citeprocText&quot;:&quot;(Trnkoczy, 1999)&quot;,&quot;manualOverrideText&quot;:&quot;Trnkoczy (1999)&quot;},&quot;citationTag&quot;:&quot;MENDELEY_CITATION_v3_eyJjaXRhdGlvbklEIjoiTUVOREVMRVlfQ0lUQVRJT05fZjQzZTAyMGUtMWFjZS00Y2MyLThkMzUtZmVkOGEzYzJkMjNmIiwicHJvcGVydGllcyI6eyJub3RlSW5kZXgiOjB9LCJpc0VkaXRlZCI6ZmFsc2UsIm1hbnVhbE92ZXJyaWRlIjp7ImlzTWFudWFsbHlPdmVycmlkZGVuIjp0cnVlLCJjaXRlcHJvY1RleHQiOiIoVHJua29jenksIDE5OTkpIiwibWFudWFsT3ZlcnJpZGVUZXh0IjoiVHJua29jenkgKDE5OTkpIn0sImNpdGF0aW9uSXRlbXMiOlt7ImlkIjoiMzYxZjJhNDMtYjYwYi0zNjY1LWFkYWEtMmQ5ZjJhNzQ2OGZjIiwiaXRlbURhdGEiOnsidHlwZSI6ImFydGljbGUtam91cm5hbCIsImlkIjoiMzYxZjJhNDMtYjYwYi0zNjY1LWFkYWEtMmQ5ZjJhNzQ2OGZjIiwidGl0bGUiOiJVbmRlcnN0YW5kaW5nIGFuZCBwYXJhbWV0ZXIgc2V0dGluZyBvZiBTVEEvTFRBIHRyaWdnZXIgYWxnb3JpdGhtIiwiYXV0aG9yIjpbeyJmYW1pbHkiOiJUcm5rb2N6eSIsImdpdmVuIjoiQSIsInBhcnNlLW5hbWVzIjpmYWxzZSwiZHJvcHBpbmctcGFydGljbGUiOiIiLCJub24tZHJvcHBpbmctcGFydGljbGUiOiIifV0sImNvbnRhaW5lci10aXRsZSI6IklBU1BFSSBOZXcgTWFudWFsIG9mIFNlaXNtb2xvZ2ljYWwgT2JzZXJ2YXRvcnkgUHJhY3RpY2UiLCJpc3N1ZWQiOnsiZGF0ZS1wYXJ0cyI6W1sxOTk5XV19LCJwYWdlIjoiMS0xOSIsInZvbHVtZSI6IjIiLCJjb250YWluZXItdGl0bGUtc2hvcnQiOiIifSwiaXNUZW1wb3JhcnkiOmZhbHNlfV19&quot;,&quot;citationItems&quot;:[{&quot;id&quot;:&quot;361f2a43-b60b-3665-adaa-2d9f2a7468fc&quot;,&quot;itemData&quot;:{&quot;type&quot;:&quot;article-journal&quot;,&quot;id&quot;:&quot;361f2a43-b60b-3665-adaa-2d9f2a7468fc&quot;,&quot;title&quot;:&quot;Understanding and parameter setting of STA/LTA trigger algorithm&quot;,&quot;author&quot;:[{&quot;family&quot;:&quot;Trnkoczy&quot;,&quot;given&quot;:&quot;A&quot;,&quot;parse-names&quot;:false,&quot;dropping-particle&quot;:&quot;&quot;,&quot;non-dropping-particle&quot;:&quot;&quot;}],&quot;container-title&quot;:&quot;IASPEI New Manual of Seismological Observatory Practice&quot;,&quot;issued&quot;:{&quot;date-parts&quot;:[[1999]]},&quot;page&quot;:&quot;1-19&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92D7-78DC-479A-B6D9-AB2C1A23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khalqillah</dc:creator>
  <cp:keywords/>
  <dc:description/>
  <cp:lastModifiedBy>aulia khalqillah</cp:lastModifiedBy>
  <cp:revision>38</cp:revision>
  <cp:lastPrinted>2024-02-16T11:34:00Z</cp:lastPrinted>
  <dcterms:created xsi:type="dcterms:W3CDTF">2024-02-12T14:23:00Z</dcterms:created>
  <dcterms:modified xsi:type="dcterms:W3CDTF">2024-02-16T11:42:00Z</dcterms:modified>
</cp:coreProperties>
</file>