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 RHAG</w:t>
      </w:r>
    </w:p>
    <w:p>
      <w:r>
        <w:t>------------------------------</w:t>
      </w:r>
    </w:p>
    <w:p>
      <w:r>
        <w:t>Genetisk Variant 1:</w:t>
      </w:r>
    </w:p>
    <w:p>
      <w:r>
        <w:t>RHAG (NM_000324): c.6 p.7 Hemizygot.</w:t>
        <w:br/>
        <w:t>Det är troligt att varianten orsakar Rhnull syndrom.</w:t>
        <w:br/>
        <w:t>Nedärvning: Autosomalt dominant.</w:t>
      </w:r>
    </w:p>
    <w:p>
      <w:r>
        <w:t>Bedömning enligt ACMG-kriterierna: Benign.</w:t>
        <w:br/>
        <w:t>Tidigare rapporter i ClinVar och hemofilidatabaserna: 8.</w:t>
      </w:r>
    </w:p>
    <w:p>
      <w:r>
        <w:t>------------------------------</w:t>
      </w:r>
    </w:p>
    <w:p>
      <w:r>
        <w:t>Proband:</w:t>
      </w:r>
    </w:p>
    <w:p>
      <w:r>
        <w:t>2</w:t>
        <w:br/>
        <w:t>Genotyp: 3</w:t>
        <w:br/>
        <w:t>Fenotyp: 4</w:t>
      </w:r>
    </w:p>
    <w:p>
      <w:r>
        <w:t>------------------------------</w:t>
      </w:r>
    </w:p>
    <w:p>
      <w:r>
        <w:t>Genomisk Analys:</w:t>
      </w:r>
    </w:p>
    <w:p>
      <w:r>
        <w:t>Exon 5 av RHAG har analyserats med Sangersekvensering.</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