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1234 -- SPTB</w:t>
      </w:r>
    </w:p>
    <w:p>
      <w:r>
        <w:t>------------------------------</w:t>
      </w:r>
    </w:p>
    <w:p>
      <w:r>
        <w:t>Genetisk Variant 1:</w:t>
      </w:r>
    </w:p>
    <w:p>
      <w:r>
        <w:t xml:space="preserve">          SPTB (N/A): c. 1234 p. 1243 Hemizygot.</w:t>
        <w:br/>
        <w:t xml:space="preserve">          Det är troligt att varianten orsakar N/A.</w:t>
        <w:br/>
        <w:t xml:space="preserve">          Nedärvning: Autosomalt dominant.</w:t>
      </w:r>
    </w:p>
    <w:p>
      <w:r>
        <w:t>------------------------------</w:t>
      </w:r>
    </w:p>
    <w:p>
      <w:r>
        <w:t>Bedömning och Databasreferenser för Variant 1:</w:t>
      </w:r>
    </w:p>
    <w:p>
      <w:r>
        <w:t xml:space="preserve">          Bedömning enligt ACMG-kriterierna: Troligen benign.</w:t>
        <w:br/>
        <w:t xml:space="preserve">          Tidigare rapporter i ClinVar och hemofilidatabaserna: 1234.</w:t>
      </w:r>
    </w:p>
    <w:p>
      <w:r>
        <w:t>------------------------------</w:t>
      </w:r>
    </w:p>
    <w:p>
      <w:r>
        <w:t>Proband:</w:t>
      </w:r>
    </w:p>
    <w:p>
      <w:r>
        <w:t xml:space="preserve">          Proband inte känt</w:t>
        <w:br/>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