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dreg -- F8</w:t>
      </w:r>
    </w:p>
    <w:p>
      <w:r>
        <w:t>------------------------------</w:t>
      </w:r>
    </w:p>
    <w:p>
      <w:r>
        <w:t>Genetisk Variant 1:</w:t>
      </w:r>
    </w:p>
    <w:p>
      <w:r>
        <w:t>F8 (NM_000132): c.ger p.dreg Hemizygot.</w:t>
        <w:br/>
        <w:t>Det är troligt att varianten orsakar Hemophilia A.</w:t>
        <w:br/>
        <w:t>Nedärvning: Autosomalt dominant.</w:t>
      </w:r>
    </w:p>
    <w:p>
      <w:r>
        <w:t>------------------------------</w:t>
      </w:r>
    </w:p>
    <w:p>
      <w:r>
        <w:t>Proband:</w:t>
      </w:r>
    </w:p>
    <w:p>
      <w:r>
        <w:t xml:space="preserve">          N/A</w:t>
        <w:br/>
        <w:t xml:space="preserve">          Genotyp: N/A</w:t>
        <w:br/>
        <w:t xml:space="preserve">          Fenotyp: N/A</w:t>
      </w:r>
    </w:p>
    <w:p>
      <w:r>
        <w:t>------------------------------</w:t>
      </w:r>
    </w:p>
    <w:p>
      <w:r>
        <w:t>Genomisk Analys:</w:t>
      </w:r>
    </w:p>
    <w:p>
      <w:r>
        <w:t xml:space="preserve">          Alla kodande regioner med flankerande icke-kodande sekvenser har analyserats. Sekvensdata har mappats mot referenssekvens (GRCh37/hg19). Analysen innefattar endast exon och exon-intron-gränser och därför ingår inte promotor-, intron- och icke-kodande-regioner i analysen.</w:t>
      </w:r>
    </w:p>
    <w:p>
      <w:r>
        <w:t>------------------------------</w:t>
      </w:r>
    </w:p>
    <w:p>
      <w:r>
        <w:t>Referenser:</w:t>
      </w:r>
    </w:p>
    <w:p>
      <w:r>
        <w:t xml:space="preserve">          1. Genome Reference Consortium Human Build (2022), Vol. 37.</w:t>
      </w:r>
    </w:p>
    <w:p>
      <w:r>
        <w:t xml:space="preserve">          2. Clinical genomics (2022), Stockholm, Sverige. Tillgängligt vid: https://www.scilifelab.se/facilities/clinical-genomics-stockholm/</w:t>
      </w:r>
    </w:p>
    <w:p>
      <w:r>
        <w:t xml:space="preserve">          3. Scout (2022), Tillgängligt vid: https://github.com/Clinical-Genomics/scout</w:t>
      </w:r>
    </w:p>
    <w:p>
      <w:r>
        <w:t xml:space="preserve">          4. Landrum MJ, Lee JM, Benson M, Brown GR, Chao C, Chitipiralla S, Gu B, Hart J, Hoffman D, Jang W, Karapetyan K, Katz K, Liu C, Maddipatla Z, Malheiro A, McDaniel K, Ovetsky M, Riley G, Zhou G, Holmes JB, Kattman BL, Maglott DR. ClinVar: improving access to variant interpretations and supporting evidence. Nucleic Acids Res, 2018 Jan 4. PubMed PMID: 29165669</w:t>
      </w:r>
    </w:p>
    <w:p>
      <w:r>
        <w:t xml:space="preserve">          5. EAHAD Coagulation Factor Variant Databases (2022): https://dbs.eahad.org</w:t>
      </w:r>
    </w:p>
    <w:p>
      <w:r>
        <w:t xml:space="preserve">          6. Richards, Sue et al. Standards and guidelines for the interpretation of sequence variants: a joint consensus recommendation of the American College of Medical Genetics and Genomics and the Association for Molecular Pathology. Genetics in medicine: official journal of the American College of Medical Genetics vol. 17,5 (2015): 405-24. doi:10.1038/gim.2015.30</w:t>
      </w:r>
    </w:p>
    <w:p>
      <w:r>
        <w:t>------------------------------</w:t>
      </w:r>
    </w:p>
    <w:p>
      <w:r>
        <w:t>Avsändare:</w:t>
      </w:r>
    </w:p>
    <w:p>
      <w:r>
        <w:t xml:space="preserve">          Professor, Överläkare: Jovan Antovic</w:t>
        <w:br/>
        <w:t xml:space="preserve">          Sjukhuskemist: August Lundholm</w:t>
        <w:br/>
        <w:t xml:space="preserve">          Biomedicinsk analytiker: Somia Echehli</w:t>
      </w:r>
    </w:p>
    <w:p>
      <w:r>
        <w: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