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HARGA TANAH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tanah pekarangan bangunan/ pekarangan kosong/ tegalan/ sawah dengan identitas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No.SHM / SHBG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[nama_baru1]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GS / SU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[tpt_baru1]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Tgl. GS / SU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[tgl_baru1]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Luas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[hubkel_baru1]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Atas 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[nama_baru2]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Letak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[tpt_baru2]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NOP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[tgl_baru2]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Tanah tersebut diatas mempunyai harga pasaran sekitar [total]</w:t>
      </w:r>
      <w:r>
        <w:t xml:space="preserve"> </w:t>
      </w:r>
      <w:r>
        <w:rPr>
          <w:i/>
          <w:iCs/>
        </w:rPr>
        <w:t xml:space="preserve">([rphuruf])</w:t>
      </w:r>
      <w:r>
        <w:t xml:space="preserve"> </w:t>
      </w:r>
      <w:r>
        <w:t xml:space="preserve">per meter persegi.</w:t>
      </w:r>
    </w:p>
    <w:p>
      <w:pPr>
        <w:pStyle w:val="BodyText"/>
      </w:pPr>
      <w:r>
        <w:t xml:space="preserve">Demikian surat keterangan ini dibuat, untuk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