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3EBD4" w14:textId="77777777" w:rsidR="00E924D1" w:rsidRDefault="00E924D1" w:rsidP="005E6D28">
      <w:pPr>
        <w:jc w:val="left"/>
      </w:pPr>
    </w:p>
    <w:p w14:paraId="37D62594" w14:textId="77777777" w:rsidR="00E924D1" w:rsidRDefault="00E924D1" w:rsidP="005E6D28">
      <w:pPr>
        <w:jc w:val="left"/>
      </w:pPr>
    </w:p>
    <w:p w14:paraId="359AE123" w14:textId="77777777" w:rsidR="00E924D1" w:rsidRDefault="00E924D1" w:rsidP="005E6D28">
      <w:pPr>
        <w:jc w:val="left"/>
      </w:pPr>
    </w:p>
    <w:p w14:paraId="6BD49316" w14:textId="77777777" w:rsidR="00E924D1" w:rsidRDefault="00E924D1" w:rsidP="005E6D28">
      <w:pPr>
        <w:jc w:val="left"/>
      </w:pPr>
    </w:p>
    <w:p w14:paraId="207D3085" w14:textId="77777777" w:rsidR="00E924D1" w:rsidRDefault="00E924D1" w:rsidP="005E6D28">
      <w:pPr>
        <w:jc w:val="left"/>
      </w:pPr>
    </w:p>
    <w:p w14:paraId="0F2D2D53" w14:textId="77777777" w:rsidR="00E924D1" w:rsidRDefault="00E924D1" w:rsidP="005E6D28">
      <w:pPr>
        <w:jc w:val="left"/>
      </w:pPr>
    </w:p>
    <w:p w14:paraId="31845A94" w14:textId="725FF89D" w:rsidR="00E924D1" w:rsidRDefault="00E924D1" w:rsidP="005E6D28">
      <w:pPr>
        <w:jc w:val="left"/>
      </w:pPr>
      <w:r>
        <w:t xml:space="preserve">Simple </w:t>
      </w:r>
      <w:proofErr w:type="gramStart"/>
      <w:r>
        <w:t>Two Level</w:t>
      </w:r>
      <w:proofErr w:type="gramEnd"/>
      <w:r>
        <w:t xml:space="preserve"> Monte Carlo Simulation</w:t>
      </w:r>
    </w:p>
    <w:p w14:paraId="77D1E22D" w14:textId="0104D5A2" w:rsidR="00E924D1" w:rsidRDefault="00EB7185" w:rsidP="005E6D28">
      <w:pPr>
        <w:jc w:val="left"/>
      </w:pPr>
      <w:r>
        <w:t>Simulation in R Final Project</w:t>
      </w:r>
    </w:p>
    <w:p w14:paraId="17DA1F59" w14:textId="6BA63483" w:rsidR="003A2615" w:rsidRDefault="003A2615" w:rsidP="005E6D28">
      <w:pPr>
        <w:jc w:val="left"/>
      </w:pPr>
    </w:p>
    <w:p w14:paraId="623968DE" w14:textId="4F790069" w:rsidR="003A2615" w:rsidRDefault="003A2615" w:rsidP="005E6D28">
      <w:pPr>
        <w:jc w:val="left"/>
      </w:pPr>
      <w:r>
        <w:br w:type="page"/>
      </w:r>
    </w:p>
    <w:p w14:paraId="3A4FA113" w14:textId="5C385E36" w:rsidR="00F445E1" w:rsidRDefault="003A2615" w:rsidP="005E6D28">
      <w:pPr>
        <w:jc w:val="left"/>
      </w:pPr>
      <w:r>
        <w:lastRenderedPageBreak/>
        <w:tab/>
      </w:r>
      <w:bookmarkStart w:id="0" w:name="_Hlk132283863"/>
      <w:r>
        <w:t xml:space="preserve">This project focused on running a simple multi-level model </w:t>
      </w:r>
      <w:r w:rsidR="007364FF">
        <w:t xml:space="preserve">with two levels and a treatment condition. </w:t>
      </w:r>
      <w:r w:rsidR="005E6D28">
        <w:t>There were two conditions for this simulation: var</w:t>
      </w:r>
      <w:r w:rsidR="0078352C">
        <w:t>iation at the</w:t>
      </w:r>
      <w:r w:rsidR="005E6D28">
        <w:t xml:space="preserve"> level two units and varying the ICC. </w:t>
      </w:r>
      <w:r w:rsidR="0078352C">
        <w:t>The variation was set using Cohen’s d and was set at either 0.</w:t>
      </w:r>
      <w:r w:rsidR="000439BF">
        <w:t>1</w:t>
      </w:r>
      <w:r w:rsidR="0078352C">
        <w:t xml:space="preserve"> or 0.</w:t>
      </w:r>
      <w:r w:rsidR="000439BF">
        <w:t>5</w:t>
      </w:r>
      <w:proofErr w:type="gramStart"/>
      <w:r w:rsidR="0078352C">
        <w:t xml:space="preserve"> </w:t>
      </w:r>
      <w:r w:rsidR="005E6D28">
        <w:t>The</w:t>
      </w:r>
      <w:proofErr w:type="gramEnd"/>
      <w:r w:rsidR="005E6D28">
        <w:t xml:space="preserve"> ICC was chosen to be either 0.10 or 0.25</w:t>
      </w:r>
      <w:r w:rsidR="00E90C3E">
        <w:t xml:space="preserve">. </w:t>
      </w:r>
      <w:r w:rsidR="00BB592B">
        <w:t>In total, there were 4 different conditions</w:t>
      </w:r>
      <w:r w:rsidR="00F445E1">
        <w:t xml:space="preserve"> shown in Table 1:</w:t>
      </w:r>
    </w:p>
    <w:p w14:paraId="798334E6" w14:textId="11B5D39B" w:rsidR="004D6C04" w:rsidRPr="004D6C04" w:rsidRDefault="004D6C04" w:rsidP="004D6C04">
      <w:r>
        <w:rPr>
          <w:b/>
          <w:bCs/>
        </w:rPr>
        <w:t xml:space="preserve">Table 1: </w:t>
      </w:r>
      <w:r>
        <w:t>Conditions</w:t>
      </w:r>
    </w:p>
    <w:tbl>
      <w:tblPr>
        <w:tblStyle w:val="TableGrid"/>
        <w:tblW w:w="0" w:type="auto"/>
        <w:jc w:val="center"/>
        <w:tblLook w:val="04A0" w:firstRow="1" w:lastRow="0" w:firstColumn="1" w:lastColumn="0" w:noHBand="0" w:noVBand="1"/>
      </w:tblPr>
      <w:tblGrid>
        <w:gridCol w:w="336"/>
        <w:gridCol w:w="1440"/>
        <w:gridCol w:w="1260"/>
      </w:tblGrid>
      <w:tr w:rsidR="005B48FC" w14:paraId="7C902EB2" w14:textId="77777777" w:rsidTr="000474C6">
        <w:trPr>
          <w:jc w:val="center"/>
        </w:trPr>
        <w:tc>
          <w:tcPr>
            <w:tcW w:w="336" w:type="dxa"/>
          </w:tcPr>
          <w:p w14:paraId="75E1CB10" w14:textId="77777777" w:rsidR="005B48FC" w:rsidRDefault="005B48FC" w:rsidP="005E6D28">
            <w:pPr>
              <w:jc w:val="left"/>
            </w:pPr>
          </w:p>
        </w:tc>
        <w:tc>
          <w:tcPr>
            <w:tcW w:w="1440" w:type="dxa"/>
          </w:tcPr>
          <w:p w14:paraId="71BB4504" w14:textId="2D822C14" w:rsidR="005B48FC" w:rsidRDefault="005B48FC" w:rsidP="005E6D28">
            <w:pPr>
              <w:jc w:val="left"/>
            </w:pPr>
            <w:r>
              <w:t>ICC</w:t>
            </w:r>
          </w:p>
        </w:tc>
        <w:tc>
          <w:tcPr>
            <w:tcW w:w="1260" w:type="dxa"/>
          </w:tcPr>
          <w:p w14:paraId="3853A93C" w14:textId="3D4DA85A" w:rsidR="005B48FC" w:rsidRDefault="005B48FC" w:rsidP="005E6D28">
            <w:pPr>
              <w:jc w:val="left"/>
            </w:pPr>
            <w:r>
              <w:t>Cohen’s D</w:t>
            </w:r>
          </w:p>
        </w:tc>
      </w:tr>
      <w:tr w:rsidR="005B48FC" w14:paraId="2D447D12" w14:textId="77777777" w:rsidTr="000474C6">
        <w:trPr>
          <w:jc w:val="center"/>
        </w:trPr>
        <w:tc>
          <w:tcPr>
            <w:tcW w:w="336" w:type="dxa"/>
          </w:tcPr>
          <w:p w14:paraId="7388CA4F" w14:textId="7C57DFC2" w:rsidR="005B48FC" w:rsidRDefault="005B48FC" w:rsidP="005E6D28">
            <w:pPr>
              <w:jc w:val="left"/>
            </w:pPr>
            <w:r>
              <w:t>1</w:t>
            </w:r>
          </w:p>
        </w:tc>
        <w:tc>
          <w:tcPr>
            <w:tcW w:w="1440" w:type="dxa"/>
          </w:tcPr>
          <w:p w14:paraId="425C62F1" w14:textId="6E20988A" w:rsidR="005B48FC" w:rsidRDefault="005B48FC" w:rsidP="005E6D28">
            <w:pPr>
              <w:jc w:val="left"/>
            </w:pPr>
            <w:r>
              <w:t>0.10</w:t>
            </w:r>
          </w:p>
        </w:tc>
        <w:tc>
          <w:tcPr>
            <w:tcW w:w="1260" w:type="dxa"/>
          </w:tcPr>
          <w:p w14:paraId="6D4C9030" w14:textId="36929A29" w:rsidR="005B48FC" w:rsidRDefault="005B48FC" w:rsidP="005E6D28">
            <w:pPr>
              <w:jc w:val="left"/>
            </w:pPr>
            <w:r>
              <w:t>0.1</w:t>
            </w:r>
            <w:r w:rsidR="00EE394B">
              <w:t>0</w:t>
            </w:r>
          </w:p>
        </w:tc>
      </w:tr>
      <w:tr w:rsidR="005B48FC" w14:paraId="5B559B37" w14:textId="77777777" w:rsidTr="000474C6">
        <w:trPr>
          <w:jc w:val="center"/>
        </w:trPr>
        <w:tc>
          <w:tcPr>
            <w:tcW w:w="336" w:type="dxa"/>
          </w:tcPr>
          <w:p w14:paraId="501D0AFF" w14:textId="52301C89" w:rsidR="005B48FC" w:rsidRDefault="005B48FC" w:rsidP="005E6D28">
            <w:pPr>
              <w:jc w:val="left"/>
            </w:pPr>
            <w:r>
              <w:t>2</w:t>
            </w:r>
          </w:p>
        </w:tc>
        <w:tc>
          <w:tcPr>
            <w:tcW w:w="1440" w:type="dxa"/>
          </w:tcPr>
          <w:p w14:paraId="377EEA4A" w14:textId="097B0936" w:rsidR="005B48FC" w:rsidRDefault="005B48FC" w:rsidP="005E6D28">
            <w:pPr>
              <w:jc w:val="left"/>
            </w:pPr>
            <w:r>
              <w:t>0.25</w:t>
            </w:r>
          </w:p>
        </w:tc>
        <w:tc>
          <w:tcPr>
            <w:tcW w:w="1260" w:type="dxa"/>
          </w:tcPr>
          <w:p w14:paraId="1AEEEF0E" w14:textId="3130F501" w:rsidR="005B48FC" w:rsidRDefault="005B48FC" w:rsidP="005E6D28">
            <w:pPr>
              <w:jc w:val="left"/>
            </w:pPr>
            <w:r>
              <w:t>0.1</w:t>
            </w:r>
            <w:r w:rsidR="00EE394B">
              <w:t>0</w:t>
            </w:r>
          </w:p>
        </w:tc>
      </w:tr>
      <w:tr w:rsidR="005B48FC" w14:paraId="07E7ADBB" w14:textId="77777777" w:rsidTr="000474C6">
        <w:trPr>
          <w:jc w:val="center"/>
        </w:trPr>
        <w:tc>
          <w:tcPr>
            <w:tcW w:w="336" w:type="dxa"/>
          </w:tcPr>
          <w:p w14:paraId="45CEE533" w14:textId="1AC38A2A" w:rsidR="005B48FC" w:rsidRDefault="005B48FC" w:rsidP="005E6D28">
            <w:pPr>
              <w:jc w:val="left"/>
            </w:pPr>
            <w:r>
              <w:t>3</w:t>
            </w:r>
          </w:p>
        </w:tc>
        <w:tc>
          <w:tcPr>
            <w:tcW w:w="1440" w:type="dxa"/>
          </w:tcPr>
          <w:p w14:paraId="7E30707B" w14:textId="1ED3FE48" w:rsidR="005B48FC" w:rsidRDefault="005B48FC" w:rsidP="005E6D28">
            <w:pPr>
              <w:jc w:val="left"/>
            </w:pPr>
            <w:r>
              <w:t>0.10</w:t>
            </w:r>
          </w:p>
        </w:tc>
        <w:tc>
          <w:tcPr>
            <w:tcW w:w="1260" w:type="dxa"/>
          </w:tcPr>
          <w:p w14:paraId="23582748" w14:textId="3E340699" w:rsidR="005B48FC" w:rsidRDefault="005B48FC" w:rsidP="005E6D28">
            <w:pPr>
              <w:jc w:val="left"/>
            </w:pPr>
            <w:r>
              <w:t>0.5</w:t>
            </w:r>
            <w:r w:rsidR="00EE394B">
              <w:t>0</w:t>
            </w:r>
          </w:p>
        </w:tc>
      </w:tr>
      <w:tr w:rsidR="005B48FC" w14:paraId="6F3D648D" w14:textId="77777777" w:rsidTr="000474C6">
        <w:trPr>
          <w:jc w:val="center"/>
        </w:trPr>
        <w:tc>
          <w:tcPr>
            <w:tcW w:w="336" w:type="dxa"/>
          </w:tcPr>
          <w:p w14:paraId="5D911944" w14:textId="5A98314B" w:rsidR="005B48FC" w:rsidRDefault="005B48FC" w:rsidP="005E6D28">
            <w:pPr>
              <w:jc w:val="left"/>
            </w:pPr>
            <w:r>
              <w:t>4</w:t>
            </w:r>
          </w:p>
        </w:tc>
        <w:tc>
          <w:tcPr>
            <w:tcW w:w="1440" w:type="dxa"/>
          </w:tcPr>
          <w:p w14:paraId="5E0097BA" w14:textId="581FF89A" w:rsidR="005B48FC" w:rsidRDefault="005B48FC" w:rsidP="005E6D28">
            <w:pPr>
              <w:jc w:val="left"/>
            </w:pPr>
            <w:r>
              <w:t>0.25</w:t>
            </w:r>
          </w:p>
        </w:tc>
        <w:tc>
          <w:tcPr>
            <w:tcW w:w="1260" w:type="dxa"/>
          </w:tcPr>
          <w:p w14:paraId="57C9AEA2" w14:textId="6CEDF040" w:rsidR="005B48FC" w:rsidRDefault="005B48FC" w:rsidP="005E6D28">
            <w:pPr>
              <w:jc w:val="left"/>
            </w:pPr>
            <w:r>
              <w:t>0.5</w:t>
            </w:r>
            <w:r w:rsidR="00EE394B">
              <w:t>0</w:t>
            </w:r>
          </w:p>
        </w:tc>
      </w:tr>
    </w:tbl>
    <w:p w14:paraId="581E0CD4" w14:textId="77777777" w:rsidR="005B48FC" w:rsidRDefault="005B48FC" w:rsidP="005E6D28">
      <w:pPr>
        <w:jc w:val="left"/>
      </w:pPr>
    </w:p>
    <w:p w14:paraId="00E866D8" w14:textId="1F4E2B8A" w:rsidR="00FF1791" w:rsidRDefault="00BB592B" w:rsidP="005E6D28">
      <w:pPr>
        <w:jc w:val="left"/>
      </w:pPr>
      <w:r>
        <w:t xml:space="preserve"> </w:t>
      </w:r>
      <w:r w:rsidR="00E90C3E">
        <w:t>For</w:t>
      </w:r>
      <w:r w:rsidR="005E6D28">
        <w:t xml:space="preserve"> this simulation, there were </w:t>
      </w:r>
      <w:r w:rsidR="00E90C3E">
        <w:t>5 other</w:t>
      </w:r>
      <w:r w:rsidR="005E6D28">
        <w:t xml:space="preserve"> baseline parameters. There were 1000 level 2 clusters</w:t>
      </w:r>
      <w:r w:rsidR="00E90C3E">
        <w:t xml:space="preserve"> with 100 individuals per cluster bringing </w:t>
      </w:r>
      <w:r w:rsidR="005E78CC">
        <w:t>the</w:t>
      </w:r>
      <w:r w:rsidR="00E90C3E">
        <w:t xml:space="preserve"> total number of </w:t>
      </w:r>
      <w:r w:rsidR="005E78CC">
        <w:t>participants</w:t>
      </w:r>
      <w:r w:rsidR="00E90C3E">
        <w:t xml:space="preserve"> to 100000 per dataset.</w:t>
      </w:r>
      <w:r w:rsidR="005E78CC">
        <w:t xml:space="preserve"> </w:t>
      </w:r>
      <w:r w:rsidR="0078352C">
        <w:t xml:space="preserve">The total variance of the outcome variable was set to be 100 while the mean </w:t>
      </w:r>
      <w:r w:rsidR="0021357A">
        <w:t xml:space="preserve">was set to be 25. </w:t>
      </w:r>
      <w:r w:rsidR="00084198">
        <w:t>The full set of parameters are shown in Table 2:</w:t>
      </w:r>
    </w:p>
    <w:p w14:paraId="14E91CC9" w14:textId="136701CC" w:rsidR="000474C6" w:rsidRPr="000474C6" w:rsidRDefault="000474C6" w:rsidP="000474C6">
      <w:r>
        <w:rPr>
          <w:b/>
          <w:bCs/>
        </w:rPr>
        <w:t xml:space="preserve">Table </w:t>
      </w:r>
      <w:proofErr w:type="gramStart"/>
      <w:r>
        <w:rPr>
          <w:b/>
          <w:bCs/>
        </w:rPr>
        <w:t>2 :</w:t>
      </w:r>
      <w:proofErr w:type="gramEnd"/>
      <w:r>
        <w:rPr>
          <w:b/>
          <w:bCs/>
        </w:rPr>
        <w:t xml:space="preserve"> </w:t>
      </w:r>
      <w:r>
        <w:t>List of Parameters</w:t>
      </w:r>
    </w:p>
    <w:tbl>
      <w:tblPr>
        <w:tblStyle w:val="TableGrid"/>
        <w:tblW w:w="0" w:type="auto"/>
        <w:jc w:val="center"/>
        <w:tblLook w:val="04A0" w:firstRow="1" w:lastRow="0" w:firstColumn="1" w:lastColumn="0" w:noHBand="0" w:noVBand="1"/>
      </w:tblPr>
      <w:tblGrid>
        <w:gridCol w:w="2554"/>
        <w:gridCol w:w="1440"/>
      </w:tblGrid>
      <w:tr w:rsidR="00084198" w14:paraId="7CE37F98" w14:textId="77777777" w:rsidTr="000474C6">
        <w:trPr>
          <w:jc w:val="center"/>
        </w:trPr>
        <w:tc>
          <w:tcPr>
            <w:tcW w:w="2554" w:type="dxa"/>
          </w:tcPr>
          <w:p w14:paraId="7C5E34D4" w14:textId="39ABD77E" w:rsidR="00084198" w:rsidRDefault="00084198" w:rsidP="00663339">
            <w:pPr>
              <w:jc w:val="left"/>
            </w:pPr>
            <w:r>
              <w:t>Parameter</w:t>
            </w:r>
          </w:p>
        </w:tc>
        <w:tc>
          <w:tcPr>
            <w:tcW w:w="1440" w:type="dxa"/>
          </w:tcPr>
          <w:p w14:paraId="451D90B7" w14:textId="4B1358FC" w:rsidR="00084198" w:rsidRDefault="00084198" w:rsidP="00663339">
            <w:pPr>
              <w:jc w:val="left"/>
            </w:pPr>
            <w:r>
              <w:t>Value</w:t>
            </w:r>
          </w:p>
        </w:tc>
      </w:tr>
      <w:tr w:rsidR="00084198" w14:paraId="46130619" w14:textId="77777777" w:rsidTr="000474C6">
        <w:trPr>
          <w:jc w:val="center"/>
        </w:trPr>
        <w:tc>
          <w:tcPr>
            <w:tcW w:w="2554" w:type="dxa"/>
          </w:tcPr>
          <w:p w14:paraId="3EA2D764" w14:textId="3526685B" w:rsidR="00084198" w:rsidRDefault="00084198" w:rsidP="00663339">
            <w:pPr>
              <w:jc w:val="left"/>
            </w:pPr>
            <w:r>
              <w:t>Number of Clusters (J)</w:t>
            </w:r>
          </w:p>
        </w:tc>
        <w:tc>
          <w:tcPr>
            <w:tcW w:w="1440" w:type="dxa"/>
          </w:tcPr>
          <w:p w14:paraId="082DE3D5" w14:textId="435423B3" w:rsidR="00084198" w:rsidRDefault="00084198" w:rsidP="00663339">
            <w:pPr>
              <w:jc w:val="left"/>
            </w:pPr>
            <w:r>
              <w:t>1000</w:t>
            </w:r>
          </w:p>
        </w:tc>
      </w:tr>
      <w:tr w:rsidR="00084198" w14:paraId="472BE9F4" w14:textId="77777777" w:rsidTr="000474C6">
        <w:trPr>
          <w:jc w:val="center"/>
        </w:trPr>
        <w:tc>
          <w:tcPr>
            <w:tcW w:w="2554" w:type="dxa"/>
          </w:tcPr>
          <w:p w14:paraId="62DDC559" w14:textId="58663BEF" w:rsidR="00084198" w:rsidRDefault="00084198" w:rsidP="00663339">
            <w:pPr>
              <w:jc w:val="left"/>
            </w:pPr>
            <w:r>
              <w:t>Individuals per cluster (</w:t>
            </w:r>
            <w:proofErr w:type="spellStart"/>
            <w:r>
              <w:t>nJ</w:t>
            </w:r>
            <w:proofErr w:type="spellEnd"/>
            <w:r>
              <w:t>)</w:t>
            </w:r>
          </w:p>
        </w:tc>
        <w:tc>
          <w:tcPr>
            <w:tcW w:w="1440" w:type="dxa"/>
          </w:tcPr>
          <w:p w14:paraId="70E8C01F" w14:textId="7A5EC725" w:rsidR="00084198" w:rsidRDefault="00084198" w:rsidP="00663339">
            <w:pPr>
              <w:jc w:val="left"/>
            </w:pPr>
            <w:r>
              <w:t>100</w:t>
            </w:r>
          </w:p>
        </w:tc>
      </w:tr>
      <w:tr w:rsidR="00084198" w14:paraId="003E0354" w14:textId="77777777" w:rsidTr="000474C6">
        <w:trPr>
          <w:jc w:val="center"/>
        </w:trPr>
        <w:tc>
          <w:tcPr>
            <w:tcW w:w="2554" w:type="dxa"/>
          </w:tcPr>
          <w:p w14:paraId="7ABAFE9E" w14:textId="29F02C9B" w:rsidR="00084198" w:rsidRDefault="00084198" w:rsidP="00663339">
            <w:pPr>
              <w:jc w:val="left"/>
            </w:pPr>
            <w:r>
              <w:t>ICC</w:t>
            </w:r>
          </w:p>
        </w:tc>
        <w:tc>
          <w:tcPr>
            <w:tcW w:w="1440" w:type="dxa"/>
          </w:tcPr>
          <w:p w14:paraId="72C6F073" w14:textId="71BB62AE" w:rsidR="00084198" w:rsidRDefault="00084198" w:rsidP="00663339">
            <w:pPr>
              <w:jc w:val="left"/>
            </w:pPr>
            <w:r>
              <w:t>[0.10, 0.25]</w:t>
            </w:r>
          </w:p>
        </w:tc>
      </w:tr>
      <w:tr w:rsidR="00084198" w14:paraId="6DF76D64" w14:textId="77777777" w:rsidTr="000474C6">
        <w:trPr>
          <w:jc w:val="center"/>
        </w:trPr>
        <w:tc>
          <w:tcPr>
            <w:tcW w:w="2554" w:type="dxa"/>
          </w:tcPr>
          <w:p w14:paraId="66126EDA" w14:textId="1569762B" w:rsidR="00084198" w:rsidRDefault="00084198" w:rsidP="00663339">
            <w:pPr>
              <w:jc w:val="left"/>
            </w:pPr>
            <w:r>
              <w:t>Total Variance of Outcome</w:t>
            </w:r>
          </w:p>
        </w:tc>
        <w:tc>
          <w:tcPr>
            <w:tcW w:w="1440" w:type="dxa"/>
          </w:tcPr>
          <w:p w14:paraId="6C338A05" w14:textId="6AF86D14" w:rsidR="00084198" w:rsidRDefault="00084198" w:rsidP="00663339">
            <w:pPr>
              <w:jc w:val="left"/>
            </w:pPr>
            <w:r>
              <w:t>100</w:t>
            </w:r>
          </w:p>
        </w:tc>
      </w:tr>
      <w:tr w:rsidR="00084198" w14:paraId="23CE24D9" w14:textId="77777777" w:rsidTr="000474C6">
        <w:trPr>
          <w:jc w:val="center"/>
        </w:trPr>
        <w:tc>
          <w:tcPr>
            <w:tcW w:w="2554" w:type="dxa"/>
          </w:tcPr>
          <w:p w14:paraId="7E4F1FE2" w14:textId="01F27527" w:rsidR="00084198" w:rsidRDefault="00084198" w:rsidP="00663339">
            <w:pPr>
              <w:jc w:val="left"/>
            </w:pPr>
            <w:r>
              <w:t>Mean of Outcome</w:t>
            </w:r>
          </w:p>
        </w:tc>
        <w:tc>
          <w:tcPr>
            <w:tcW w:w="1440" w:type="dxa"/>
          </w:tcPr>
          <w:p w14:paraId="3C870B6D" w14:textId="05C6F629" w:rsidR="00084198" w:rsidRDefault="00084198" w:rsidP="00663339">
            <w:pPr>
              <w:jc w:val="left"/>
            </w:pPr>
            <w:r>
              <w:t>25</w:t>
            </w:r>
          </w:p>
        </w:tc>
      </w:tr>
      <w:tr w:rsidR="00084198" w14:paraId="3A55BEBE" w14:textId="77777777" w:rsidTr="000474C6">
        <w:trPr>
          <w:jc w:val="center"/>
        </w:trPr>
        <w:tc>
          <w:tcPr>
            <w:tcW w:w="2554" w:type="dxa"/>
          </w:tcPr>
          <w:p w14:paraId="7DA389D5" w14:textId="7E9DF461" w:rsidR="00084198" w:rsidRDefault="00084198" w:rsidP="00663339">
            <w:pPr>
              <w:jc w:val="left"/>
            </w:pPr>
            <w:r>
              <w:t>Cohen’s D</w:t>
            </w:r>
          </w:p>
        </w:tc>
        <w:tc>
          <w:tcPr>
            <w:tcW w:w="1440" w:type="dxa"/>
          </w:tcPr>
          <w:p w14:paraId="05EB98E8" w14:textId="38319837" w:rsidR="00084198" w:rsidRDefault="00084198" w:rsidP="00663339">
            <w:pPr>
              <w:jc w:val="left"/>
            </w:pPr>
            <w:r>
              <w:t>[0.10, 0.50]</w:t>
            </w:r>
          </w:p>
        </w:tc>
      </w:tr>
    </w:tbl>
    <w:p w14:paraId="0FC6DF0D" w14:textId="77777777" w:rsidR="00084198" w:rsidRDefault="00084198" w:rsidP="005E6D28">
      <w:pPr>
        <w:jc w:val="left"/>
      </w:pPr>
    </w:p>
    <w:p w14:paraId="7011AE55" w14:textId="3640617F" w:rsidR="003A2615" w:rsidRDefault="00CE61D0" w:rsidP="00FF1791">
      <w:pPr>
        <w:ind w:firstLine="720"/>
        <w:jc w:val="left"/>
      </w:pPr>
      <w:r>
        <w:t>The data generating model was based on Equation 1 below:</w:t>
      </w:r>
      <w:r w:rsidR="00FF1791">
        <w:t xml:space="preserve"> </w:t>
      </w:r>
    </w:p>
    <w:p w14:paraId="5EE92784" w14:textId="23D93692" w:rsidR="00FF1791" w:rsidRPr="00FF1791" w:rsidRDefault="00FF1791" w:rsidP="00FF1791">
      <w:pPr>
        <w:ind w:firstLine="720"/>
        <w:jc w:val="left"/>
        <w:rPr>
          <w:rFonts w:eastAsiaTheme="minorEastAsia"/>
        </w:rPr>
      </w:pPr>
      <m:oMathPara>
        <m:oMath>
          <m:r>
            <w:rPr>
              <w:rFonts w:ascii="Cambria Math" w:hAnsi="Cambria Math"/>
            </w:rPr>
            <w:lastRenderedPageBreak/>
            <m:t xml:space="preserve">y=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oMath>
      </m:oMathPara>
    </w:p>
    <w:p w14:paraId="5F0F3B48" w14:textId="5AA84358" w:rsidR="00FF1791" w:rsidRPr="0066510A" w:rsidRDefault="00827872" w:rsidP="00FF1791">
      <w:pPr>
        <w:ind w:firstLine="720"/>
        <w:jc w:val="left"/>
        <w:rPr>
          <w:rFonts w:eastAsiaTheme="minorEastAsia"/>
        </w:rPr>
      </w:pPr>
      <m:oMathPara>
        <m:oMathParaPr>
          <m:jc m:val="right"/>
        </m:oMathParaPr>
        <m:oMath>
          <m:sSub>
            <m:sSubPr>
              <m:ctrlPr>
                <w:rPr>
                  <w:rFonts w:ascii="Cambria Math" w:hAnsi="Cambria Math"/>
                  <w:i/>
                </w:rPr>
              </m:ctrlPr>
            </m:sSubPr>
            <m:e>
              <m:r>
                <w:rPr>
                  <w:rFonts w:ascii="Cambria Math" w:hAnsi="Cambria Math"/>
                </w:rPr>
                <m:t>β</m:t>
              </m:r>
            </m:e>
            <m:sub>
              <m:r>
                <w:rPr>
                  <w:rFonts w:ascii="Cambria Math" w:hAnsi="Cambria Math"/>
                </w:rPr>
                <m:t>oj</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0j</m:t>
              </m:r>
            </m:sub>
          </m:sSub>
          <m:r>
            <w:rPr>
              <w:rFonts w:ascii="Cambria Math" w:hAnsi="Cambria Math"/>
            </w:rPr>
            <m:t xml:space="preserve">                                                                              (1)</m:t>
          </m:r>
        </m:oMath>
      </m:oMathPara>
    </w:p>
    <w:p w14:paraId="6324F880" w14:textId="6E617726" w:rsidR="00FF1791" w:rsidRDefault="00C43984" w:rsidP="00FF1791">
      <w:pPr>
        <w:ind w:firstLine="720"/>
        <w:jc w:val="left"/>
      </w:pPr>
      <w:r>
        <w:rPr>
          <w:rFonts w:eastAsiaTheme="minorEastAsia"/>
        </w:rPr>
        <w:t>Generating the model was done throu</w:t>
      </w:r>
      <w:r w:rsidR="00520201">
        <w:rPr>
          <w:rFonts w:eastAsiaTheme="minorEastAsia"/>
        </w:rPr>
        <w:t>gh a function that determined that set up each part of the dataset. First the ids for both levels were set through simple vector creation. The treatment indicator was set at the second level by giving half of the level 2 ids a value of 1 and the other half a value of 0. The variances at each level</w:t>
      </w:r>
      <w:r w:rsidR="00C90809">
        <w:rPr>
          <w:rFonts w:eastAsiaTheme="minorEastAsia"/>
        </w:rPr>
        <w:t xml:space="preserve"> </w:t>
      </w:r>
      <w:proofErr w:type="gramStart"/>
      <w:r w:rsidR="00C90809">
        <w:rPr>
          <w:rFonts w:eastAsiaTheme="minorEastAsia"/>
        </w:rPr>
        <w:t>was</w:t>
      </w:r>
      <w:proofErr w:type="gramEnd"/>
      <w:r w:rsidR="00C90809">
        <w:rPr>
          <w:rFonts w:eastAsiaTheme="minorEastAsia"/>
        </w:rPr>
        <w:t xml:space="preserve"> then determined. </w:t>
      </w:r>
      <w:r w:rsidR="0066510A">
        <w:rPr>
          <w:rFonts w:eastAsiaTheme="minorEastAsia"/>
        </w:rPr>
        <w:t>The</w:t>
      </w:r>
      <w:r w:rsidR="00C90809">
        <w:rPr>
          <w:rFonts w:eastAsiaTheme="minorEastAsia"/>
        </w:rPr>
        <w:t xml:space="preserve"> variance at level </w:t>
      </w:r>
      <w:r w:rsidR="0066510A">
        <w:rPr>
          <w:rFonts w:eastAsiaTheme="minorEastAsia"/>
        </w:rPr>
        <w:t>is shown in</w:t>
      </w:r>
      <w:r w:rsidR="0066510A">
        <w:t xml:space="preserve"> Equation 2 while the total variance at level 2 is shown in Equation 3</w:t>
      </w:r>
    </w:p>
    <w:p w14:paraId="04C9524F" w14:textId="735AF2B4" w:rsidR="0066510A" w:rsidRPr="0066510A" w:rsidRDefault="00E31B58" w:rsidP="0066510A">
      <w:pPr>
        <w:ind w:firstLine="720"/>
        <w:rPr>
          <w:rFonts w:eastAsiaTheme="minorEastAsia"/>
        </w:rPr>
      </w:pPr>
      <m:oMathPara>
        <m:oMathParaPr>
          <m:jc m:val="right"/>
        </m:oMathParaPr>
        <m:oMath>
          <m:r>
            <w:rPr>
              <w:rFonts w:ascii="Cambria Math" w:hAnsi="Cambria Math"/>
            </w:rPr>
            <m:t>L</m:t>
          </m:r>
          <m:sSub>
            <m:sSubPr>
              <m:ctrlPr>
                <w:rPr>
                  <w:rFonts w:ascii="Cambria Math" w:hAnsi="Cambria Math"/>
                  <w:i/>
                </w:rPr>
              </m:ctrlPr>
            </m:sSubPr>
            <m:e>
              <m:sSub>
                <m:sSubPr>
                  <m:ctrlPr>
                    <w:rPr>
                      <w:rFonts w:ascii="Cambria Math" w:hAnsi="Cambria Math"/>
                      <w:i/>
                    </w:rPr>
                  </m:ctrlPr>
                </m:sSubPr>
                <m:e>
                  <m:r>
                    <w:rPr>
                      <w:rFonts w:ascii="Cambria Math" w:hAnsi="Cambria Math"/>
                    </w:rPr>
                    <m:t>1</m:t>
                  </m:r>
                </m:e>
                <m:sub>
                  <m:r>
                    <w:rPr>
                      <w:rFonts w:ascii="Cambria Math" w:hAnsi="Cambria Math"/>
                    </w:rPr>
                    <m:t>Total</m:t>
                  </m:r>
                </m:sub>
              </m:sSub>
            </m:e>
            <m:sub>
              <m:r>
                <w:rPr>
                  <w:rFonts w:ascii="Cambria Math" w:hAnsi="Cambria Math"/>
                </w:rPr>
                <m:t>Variance</m:t>
              </m:r>
            </m:sub>
          </m:sSub>
          <m:r>
            <w:rPr>
              <w:rFonts w:ascii="Cambria Math" w:hAnsi="Cambria Math"/>
            </w:rPr>
            <m:t>= Total Outcome Variance*</m:t>
          </m:r>
          <m:d>
            <m:dPr>
              <m:ctrlPr>
                <w:rPr>
                  <w:rFonts w:ascii="Cambria Math" w:hAnsi="Cambria Math"/>
                  <w:i/>
                </w:rPr>
              </m:ctrlPr>
            </m:dPr>
            <m:e>
              <m:r>
                <w:rPr>
                  <w:rFonts w:ascii="Cambria Math" w:hAnsi="Cambria Math"/>
                </w:rPr>
                <m:t>1-ICC</m:t>
              </m:r>
            </m:e>
          </m:d>
          <m:r>
            <w:rPr>
              <w:rFonts w:ascii="Cambria Math" w:hAnsi="Cambria Math"/>
            </w:rPr>
            <m:t xml:space="preserve">         (2)</m:t>
          </m:r>
        </m:oMath>
      </m:oMathPara>
    </w:p>
    <w:p w14:paraId="6AB6E4B1" w14:textId="52A67DC0" w:rsidR="0066510A" w:rsidRPr="0066510A" w:rsidRDefault="00E31B58" w:rsidP="0066510A">
      <w:pPr>
        <w:ind w:firstLine="720"/>
        <w:rPr>
          <w:rFonts w:eastAsiaTheme="minorEastAsia"/>
        </w:rPr>
      </w:pPr>
      <m:oMathPara>
        <m:oMathParaPr>
          <m:jc m:val="right"/>
        </m:oMathParaPr>
        <m:oMath>
          <m:r>
            <w:rPr>
              <w:rFonts w:ascii="Cambria Math" w:hAnsi="Cambria Math"/>
            </w:rPr>
            <m:t>L</m:t>
          </m:r>
          <m:sSub>
            <m:sSubPr>
              <m:ctrlPr>
                <w:rPr>
                  <w:rFonts w:ascii="Cambria Math" w:hAnsi="Cambria Math"/>
                  <w:i/>
                </w:rPr>
              </m:ctrlPr>
            </m:sSubPr>
            <m:e>
              <m:sSub>
                <m:sSubPr>
                  <m:ctrlPr>
                    <w:rPr>
                      <w:rFonts w:ascii="Cambria Math" w:hAnsi="Cambria Math"/>
                      <w:i/>
                    </w:rPr>
                  </m:ctrlPr>
                </m:sSubPr>
                <m:e>
                  <m:r>
                    <w:rPr>
                      <w:rFonts w:ascii="Cambria Math" w:hAnsi="Cambria Math"/>
                    </w:rPr>
                    <m:t>2</m:t>
                  </m:r>
                </m:e>
                <m:sub>
                  <m:r>
                    <w:rPr>
                      <w:rFonts w:ascii="Cambria Math" w:hAnsi="Cambria Math"/>
                    </w:rPr>
                    <m:t>Total</m:t>
                  </m:r>
                </m:sub>
              </m:sSub>
            </m:e>
            <m:sub>
              <m:r>
                <w:rPr>
                  <w:rFonts w:ascii="Cambria Math" w:hAnsi="Cambria Math"/>
                </w:rPr>
                <m:t>Variance</m:t>
              </m:r>
            </m:sub>
          </m:sSub>
          <m:r>
            <w:rPr>
              <w:rFonts w:ascii="Cambria Math" w:hAnsi="Cambria Math"/>
            </w:rPr>
            <m:t>= Total Outcome Variance*</m:t>
          </m:r>
          <m:d>
            <m:dPr>
              <m:ctrlPr>
                <w:rPr>
                  <w:rFonts w:ascii="Cambria Math" w:hAnsi="Cambria Math"/>
                  <w:i/>
                </w:rPr>
              </m:ctrlPr>
            </m:dPr>
            <m:e>
              <m:r>
                <w:rPr>
                  <w:rFonts w:ascii="Cambria Math" w:hAnsi="Cambria Math"/>
                </w:rPr>
                <m:t>ICC</m:t>
              </m:r>
            </m:e>
          </m:d>
          <m:r>
            <w:rPr>
              <w:rFonts w:ascii="Cambria Math" w:hAnsi="Cambria Math"/>
            </w:rPr>
            <m:t xml:space="preserve">                 (3)</m:t>
          </m:r>
        </m:oMath>
      </m:oMathPara>
    </w:p>
    <w:p w14:paraId="3F61D3FB" w14:textId="3C0DC356" w:rsidR="0066510A" w:rsidRDefault="0066510A" w:rsidP="0066510A">
      <w:pPr>
        <w:jc w:val="left"/>
        <w:rPr>
          <w:rFonts w:eastAsiaTheme="minorEastAsia"/>
        </w:rPr>
      </w:pPr>
      <w:r>
        <w:rPr>
          <w:rFonts w:eastAsiaTheme="minorEastAsia"/>
        </w:rPr>
        <w:tab/>
        <w:t>Gamma 1 (γ</w:t>
      </w:r>
      <w:r>
        <w:rPr>
          <w:rFonts w:eastAsiaTheme="minorEastAsia"/>
        </w:rPr>
        <w:softHyphen/>
      </w:r>
      <w:r>
        <w:rPr>
          <w:rFonts w:eastAsiaTheme="minorEastAsia"/>
          <w:vertAlign w:val="subscript"/>
        </w:rPr>
        <w:t>1</w:t>
      </w:r>
      <w:r>
        <w:rPr>
          <w:rFonts w:eastAsiaTheme="minorEastAsia"/>
        </w:rPr>
        <w:t>) was determined based on the Cohen’s D value and the standard deviation of the outcome and is shown in Equation 4</w:t>
      </w:r>
    </w:p>
    <w:p w14:paraId="770B9D12" w14:textId="36AD7EE1" w:rsidR="0066510A" w:rsidRPr="0031766D" w:rsidRDefault="00827872" w:rsidP="0031766D">
      <w:pPr>
        <w:jc w:val="right"/>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r>
            <w:rPr>
              <w:rFonts w:ascii="Cambria Math" w:eastAsiaTheme="minorEastAsia" w:hAnsi="Cambria Math"/>
            </w:rPr>
            <m:t>=d*sqrt</m:t>
          </m:r>
          <m:d>
            <m:dPr>
              <m:ctrlPr>
                <w:rPr>
                  <w:rFonts w:ascii="Cambria Math" w:eastAsiaTheme="minorEastAsia" w:hAnsi="Cambria Math"/>
                  <w:i/>
                </w:rPr>
              </m:ctrlPr>
            </m:dPr>
            <m:e>
              <m:r>
                <w:rPr>
                  <w:rFonts w:ascii="Cambria Math" w:eastAsiaTheme="minorEastAsia" w:hAnsi="Cambria Math"/>
                </w:rPr>
                <m:t>Total Outcome Variance</m:t>
              </m:r>
            </m:e>
          </m:d>
          <m:r>
            <w:rPr>
              <w:rFonts w:ascii="Cambria Math" w:eastAsiaTheme="minorEastAsia" w:hAnsi="Cambria Math"/>
            </w:rPr>
            <m:t xml:space="preserve">                                      (4)</m:t>
          </m:r>
        </m:oMath>
      </m:oMathPara>
    </w:p>
    <w:p w14:paraId="38E95E66" w14:textId="2985EE33" w:rsidR="0031766D" w:rsidRDefault="0031766D" w:rsidP="0031766D">
      <w:pPr>
        <w:jc w:val="left"/>
        <w:rPr>
          <w:rFonts w:eastAsiaTheme="minorEastAsia"/>
        </w:rPr>
      </w:pPr>
      <w:r>
        <w:rPr>
          <w:rFonts w:eastAsiaTheme="minorEastAsia"/>
        </w:rPr>
        <w:tab/>
      </w:r>
      <w:r w:rsidR="00BD40A4">
        <w:rPr>
          <w:rFonts w:eastAsiaTheme="minorEastAsia"/>
        </w:rPr>
        <w:t xml:space="preserve">The </w:t>
      </w:r>
      <w:r w:rsidR="00140B45">
        <w:rPr>
          <w:rFonts w:eastAsiaTheme="minorEastAsia"/>
        </w:rPr>
        <w:t xml:space="preserve">portion of the outcome variable from within effects </w:t>
      </w:r>
      <w:r w:rsidR="00BD40A4">
        <w:rPr>
          <w:rFonts w:eastAsiaTheme="minorEastAsia"/>
        </w:rPr>
        <w:t>was determined using a normal distribution displayed in equation 5.</w:t>
      </w:r>
    </w:p>
    <w:p w14:paraId="7198396A" w14:textId="621CE652" w:rsidR="00BD40A4" w:rsidRPr="00036FC0" w:rsidRDefault="00BD40A4" w:rsidP="00BD40A4">
      <w:pPr>
        <w:rPr>
          <w:rFonts w:eastAsiaTheme="minorEastAsia"/>
          <w:i/>
        </w:rPr>
      </w:pPr>
      <m:oMathPara>
        <m:oMathParaPr>
          <m:jc m:val="right"/>
        </m:oMathParaPr>
        <m:oMath>
          <m:r>
            <w:rPr>
              <w:rFonts w:ascii="Cambria Math" w:eastAsiaTheme="minorEastAsia" w:hAnsi="Cambria Math"/>
            </w:rPr>
            <m:t>Outcome Within=N</m:t>
          </m:r>
          <m:d>
            <m:dPr>
              <m:ctrlPr>
                <w:rPr>
                  <w:rFonts w:ascii="Cambria Math" w:eastAsiaTheme="minorEastAsia" w:hAnsi="Cambria Math"/>
                  <w:i/>
                </w:rPr>
              </m:ctrlPr>
            </m:dPr>
            <m:e>
              <m:r>
                <w:rPr>
                  <w:rFonts w:ascii="Cambria Math" w:eastAsiaTheme="minorEastAsia" w:hAnsi="Cambria Math"/>
                </w:rPr>
                <m:t>Outcome Mean, L</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Tota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Variance</m:t>
                      </m:r>
                    </m:sub>
                  </m:sSub>
                </m:sub>
              </m:sSub>
            </m:e>
          </m:d>
          <m:r>
            <w:rPr>
              <w:rFonts w:ascii="Cambria Math" w:eastAsiaTheme="minorEastAsia" w:hAnsi="Cambria Math"/>
            </w:rPr>
            <m:t xml:space="preserve">            (5)</m:t>
          </m:r>
        </m:oMath>
      </m:oMathPara>
    </w:p>
    <w:p w14:paraId="3B58C199" w14:textId="428A6159" w:rsidR="00A44F9B" w:rsidRDefault="00036FC0" w:rsidP="00036FC0">
      <w:pPr>
        <w:jc w:val="left"/>
        <w:rPr>
          <w:rFonts w:eastAsiaTheme="minorEastAsia"/>
          <w:iCs/>
        </w:rPr>
      </w:pPr>
      <w:r>
        <w:rPr>
          <w:rFonts w:eastAsiaTheme="minorEastAsia"/>
          <w:iCs/>
        </w:rPr>
        <w:tab/>
      </w:r>
      <w:r w:rsidR="00A44F9B">
        <w:rPr>
          <w:rFonts w:eastAsiaTheme="minorEastAsia"/>
          <w:iCs/>
        </w:rPr>
        <w:t>The Level 2 Variance Explained was determined using the ICC and the gamma from equation (4) and is displayed in equation (6)</w:t>
      </w:r>
      <w:r w:rsidR="00E31B58">
        <w:rPr>
          <w:rFonts w:eastAsiaTheme="minorEastAsia"/>
          <w:iCs/>
        </w:rPr>
        <w:t xml:space="preserve">. The residual variance was determined by subtracting the level 2 variance explained from the total level 2 variance (7). </w:t>
      </w:r>
    </w:p>
    <w:p w14:paraId="720FEF42" w14:textId="41D3F713" w:rsidR="00A44F9B" w:rsidRPr="00E31B58" w:rsidRDefault="00E31B58" w:rsidP="00BC5AA1">
      <w:pPr>
        <w:jc w:val="right"/>
        <w:rPr>
          <w:rFonts w:eastAsiaTheme="minorEastAsia"/>
        </w:rPr>
      </w:pPr>
      <m:oMathPara>
        <m:oMathParaPr>
          <m:jc m:val="right"/>
        </m:oMathParaPr>
        <m:oMath>
          <m:r>
            <w:rPr>
              <w:rFonts w:ascii="Cambria Math" w:eastAsiaTheme="minorEastAsia" w:hAnsi="Cambria Math"/>
            </w:rPr>
            <m:t>L</m:t>
          </m:r>
          <m:sSub>
            <m:sSubPr>
              <m:ctrlPr>
                <w:rPr>
                  <w:rFonts w:ascii="Cambria Math" w:eastAsiaTheme="minorEastAsia" w:hAnsi="Cambria Math"/>
                  <w:i/>
                  <w:iCs/>
                </w:rPr>
              </m:ctrlPr>
            </m:sSubPr>
            <m:e>
              <m:sSub>
                <m:sSubPr>
                  <m:ctrlPr>
                    <w:rPr>
                      <w:rFonts w:ascii="Cambria Math" w:eastAsiaTheme="minorEastAsia" w:hAnsi="Cambria Math"/>
                      <w:i/>
                      <w:iCs/>
                    </w:rPr>
                  </m:ctrlPr>
                </m:sSubPr>
                <m:e>
                  <m:r>
                    <w:rPr>
                      <w:rFonts w:ascii="Cambria Math" w:eastAsiaTheme="minorEastAsia" w:hAnsi="Cambria Math"/>
                    </w:rPr>
                    <m:t>2</m:t>
                  </m:r>
                </m:e>
                <m:sub>
                  <m:r>
                    <w:rPr>
                      <w:rFonts w:ascii="Cambria Math" w:eastAsiaTheme="minorEastAsia" w:hAnsi="Cambria Math"/>
                    </w:rPr>
                    <m:t>Variance</m:t>
                  </m:r>
                </m:sub>
              </m:sSub>
            </m:e>
            <m:sub>
              <m:r>
                <w:rPr>
                  <w:rFonts w:ascii="Cambria Math" w:eastAsiaTheme="minorEastAsia" w:hAnsi="Cambria Math"/>
                </w:rPr>
                <m:t>Explained</m:t>
              </m:r>
            </m:sub>
          </m:sSub>
          <m:r>
            <w:rPr>
              <w:rFonts w:ascii="Cambria Math" w:eastAsiaTheme="minorEastAsia" w:hAnsi="Cambria Math"/>
            </w:rPr>
            <m:t>=ICC*</m:t>
          </m:r>
          <m:sSubSup>
            <m:sSubSupPr>
              <m:ctrlPr>
                <w:rPr>
                  <w:rFonts w:ascii="Cambria Math" w:eastAsiaTheme="minorEastAsia" w:hAnsi="Cambria Math"/>
                  <w:i/>
                </w:rPr>
              </m:ctrlPr>
            </m:sSubSupPr>
            <m:e>
              <m:r>
                <w:rPr>
                  <w:rFonts w:ascii="Cambria Math" w:eastAsiaTheme="minorEastAsia" w:hAnsi="Cambria Math"/>
                </w:rPr>
                <m:t>γ</m:t>
              </m:r>
              <m:ctrlPr>
                <w:rPr>
                  <w:rFonts w:ascii="Cambria Math" w:eastAsiaTheme="minorEastAsia" w:hAnsi="Cambria Math"/>
                  <w:i/>
                  <w:iCs/>
                </w:rPr>
              </m:ctrlP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6</m:t>
              </m:r>
            </m:e>
          </m:d>
        </m:oMath>
      </m:oMathPara>
    </w:p>
    <w:p w14:paraId="7BBA7083" w14:textId="13B5B00F" w:rsidR="00E31B58" w:rsidRPr="00140B45" w:rsidRDefault="00E31B58" w:rsidP="00BC5AA1">
      <w:pPr>
        <w:jc w:val="right"/>
        <w:rPr>
          <w:rFonts w:eastAsiaTheme="minorEastAsia"/>
        </w:rPr>
      </w:pPr>
      <m:oMathPara>
        <m:oMathParaPr>
          <m:jc m:val="right"/>
        </m:oMathParaPr>
        <m:oMath>
          <m:r>
            <w:rPr>
              <w:rFonts w:ascii="Cambria Math" w:eastAsiaTheme="minorEastAsia" w:hAnsi="Cambria Math"/>
            </w:rPr>
            <m:t>L</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Residual</m:t>
                  </m:r>
                </m:sub>
              </m:sSub>
            </m:e>
            <m:sub>
              <m:r>
                <w:rPr>
                  <w:rFonts w:ascii="Cambria Math" w:eastAsiaTheme="minorEastAsia" w:hAnsi="Cambria Math"/>
                </w:rPr>
                <m:t>Variance</m:t>
              </m:r>
            </m:sub>
          </m:sSub>
          <m:r>
            <w:rPr>
              <w:rFonts w:ascii="Cambria Math" w:eastAsiaTheme="minorEastAsia" w:hAnsi="Cambria Math"/>
            </w:rPr>
            <m:t>=L</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Total</m:t>
                  </m:r>
                </m:sub>
              </m:sSub>
            </m:e>
            <m:sub>
              <m:r>
                <w:rPr>
                  <w:rFonts w:ascii="Cambria Math" w:eastAsiaTheme="minorEastAsia" w:hAnsi="Cambria Math"/>
                </w:rPr>
                <m:t>Variance</m:t>
              </m:r>
            </m:sub>
          </m:sSub>
          <m:r>
            <w:rPr>
              <w:rFonts w:ascii="Cambria Math" w:eastAsiaTheme="minorEastAsia" w:hAnsi="Cambria Math"/>
            </w:rPr>
            <m:t>- L</m:t>
          </m:r>
          <m:sSub>
            <m:sSubPr>
              <m:ctrlPr>
                <w:rPr>
                  <w:rFonts w:ascii="Cambria Math" w:eastAsiaTheme="minorEastAsia" w:hAnsi="Cambria Math"/>
                  <w:i/>
                  <w:iCs/>
                </w:rPr>
              </m:ctrlPr>
            </m:sSubPr>
            <m:e>
              <m:sSub>
                <m:sSubPr>
                  <m:ctrlPr>
                    <w:rPr>
                      <w:rFonts w:ascii="Cambria Math" w:eastAsiaTheme="minorEastAsia" w:hAnsi="Cambria Math"/>
                      <w:i/>
                      <w:iCs/>
                    </w:rPr>
                  </m:ctrlPr>
                </m:sSubPr>
                <m:e>
                  <m:r>
                    <w:rPr>
                      <w:rFonts w:ascii="Cambria Math" w:eastAsiaTheme="minorEastAsia" w:hAnsi="Cambria Math"/>
                    </w:rPr>
                    <m:t>2</m:t>
                  </m:r>
                </m:e>
                <m:sub>
                  <m:r>
                    <w:rPr>
                      <w:rFonts w:ascii="Cambria Math" w:eastAsiaTheme="minorEastAsia" w:hAnsi="Cambria Math"/>
                    </w:rPr>
                    <m:t>Variance</m:t>
                  </m:r>
                </m:sub>
              </m:sSub>
            </m:e>
            <m:sub>
              <m:r>
                <w:rPr>
                  <w:rFonts w:ascii="Cambria Math" w:eastAsiaTheme="minorEastAsia" w:hAnsi="Cambria Math"/>
                </w:rPr>
                <m:t>Explained</m:t>
              </m:r>
            </m:sub>
          </m:sSub>
          <m:r>
            <w:rPr>
              <w:rFonts w:ascii="Cambria Math" w:eastAsiaTheme="minorEastAsia" w:hAnsi="Cambria Math"/>
            </w:rPr>
            <m:t xml:space="preserve">                          (7)</m:t>
          </m:r>
        </m:oMath>
      </m:oMathPara>
    </w:p>
    <w:p w14:paraId="0FD4887F" w14:textId="0262D236" w:rsidR="00BC5AA1" w:rsidRDefault="00E31B58" w:rsidP="00BC5AA1">
      <w:pPr>
        <w:jc w:val="left"/>
        <w:rPr>
          <w:rFonts w:eastAsiaTheme="minorEastAsia"/>
        </w:rPr>
      </w:pPr>
      <w:r>
        <w:rPr>
          <w:rFonts w:eastAsiaTheme="minorEastAsia"/>
        </w:rPr>
        <w:lastRenderedPageBreak/>
        <w:tab/>
      </w:r>
      <w:r w:rsidR="00140B45">
        <w:rPr>
          <w:rFonts w:eastAsiaTheme="minorEastAsia"/>
        </w:rPr>
        <w:t>The between outcome effect was determined by using Equation 8</w:t>
      </w:r>
      <w:r w:rsidR="00B108D0">
        <w:rPr>
          <w:rFonts w:eastAsiaTheme="minorEastAsia"/>
        </w:rPr>
        <w:t>. The treatment variable was multiplied by γ</w:t>
      </w:r>
      <w:r w:rsidR="00B108D0">
        <w:rPr>
          <w:rFonts w:eastAsiaTheme="minorEastAsia"/>
        </w:rPr>
        <w:softHyphen/>
      </w:r>
      <w:r w:rsidR="00B108D0">
        <w:rPr>
          <w:rFonts w:eastAsiaTheme="minorEastAsia"/>
          <w:vertAlign w:val="subscript"/>
        </w:rPr>
        <w:t>1</w:t>
      </w:r>
      <w:r w:rsidR="00B108D0">
        <w:rPr>
          <w:rFonts w:eastAsiaTheme="minorEastAsia"/>
          <w:vertAlign w:val="subscript"/>
        </w:rPr>
        <w:softHyphen/>
        <w:t xml:space="preserve"> </w:t>
      </w:r>
      <w:r w:rsidR="00B108D0">
        <w:rPr>
          <w:rFonts w:eastAsiaTheme="minorEastAsia"/>
        </w:rPr>
        <w:t>and then added to a normal distribution to account for the level 2</w:t>
      </w:r>
      <w:r w:rsidR="00867852">
        <w:rPr>
          <w:rFonts w:eastAsiaTheme="minorEastAsia"/>
        </w:rPr>
        <w:t>. This</w:t>
      </w:r>
      <w:r w:rsidR="00140B45">
        <w:rPr>
          <w:rFonts w:eastAsiaTheme="minorEastAsia"/>
        </w:rPr>
        <w:t xml:space="preserve"> was then added to the within portion of the outcome </w:t>
      </w:r>
      <w:r w:rsidR="00867852">
        <w:rPr>
          <w:rFonts w:eastAsiaTheme="minorEastAsia"/>
        </w:rPr>
        <w:t>to determine the total value of the outcome variable</w:t>
      </w:r>
      <w:r w:rsidR="00B108D0">
        <w:rPr>
          <w:rFonts w:eastAsiaTheme="minorEastAsia"/>
        </w:rPr>
        <w:t xml:space="preserve"> (9)</w:t>
      </w:r>
      <w:r w:rsidR="00867852">
        <w:rPr>
          <w:rFonts w:eastAsiaTheme="minorEastAsia"/>
        </w:rPr>
        <w:t xml:space="preserve">. </w:t>
      </w:r>
    </w:p>
    <w:p w14:paraId="62462931" w14:textId="1C4FC223" w:rsidR="00B108D0" w:rsidRPr="00C17634" w:rsidRDefault="00B108D0" w:rsidP="00B108D0">
      <w:pPr>
        <w:rPr>
          <w:rFonts w:eastAsiaTheme="minorEastAsia"/>
        </w:rPr>
      </w:pPr>
      <m:oMathPara>
        <m:oMathParaPr>
          <m:jc m:val="right"/>
        </m:oMathParaPr>
        <m:oMath>
          <m:r>
            <w:rPr>
              <w:rFonts w:ascii="Cambria Math" w:eastAsiaTheme="minorEastAsia" w:hAnsi="Cambria Math"/>
            </w:rPr>
            <m:t>Outcome Between=Treat*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 L</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Total</m:t>
                      </m:r>
                    </m:sub>
                  </m:sSub>
                </m:e>
                <m:sub>
                  <m:r>
                    <w:rPr>
                      <w:rFonts w:ascii="Cambria Math" w:eastAsiaTheme="minorEastAsia" w:hAnsi="Cambria Math"/>
                    </w:rPr>
                    <m:t>Variance</m:t>
                  </m:r>
                </m:sub>
              </m:sSub>
            </m:e>
          </m:d>
          <m:r>
            <w:rPr>
              <w:rFonts w:ascii="Cambria Math" w:eastAsiaTheme="minorEastAsia" w:hAnsi="Cambria Math"/>
            </w:rPr>
            <m:t xml:space="preserve">                     (8)</m:t>
          </m:r>
        </m:oMath>
      </m:oMathPara>
    </w:p>
    <w:p w14:paraId="3AD77A47" w14:textId="6D02B377" w:rsidR="00C17634" w:rsidRPr="00C17634" w:rsidRDefault="00C17634" w:rsidP="00B108D0">
      <w:pPr>
        <w:rPr>
          <w:rFonts w:eastAsiaTheme="minorEastAsia"/>
        </w:rPr>
      </w:pPr>
      <m:oMathPara>
        <m:oMathParaPr>
          <m:jc m:val="right"/>
        </m:oMathParaPr>
        <m:oMath>
          <m:r>
            <w:rPr>
              <w:rFonts w:ascii="Cambria Math" w:eastAsiaTheme="minorEastAsia" w:hAnsi="Cambria Math"/>
            </w:rPr>
            <m:t>Outcome=Outcome Within+Outcome Between                         (9)</m:t>
          </m:r>
        </m:oMath>
      </m:oMathPara>
    </w:p>
    <w:p w14:paraId="1BABDFBB" w14:textId="01CC1498" w:rsidR="00C17634" w:rsidRDefault="00C17634" w:rsidP="00C17634">
      <w:pPr>
        <w:jc w:val="left"/>
        <w:rPr>
          <w:rFonts w:eastAsiaTheme="minorEastAsia"/>
        </w:rPr>
      </w:pPr>
      <w:r>
        <w:rPr>
          <w:rFonts w:eastAsiaTheme="minorEastAsia"/>
        </w:rPr>
        <w:tab/>
      </w:r>
      <w:r w:rsidR="00A42BFE">
        <w:rPr>
          <w:rFonts w:eastAsiaTheme="minorEastAsia"/>
        </w:rPr>
        <w:t xml:space="preserve">This was all put into a single function that was run for the 4 different parameter conditions. </w:t>
      </w:r>
      <w:r w:rsidR="00FE6E9A">
        <w:rPr>
          <w:rFonts w:eastAsiaTheme="minorEastAsia"/>
        </w:rPr>
        <w:t xml:space="preserve">The function was then replicated to produce a list of datasets that was then evaluated for type 1 error rates through coverage. </w:t>
      </w:r>
      <w:r w:rsidR="00CB3469">
        <w:rPr>
          <w:rFonts w:eastAsiaTheme="minorEastAsia"/>
        </w:rPr>
        <w:t xml:space="preserve">The evaluation </w:t>
      </w:r>
      <w:r w:rsidR="00651774">
        <w:rPr>
          <w:rFonts w:eastAsiaTheme="minorEastAsia"/>
        </w:rPr>
        <w:t>was done using three methods: Standard linear modeling, multilevel modeling, and robust cluster standard error</w:t>
      </w:r>
      <w:r w:rsidR="00CB3469">
        <w:rPr>
          <w:rFonts w:eastAsiaTheme="minorEastAsia"/>
        </w:rPr>
        <w:t xml:space="preserve">. Each data set was then evaluated </w:t>
      </w:r>
      <w:r w:rsidR="00816211">
        <w:rPr>
          <w:rFonts w:eastAsiaTheme="minorEastAsia"/>
        </w:rPr>
        <w:t xml:space="preserve">to determine the percentage that the </w:t>
      </w:r>
      <w:r w:rsidR="004E70C5">
        <w:rPr>
          <w:rFonts w:eastAsiaTheme="minorEastAsia"/>
        </w:rPr>
        <w:t>mean difference of treatment effect</w:t>
      </w:r>
      <w:r w:rsidR="00816211">
        <w:rPr>
          <w:rFonts w:eastAsiaTheme="minorEastAsia"/>
        </w:rPr>
        <w:t xml:space="preserve"> was within a 95% confidence interval of the </w:t>
      </w:r>
      <w:r w:rsidR="00AC12F4">
        <w:rPr>
          <w:rFonts w:eastAsiaTheme="minorEastAsia"/>
        </w:rPr>
        <w:t>population parameter</w:t>
      </w:r>
      <w:r w:rsidR="00816211">
        <w:rPr>
          <w:rFonts w:eastAsiaTheme="minorEastAsia"/>
        </w:rPr>
        <w:t xml:space="preserve">. </w:t>
      </w:r>
      <w:r w:rsidR="0096199C">
        <w:rPr>
          <w:rFonts w:eastAsiaTheme="minorEastAsia"/>
        </w:rPr>
        <w:t xml:space="preserve">The results of the condition and the percentage that the </w:t>
      </w:r>
      <w:r w:rsidR="00D34E51">
        <w:rPr>
          <w:rFonts w:eastAsiaTheme="minorEastAsia"/>
        </w:rPr>
        <w:t>gamma</w:t>
      </w:r>
      <w:r w:rsidR="0096199C">
        <w:rPr>
          <w:rFonts w:eastAsiaTheme="minorEastAsia"/>
        </w:rPr>
        <w:t xml:space="preserve"> was within the 95% confidence is shown in Table 3:</w:t>
      </w:r>
    </w:p>
    <w:p w14:paraId="7396955C" w14:textId="22B89AC4" w:rsidR="0096199C" w:rsidRDefault="0096199C" w:rsidP="009A6F29">
      <w:pPr>
        <w:rPr>
          <w:rFonts w:eastAsiaTheme="minorEastAsia"/>
        </w:rPr>
      </w:pPr>
      <w:r>
        <w:rPr>
          <w:rFonts w:eastAsiaTheme="minorEastAsia"/>
          <w:b/>
          <w:bCs/>
        </w:rPr>
        <w:t>Table 3</w:t>
      </w:r>
      <w:r>
        <w:rPr>
          <w:rFonts w:eastAsiaTheme="minorEastAsia"/>
        </w:rPr>
        <w:t>: Evaluation Criteria</w:t>
      </w:r>
    </w:p>
    <w:tbl>
      <w:tblPr>
        <w:tblStyle w:val="TableGrid"/>
        <w:tblW w:w="0" w:type="auto"/>
        <w:jc w:val="center"/>
        <w:tblLook w:val="04A0" w:firstRow="1" w:lastRow="0" w:firstColumn="1" w:lastColumn="0" w:noHBand="0" w:noVBand="1"/>
      </w:tblPr>
      <w:tblGrid>
        <w:gridCol w:w="1177"/>
        <w:gridCol w:w="2513"/>
        <w:gridCol w:w="2513"/>
        <w:gridCol w:w="2513"/>
      </w:tblGrid>
      <w:tr w:rsidR="00651774" w14:paraId="3A1C349F" w14:textId="3C242BD7" w:rsidTr="00A6632B">
        <w:trPr>
          <w:jc w:val="center"/>
        </w:trPr>
        <w:tc>
          <w:tcPr>
            <w:tcW w:w="1177" w:type="dxa"/>
          </w:tcPr>
          <w:p w14:paraId="7DF77A7A" w14:textId="51016C63" w:rsidR="00651774" w:rsidRDefault="00651774" w:rsidP="0096199C">
            <w:pPr>
              <w:rPr>
                <w:rFonts w:eastAsiaTheme="minorEastAsia"/>
              </w:rPr>
            </w:pPr>
            <w:r>
              <w:rPr>
                <w:rFonts w:eastAsiaTheme="minorEastAsia"/>
              </w:rPr>
              <w:t>Condition</w:t>
            </w:r>
          </w:p>
        </w:tc>
        <w:tc>
          <w:tcPr>
            <w:tcW w:w="2513" w:type="dxa"/>
          </w:tcPr>
          <w:p w14:paraId="1CF072D0" w14:textId="7748DFEF" w:rsidR="00651774" w:rsidRDefault="00651774" w:rsidP="0096199C">
            <w:pPr>
              <w:rPr>
                <w:rFonts w:eastAsiaTheme="minorEastAsia"/>
              </w:rPr>
            </w:pPr>
            <w:r>
              <w:rPr>
                <w:rFonts w:eastAsiaTheme="minorEastAsia"/>
              </w:rPr>
              <w:t>Standard LM</w:t>
            </w:r>
          </w:p>
        </w:tc>
        <w:tc>
          <w:tcPr>
            <w:tcW w:w="2513" w:type="dxa"/>
          </w:tcPr>
          <w:p w14:paraId="1A228A31" w14:textId="3FF5F449" w:rsidR="00651774" w:rsidRDefault="00407F3D" w:rsidP="0096199C">
            <w:pPr>
              <w:rPr>
                <w:rFonts w:eastAsiaTheme="minorEastAsia"/>
              </w:rPr>
            </w:pPr>
            <w:r>
              <w:rPr>
                <w:rFonts w:eastAsiaTheme="minorEastAsia"/>
              </w:rPr>
              <w:t>Multi-Level Model</w:t>
            </w:r>
          </w:p>
        </w:tc>
        <w:tc>
          <w:tcPr>
            <w:tcW w:w="2513" w:type="dxa"/>
          </w:tcPr>
          <w:p w14:paraId="52B2B43E" w14:textId="7CB1DB51" w:rsidR="00651774" w:rsidRDefault="00651774" w:rsidP="0096199C">
            <w:pPr>
              <w:rPr>
                <w:rFonts w:eastAsiaTheme="minorEastAsia"/>
              </w:rPr>
            </w:pPr>
            <w:r>
              <w:rPr>
                <w:rFonts w:eastAsiaTheme="minorEastAsia"/>
              </w:rPr>
              <w:t>Robust Standard Error</w:t>
            </w:r>
          </w:p>
        </w:tc>
      </w:tr>
      <w:tr w:rsidR="00651774" w14:paraId="64D549DB" w14:textId="4E7B893F" w:rsidTr="00A6632B">
        <w:trPr>
          <w:jc w:val="center"/>
        </w:trPr>
        <w:tc>
          <w:tcPr>
            <w:tcW w:w="1177" w:type="dxa"/>
          </w:tcPr>
          <w:p w14:paraId="671B81CA" w14:textId="3236907A" w:rsidR="00651774" w:rsidRDefault="00651774" w:rsidP="0096199C">
            <w:pPr>
              <w:rPr>
                <w:rFonts w:eastAsiaTheme="minorEastAsia"/>
              </w:rPr>
            </w:pPr>
            <w:r>
              <w:rPr>
                <w:rFonts w:eastAsiaTheme="minorEastAsia"/>
              </w:rPr>
              <w:t>1</w:t>
            </w:r>
          </w:p>
        </w:tc>
        <w:tc>
          <w:tcPr>
            <w:tcW w:w="2513" w:type="dxa"/>
          </w:tcPr>
          <w:p w14:paraId="164DF7EA" w14:textId="79EF735C" w:rsidR="00651774" w:rsidRDefault="00651774" w:rsidP="0096199C">
            <w:pPr>
              <w:rPr>
                <w:rFonts w:eastAsiaTheme="minorEastAsia"/>
              </w:rPr>
            </w:pPr>
            <w:r>
              <w:rPr>
                <w:rFonts w:eastAsiaTheme="minorEastAsia"/>
              </w:rPr>
              <w:t>92.8%</w:t>
            </w:r>
          </w:p>
        </w:tc>
        <w:tc>
          <w:tcPr>
            <w:tcW w:w="2513" w:type="dxa"/>
          </w:tcPr>
          <w:p w14:paraId="254F0DE8" w14:textId="05407ED2" w:rsidR="00651774" w:rsidRDefault="00651774" w:rsidP="0096199C">
            <w:pPr>
              <w:rPr>
                <w:rFonts w:eastAsiaTheme="minorEastAsia"/>
              </w:rPr>
            </w:pPr>
            <w:r>
              <w:rPr>
                <w:rFonts w:eastAsiaTheme="minorEastAsia"/>
              </w:rPr>
              <w:t>94.8%</w:t>
            </w:r>
          </w:p>
        </w:tc>
        <w:tc>
          <w:tcPr>
            <w:tcW w:w="2513" w:type="dxa"/>
          </w:tcPr>
          <w:p w14:paraId="744D2680" w14:textId="73DB58A3" w:rsidR="00651774" w:rsidRDefault="007A7897" w:rsidP="0096199C">
            <w:pPr>
              <w:rPr>
                <w:rFonts w:eastAsiaTheme="minorEastAsia"/>
              </w:rPr>
            </w:pPr>
            <w:r>
              <w:rPr>
                <w:rFonts w:eastAsiaTheme="minorEastAsia"/>
              </w:rPr>
              <w:t>92.8%</w:t>
            </w:r>
          </w:p>
        </w:tc>
      </w:tr>
      <w:tr w:rsidR="00651774" w14:paraId="7531B350" w14:textId="68EAD79D" w:rsidTr="00A6632B">
        <w:trPr>
          <w:jc w:val="center"/>
        </w:trPr>
        <w:tc>
          <w:tcPr>
            <w:tcW w:w="1177" w:type="dxa"/>
          </w:tcPr>
          <w:p w14:paraId="657F48D3" w14:textId="20ADA707" w:rsidR="00651774" w:rsidRDefault="00651774" w:rsidP="0096199C">
            <w:pPr>
              <w:rPr>
                <w:rFonts w:eastAsiaTheme="minorEastAsia"/>
              </w:rPr>
            </w:pPr>
            <w:r>
              <w:rPr>
                <w:rFonts w:eastAsiaTheme="minorEastAsia"/>
              </w:rPr>
              <w:t>2</w:t>
            </w:r>
          </w:p>
        </w:tc>
        <w:tc>
          <w:tcPr>
            <w:tcW w:w="2513" w:type="dxa"/>
          </w:tcPr>
          <w:p w14:paraId="7E26695D" w14:textId="1C37C653" w:rsidR="00651774" w:rsidRDefault="007A7897" w:rsidP="0096199C">
            <w:pPr>
              <w:rPr>
                <w:rFonts w:eastAsiaTheme="minorEastAsia"/>
              </w:rPr>
            </w:pPr>
            <w:r>
              <w:rPr>
                <w:rFonts w:eastAsiaTheme="minorEastAsia"/>
              </w:rPr>
              <w:t>97.4%</w:t>
            </w:r>
          </w:p>
        </w:tc>
        <w:tc>
          <w:tcPr>
            <w:tcW w:w="2513" w:type="dxa"/>
          </w:tcPr>
          <w:p w14:paraId="5F19A091" w14:textId="5E3A5046" w:rsidR="00651774" w:rsidRDefault="00651774" w:rsidP="0096199C">
            <w:pPr>
              <w:rPr>
                <w:rFonts w:eastAsiaTheme="minorEastAsia"/>
              </w:rPr>
            </w:pPr>
            <w:r>
              <w:rPr>
                <w:rFonts w:eastAsiaTheme="minorEastAsia"/>
              </w:rPr>
              <w:t>97.4%</w:t>
            </w:r>
          </w:p>
        </w:tc>
        <w:tc>
          <w:tcPr>
            <w:tcW w:w="2513" w:type="dxa"/>
          </w:tcPr>
          <w:p w14:paraId="145E8F82" w14:textId="3B31ADAB" w:rsidR="00651774" w:rsidRDefault="007A7897" w:rsidP="0096199C">
            <w:pPr>
              <w:rPr>
                <w:rFonts w:eastAsiaTheme="minorEastAsia"/>
              </w:rPr>
            </w:pPr>
            <w:r>
              <w:rPr>
                <w:rFonts w:eastAsiaTheme="minorEastAsia"/>
              </w:rPr>
              <w:t>97.4%</w:t>
            </w:r>
          </w:p>
        </w:tc>
      </w:tr>
      <w:tr w:rsidR="00651774" w14:paraId="39399EAD" w14:textId="0686BC1B" w:rsidTr="00A6632B">
        <w:trPr>
          <w:jc w:val="center"/>
        </w:trPr>
        <w:tc>
          <w:tcPr>
            <w:tcW w:w="1177" w:type="dxa"/>
          </w:tcPr>
          <w:p w14:paraId="0EB8FFB3" w14:textId="40ED8E3C" w:rsidR="00651774" w:rsidRDefault="00651774" w:rsidP="0096199C">
            <w:pPr>
              <w:rPr>
                <w:rFonts w:eastAsiaTheme="minorEastAsia"/>
              </w:rPr>
            </w:pPr>
            <w:r>
              <w:rPr>
                <w:rFonts w:eastAsiaTheme="minorEastAsia"/>
              </w:rPr>
              <w:t>3</w:t>
            </w:r>
          </w:p>
        </w:tc>
        <w:tc>
          <w:tcPr>
            <w:tcW w:w="2513" w:type="dxa"/>
          </w:tcPr>
          <w:p w14:paraId="2A7FC325" w14:textId="30788399" w:rsidR="00651774" w:rsidRDefault="007A7897" w:rsidP="0096199C">
            <w:pPr>
              <w:rPr>
                <w:rFonts w:eastAsiaTheme="minorEastAsia"/>
              </w:rPr>
            </w:pPr>
            <w:r>
              <w:rPr>
                <w:rFonts w:eastAsiaTheme="minorEastAsia"/>
              </w:rPr>
              <w:t>93.8%</w:t>
            </w:r>
          </w:p>
        </w:tc>
        <w:tc>
          <w:tcPr>
            <w:tcW w:w="2513" w:type="dxa"/>
          </w:tcPr>
          <w:p w14:paraId="6A361E69" w14:textId="03D8AD5F" w:rsidR="00651774" w:rsidRDefault="00651774" w:rsidP="0096199C">
            <w:pPr>
              <w:rPr>
                <w:rFonts w:eastAsiaTheme="minorEastAsia"/>
              </w:rPr>
            </w:pPr>
            <w:r>
              <w:rPr>
                <w:rFonts w:eastAsiaTheme="minorEastAsia"/>
              </w:rPr>
              <w:t>95.2%</w:t>
            </w:r>
          </w:p>
        </w:tc>
        <w:tc>
          <w:tcPr>
            <w:tcW w:w="2513" w:type="dxa"/>
          </w:tcPr>
          <w:p w14:paraId="79EAFB3F" w14:textId="4D87F381" w:rsidR="00651774" w:rsidRDefault="00EF75D6" w:rsidP="0096199C">
            <w:pPr>
              <w:rPr>
                <w:rFonts w:eastAsiaTheme="minorEastAsia"/>
              </w:rPr>
            </w:pPr>
            <w:r>
              <w:rPr>
                <w:rFonts w:eastAsiaTheme="minorEastAsia"/>
              </w:rPr>
              <w:t>94.8%</w:t>
            </w:r>
          </w:p>
        </w:tc>
      </w:tr>
      <w:tr w:rsidR="00651774" w14:paraId="54E29567" w14:textId="4FF570A2" w:rsidTr="00A6632B">
        <w:trPr>
          <w:jc w:val="center"/>
        </w:trPr>
        <w:tc>
          <w:tcPr>
            <w:tcW w:w="1177" w:type="dxa"/>
          </w:tcPr>
          <w:p w14:paraId="72892857" w14:textId="747673B4" w:rsidR="00651774" w:rsidRDefault="00651774" w:rsidP="0096199C">
            <w:pPr>
              <w:rPr>
                <w:rFonts w:eastAsiaTheme="minorEastAsia"/>
              </w:rPr>
            </w:pPr>
            <w:r>
              <w:rPr>
                <w:rFonts w:eastAsiaTheme="minorEastAsia"/>
              </w:rPr>
              <w:t>4</w:t>
            </w:r>
          </w:p>
        </w:tc>
        <w:tc>
          <w:tcPr>
            <w:tcW w:w="2513" w:type="dxa"/>
          </w:tcPr>
          <w:p w14:paraId="0DA3A879" w14:textId="23F519EE" w:rsidR="00651774" w:rsidRDefault="007A7897" w:rsidP="0096199C">
            <w:pPr>
              <w:rPr>
                <w:rFonts w:eastAsiaTheme="minorEastAsia"/>
              </w:rPr>
            </w:pPr>
            <w:r>
              <w:rPr>
                <w:rFonts w:eastAsiaTheme="minorEastAsia"/>
              </w:rPr>
              <w:t>89.8%</w:t>
            </w:r>
          </w:p>
        </w:tc>
        <w:tc>
          <w:tcPr>
            <w:tcW w:w="2513" w:type="dxa"/>
          </w:tcPr>
          <w:p w14:paraId="12DD751D" w14:textId="02F860BB" w:rsidR="00651774" w:rsidRDefault="00651774" w:rsidP="0096199C">
            <w:pPr>
              <w:rPr>
                <w:rFonts w:eastAsiaTheme="minorEastAsia"/>
              </w:rPr>
            </w:pPr>
            <w:r>
              <w:rPr>
                <w:rFonts w:eastAsiaTheme="minorEastAsia"/>
              </w:rPr>
              <w:t>94.0%</w:t>
            </w:r>
          </w:p>
        </w:tc>
        <w:tc>
          <w:tcPr>
            <w:tcW w:w="2513" w:type="dxa"/>
          </w:tcPr>
          <w:p w14:paraId="15EEDB55" w14:textId="4682E6CC" w:rsidR="00651774" w:rsidRDefault="00EF75D6" w:rsidP="0096199C">
            <w:pPr>
              <w:rPr>
                <w:rFonts w:eastAsiaTheme="minorEastAsia"/>
              </w:rPr>
            </w:pPr>
            <w:r>
              <w:rPr>
                <w:rFonts w:eastAsiaTheme="minorEastAsia"/>
              </w:rPr>
              <w:t>94.0%</w:t>
            </w:r>
          </w:p>
        </w:tc>
      </w:tr>
    </w:tbl>
    <w:p w14:paraId="1F160AFA" w14:textId="77777777" w:rsidR="0096199C" w:rsidRPr="0096199C" w:rsidRDefault="0096199C" w:rsidP="0096199C">
      <w:pPr>
        <w:rPr>
          <w:rFonts w:eastAsiaTheme="minorEastAsia"/>
        </w:rPr>
      </w:pPr>
    </w:p>
    <w:p w14:paraId="1B11E5AA" w14:textId="769191B2" w:rsidR="00C17634" w:rsidRPr="00C17634" w:rsidRDefault="00896481" w:rsidP="00C17634">
      <w:pPr>
        <w:jc w:val="left"/>
        <w:rPr>
          <w:rFonts w:eastAsiaTheme="minorEastAsia"/>
        </w:rPr>
      </w:pPr>
      <w:r>
        <w:rPr>
          <w:rFonts w:eastAsiaTheme="minorEastAsia"/>
        </w:rPr>
        <w:tab/>
        <w:t xml:space="preserve">Here, the MLM and Robust Standard error were </w:t>
      </w:r>
      <w:proofErr w:type="gramStart"/>
      <w:r>
        <w:rPr>
          <w:rFonts w:eastAsiaTheme="minorEastAsia"/>
        </w:rPr>
        <w:t>fairly similar</w:t>
      </w:r>
      <w:proofErr w:type="gramEnd"/>
      <w:r>
        <w:rPr>
          <w:rFonts w:eastAsiaTheme="minorEastAsia"/>
        </w:rPr>
        <w:t xml:space="preserve"> (except for Condition 2) while the Standard LM is farther away (especially in condition 4). </w:t>
      </w:r>
    </w:p>
    <w:bookmarkEnd w:id="0"/>
    <w:p w14:paraId="1EF1EB06" w14:textId="13514503" w:rsidR="0066510A" w:rsidRPr="0066510A" w:rsidRDefault="0066510A" w:rsidP="0066510A">
      <w:pPr>
        <w:jc w:val="left"/>
      </w:pPr>
    </w:p>
    <w:sectPr w:rsidR="0066510A" w:rsidRPr="00665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185"/>
    <w:rsid w:val="00036FC0"/>
    <w:rsid w:val="000439BF"/>
    <w:rsid w:val="000474C6"/>
    <w:rsid w:val="00084198"/>
    <w:rsid w:val="000C37BE"/>
    <w:rsid w:val="00140B45"/>
    <w:rsid w:val="0019398E"/>
    <w:rsid w:val="0021357A"/>
    <w:rsid w:val="0031766D"/>
    <w:rsid w:val="003A2615"/>
    <w:rsid w:val="00407F3D"/>
    <w:rsid w:val="00461908"/>
    <w:rsid w:val="004D6C04"/>
    <w:rsid w:val="004E70C5"/>
    <w:rsid w:val="00520201"/>
    <w:rsid w:val="005B48FC"/>
    <w:rsid w:val="005E6D28"/>
    <w:rsid w:val="005E78CC"/>
    <w:rsid w:val="00647769"/>
    <w:rsid w:val="00651774"/>
    <w:rsid w:val="00654C20"/>
    <w:rsid w:val="00656BFD"/>
    <w:rsid w:val="0066510A"/>
    <w:rsid w:val="006A2E03"/>
    <w:rsid w:val="007364FF"/>
    <w:rsid w:val="00743C40"/>
    <w:rsid w:val="0078352C"/>
    <w:rsid w:val="007A7897"/>
    <w:rsid w:val="00801744"/>
    <w:rsid w:val="00816211"/>
    <w:rsid w:val="00827872"/>
    <w:rsid w:val="00867852"/>
    <w:rsid w:val="00896481"/>
    <w:rsid w:val="00930BE2"/>
    <w:rsid w:val="0096199C"/>
    <w:rsid w:val="009A6F29"/>
    <w:rsid w:val="00A42BFE"/>
    <w:rsid w:val="00A44F9B"/>
    <w:rsid w:val="00AC12F4"/>
    <w:rsid w:val="00AD5302"/>
    <w:rsid w:val="00B108D0"/>
    <w:rsid w:val="00BB592B"/>
    <w:rsid w:val="00BC5AA1"/>
    <w:rsid w:val="00BD40A4"/>
    <w:rsid w:val="00BD7038"/>
    <w:rsid w:val="00C17634"/>
    <w:rsid w:val="00C43984"/>
    <w:rsid w:val="00C47233"/>
    <w:rsid w:val="00C50AA7"/>
    <w:rsid w:val="00C90809"/>
    <w:rsid w:val="00CB3469"/>
    <w:rsid w:val="00CE61D0"/>
    <w:rsid w:val="00D21E23"/>
    <w:rsid w:val="00D34E51"/>
    <w:rsid w:val="00D60BE1"/>
    <w:rsid w:val="00DA4A62"/>
    <w:rsid w:val="00DA641C"/>
    <w:rsid w:val="00E31B58"/>
    <w:rsid w:val="00E90C3E"/>
    <w:rsid w:val="00E924D1"/>
    <w:rsid w:val="00EB7185"/>
    <w:rsid w:val="00EE250E"/>
    <w:rsid w:val="00EE394B"/>
    <w:rsid w:val="00EF75D6"/>
    <w:rsid w:val="00F225C2"/>
    <w:rsid w:val="00F445E1"/>
    <w:rsid w:val="00FA1FD7"/>
    <w:rsid w:val="00FE6E9A"/>
    <w:rsid w:val="00FF1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1D5A7"/>
  <w15:chartTrackingRefBased/>
  <w15:docId w15:val="{0916B75E-F9AB-4D27-B063-B5DE9A7DF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Title"/>
    <w:link w:val="Heading1Char"/>
    <w:autoRedefine/>
    <w:uiPriority w:val="9"/>
    <w:qFormat/>
    <w:rsid w:val="00EE250E"/>
    <w:pPr>
      <w:keepNext/>
      <w:keepLines/>
      <w:spacing w:before="240"/>
      <w:outlineLvl w:val="0"/>
    </w:pPr>
    <w:rPr>
      <w:rFonts w:ascii="Times New Roman" w:hAnsi="Times New Roman"/>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50E"/>
    <w:rPr>
      <w:rFonts w:eastAsiaTheme="majorEastAsia" w:cstheme="majorBidi"/>
      <w:b/>
      <w:spacing w:val="-10"/>
      <w:kern w:val="28"/>
      <w:sz w:val="32"/>
      <w:szCs w:val="32"/>
    </w:rPr>
  </w:style>
  <w:style w:type="paragraph" w:styleId="Title">
    <w:name w:val="Title"/>
    <w:basedOn w:val="Normal"/>
    <w:next w:val="Normal"/>
    <w:link w:val="TitleChar"/>
    <w:uiPriority w:val="10"/>
    <w:qFormat/>
    <w:rsid w:val="00EE25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50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44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651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9314D-75B7-4CC9-A0CF-D55C273F7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4</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Umashankar</dc:creator>
  <cp:keywords/>
  <dc:description/>
  <cp:lastModifiedBy>Akshay Umashankar</cp:lastModifiedBy>
  <cp:revision>59</cp:revision>
  <dcterms:created xsi:type="dcterms:W3CDTF">2022-12-02T22:41:00Z</dcterms:created>
  <dcterms:modified xsi:type="dcterms:W3CDTF">2023-04-13T18:26:00Z</dcterms:modified>
</cp:coreProperties>
</file>